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6B" w:rsidRDefault="007F116B" w:rsidP="007F116B">
      <w:pPr>
        <w:pStyle w:val="Titre"/>
      </w:pPr>
      <w:r>
        <w:t>Histoire des faits économiques</w:t>
      </w:r>
    </w:p>
    <w:p w:rsidR="0068385B" w:rsidRPr="0068385B" w:rsidRDefault="0068385B" w:rsidP="008E7996">
      <w:pPr>
        <w:pStyle w:val="Titre1"/>
        <w:numPr>
          <w:ilvl w:val="0"/>
          <w:numId w:val="17"/>
        </w:numPr>
        <w:rPr>
          <w:lang w:eastAsia="fr-FR"/>
        </w:rPr>
      </w:pPr>
      <w:r w:rsidRPr="0068385B">
        <w:rPr>
          <w:lang w:eastAsia="fr-FR"/>
        </w:rPr>
        <w:t>La renaissance de l'économie</w:t>
      </w:r>
    </w:p>
    <w:p w:rsidR="0068385B" w:rsidRDefault="0068385B" w:rsidP="0068385B">
      <w:pPr>
        <w:spacing w:after="0" w:line="240" w:lineRule="auto"/>
        <w:rPr>
          <w:rFonts w:eastAsia="Times New Roman" w:cs="Calibri"/>
          <w:kern w:val="0"/>
          <w:lang w:eastAsia="fr-FR"/>
        </w:rPr>
      </w:pPr>
    </w:p>
    <w:p w:rsidR="0068385B" w:rsidRPr="003C413E" w:rsidRDefault="0068385B" w:rsidP="0068385B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fr-FR"/>
        </w:rPr>
      </w:pPr>
      <w:r w:rsidRPr="003B7C82">
        <w:rPr>
          <w:rFonts w:eastAsia="Times New Roman" w:cs="Calibri"/>
          <w:kern w:val="0"/>
          <w:sz w:val="24"/>
          <w:szCs w:val="24"/>
          <w:lang w:eastAsia="fr-FR"/>
        </w:rPr>
        <w:t>Le M</w:t>
      </w:r>
      <w:r>
        <w:rPr>
          <w:rFonts w:eastAsia="Times New Roman" w:cs="Calibri"/>
          <w:kern w:val="0"/>
          <w:sz w:val="24"/>
          <w:szCs w:val="24"/>
          <w:lang w:eastAsia="fr-FR"/>
        </w:rPr>
        <w:t xml:space="preserve">oyen </w:t>
      </w:r>
      <w:r w:rsidR="00074B74">
        <w:rPr>
          <w:rFonts w:eastAsia="Times New Roman" w:cs="Calibri"/>
          <w:kern w:val="0"/>
          <w:sz w:val="24"/>
          <w:szCs w:val="24"/>
          <w:lang w:eastAsia="fr-FR"/>
        </w:rPr>
        <w:t>Â</w:t>
      </w:r>
      <w:r>
        <w:rPr>
          <w:rFonts w:eastAsia="Times New Roman" w:cs="Calibri"/>
          <w:kern w:val="0"/>
          <w:sz w:val="24"/>
          <w:szCs w:val="24"/>
          <w:lang w:eastAsia="fr-FR"/>
        </w:rPr>
        <w:t>ge</w:t>
      </w:r>
      <w:r w:rsidRPr="003C413E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E46CD1">
        <w:rPr>
          <w:rFonts w:eastAsia="Times New Roman" w:cs="Calibri"/>
          <w:kern w:val="0"/>
          <w:sz w:val="24"/>
          <w:szCs w:val="24"/>
          <w:lang w:eastAsia="fr-FR"/>
        </w:rPr>
        <w:t>s’étend du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 5</w:t>
      </w:r>
      <w:r w:rsidR="00E46CD1" w:rsidRPr="00E46CD1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</w:t>
      </w:r>
      <w:r w:rsidRPr="00E46CD1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me</w:t>
      </w:r>
      <w:r w:rsidR="00E46CD1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>au 15</w:t>
      </w:r>
      <w:r w:rsidR="00E46CD1" w:rsidRPr="00E46CD1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</w:t>
      </w:r>
      <w:r w:rsidRPr="00E46CD1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me</w:t>
      </w:r>
      <w:r w:rsidR="00E46CD1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>siècle. Au cours de cette période, la société va connaitre différente</w:t>
      </w:r>
      <w:r w:rsidRPr="003C413E">
        <w:rPr>
          <w:rFonts w:eastAsia="Times New Roman" w:cs="Calibri"/>
          <w:kern w:val="0"/>
          <w:sz w:val="24"/>
          <w:szCs w:val="24"/>
          <w:lang w:eastAsia="fr-FR"/>
        </w:rPr>
        <w:t>s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 situation</w:t>
      </w:r>
      <w:r w:rsidRPr="003C413E">
        <w:rPr>
          <w:rFonts w:eastAsia="Times New Roman" w:cs="Calibri"/>
          <w:kern w:val="0"/>
          <w:sz w:val="24"/>
          <w:szCs w:val="24"/>
          <w:lang w:eastAsia="fr-FR"/>
        </w:rPr>
        <w:t>s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. </w:t>
      </w:r>
      <w:r w:rsidR="00074B74">
        <w:rPr>
          <w:rFonts w:eastAsia="Times New Roman" w:cs="Calibri"/>
          <w:kern w:val="0"/>
          <w:sz w:val="24"/>
          <w:szCs w:val="24"/>
          <w:lang w:eastAsia="fr-FR"/>
        </w:rPr>
        <w:t>Dans les grandes lignes, l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e </w:t>
      </w:r>
      <w:r w:rsidR="00074B74" w:rsidRPr="003B7C82">
        <w:rPr>
          <w:rFonts w:eastAsia="Times New Roman" w:cs="Calibri"/>
          <w:kern w:val="0"/>
          <w:sz w:val="24"/>
          <w:szCs w:val="24"/>
          <w:lang w:eastAsia="fr-FR"/>
        </w:rPr>
        <w:t>M</w:t>
      </w:r>
      <w:r w:rsidR="00074B74">
        <w:rPr>
          <w:rFonts w:eastAsia="Times New Roman" w:cs="Calibri"/>
          <w:kern w:val="0"/>
          <w:sz w:val="24"/>
          <w:szCs w:val="24"/>
          <w:lang w:eastAsia="fr-FR"/>
        </w:rPr>
        <w:t>oyen Âge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074B74">
        <w:rPr>
          <w:rFonts w:eastAsia="Times New Roman" w:cs="Calibri"/>
          <w:kern w:val="0"/>
          <w:sz w:val="24"/>
          <w:szCs w:val="24"/>
          <w:lang w:eastAsia="fr-FR"/>
        </w:rPr>
        <w:t>débute</w:t>
      </w:r>
      <w:r w:rsidRPr="003C413E">
        <w:rPr>
          <w:rFonts w:eastAsia="Times New Roman" w:cs="Calibri"/>
          <w:kern w:val="0"/>
          <w:sz w:val="24"/>
          <w:szCs w:val="24"/>
          <w:lang w:eastAsia="fr-FR"/>
        </w:rPr>
        <w:t xml:space="preserve"> par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 un</w:t>
      </w:r>
      <w:r w:rsidRPr="003C413E">
        <w:rPr>
          <w:rFonts w:eastAsia="Times New Roman" w:cs="Calibri"/>
          <w:kern w:val="0"/>
          <w:sz w:val="24"/>
          <w:szCs w:val="24"/>
          <w:lang w:eastAsia="fr-FR"/>
        </w:rPr>
        <w:t>e</w:t>
      </w:r>
      <w:r w:rsidRPr="003B7C82">
        <w:rPr>
          <w:rFonts w:eastAsia="Times New Roman" w:cs="Calibri"/>
          <w:kern w:val="0"/>
          <w:sz w:val="24"/>
          <w:szCs w:val="24"/>
          <w:lang w:eastAsia="fr-FR"/>
        </w:rPr>
        <w:t xml:space="preserve"> phase de récession puis de révolution économique et se termine par une crise.</w:t>
      </w:r>
    </w:p>
    <w:p w:rsidR="0068385B" w:rsidRPr="003B7C82" w:rsidRDefault="0068385B" w:rsidP="0068385B">
      <w:pPr>
        <w:spacing w:after="0" w:line="240" w:lineRule="auto"/>
        <w:rPr>
          <w:rFonts w:eastAsia="Times New Roman" w:cs="Calibri"/>
          <w:kern w:val="0"/>
          <w:lang w:eastAsia="fr-FR"/>
        </w:rPr>
      </w:pPr>
    </w:p>
    <w:p w:rsidR="0068385B" w:rsidRPr="003B7C82" w:rsidRDefault="0068385B" w:rsidP="008E7996">
      <w:pPr>
        <w:pStyle w:val="Titre2"/>
        <w:numPr>
          <w:ilvl w:val="1"/>
          <w:numId w:val="40"/>
        </w:numPr>
        <w:rPr>
          <w:lang w:eastAsia="fr-FR"/>
        </w:rPr>
      </w:pPr>
      <w:r>
        <w:rPr>
          <w:lang w:eastAsia="fr-FR"/>
        </w:rPr>
        <w:t>Une économie m</w:t>
      </w:r>
      <w:r w:rsidRPr="003B7C82">
        <w:rPr>
          <w:lang w:eastAsia="fr-FR"/>
        </w:rPr>
        <w:t>oribonde</w:t>
      </w:r>
    </w:p>
    <w:p w:rsidR="0068385B" w:rsidRPr="003B7C82" w:rsidRDefault="0068385B" w:rsidP="0068385B">
      <w:pPr>
        <w:spacing w:after="0" w:line="240" w:lineRule="auto"/>
        <w:ind w:left="540"/>
        <w:rPr>
          <w:rFonts w:eastAsia="Times New Roman" w:cs="Calibri"/>
          <w:kern w:val="0"/>
          <w:lang w:eastAsia="fr-FR"/>
        </w:rPr>
      </w:pPr>
      <w:r w:rsidRPr="003B7C82">
        <w:rPr>
          <w:rFonts w:eastAsia="Times New Roman" w:cs="Calibri"/>
          <w:kern w:val="0"/>
          <w:lang w:eastAsia="fr-FR"/>
        </w:rPr>
        <w:t> </w:t>
      </w:r>
    </w:p>
    <w:p w:rsidR="0068385B" w:rsidRPr="003B7C82" w:rsidRDefault="0068385B" w:rsidP="008E7996">
      <w:pPr>
        <w:pStyle w:val="Titre3"/>
        <w:numPr>
          <w:ilvl w:val="2"/>
          <w:numId w:val="40"/>
        </w:numPr>
        <w:rPr>
          <w:lang w:eastAsia="fr-FR"/>
        </w:rPr>
      </w:pPr>
      <w:bookmarkStart w:id="0" w:name="_GoBack"/>
      <w:bookmarkEnd w:id="0"/>
      <w:r w:rsidRPr="003B7C82">
        <w:rPr>
          <w:lang w:eastAsia="fr-FR"/>
        </w:rPr>
        <w:t>Une économie en perte de vite</w:t>
      </w:r>
    </w:p>
    <w:p w:rsidR="003B4CB4" w:rsidRPr="007532BC" w:rsidRDefault="003B4CB4" w:rsidP="0068385B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fr-FR"/>
        </w:rPr>
      </w:pPr>
    </w:p>
    <w:p w:rsidR="00074B74" w:rsidRPr="007532BC" w:rsidRDefault="0068385B" w:rsidP="0068385B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fr-FR"/>
        </w:rPr>
      </w:pP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L’économie de l'Antiquité était une économie dite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« 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ouverte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 »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. (-3000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av. JC –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5</w:t>
      </w:r>
      <w:r w:rsidR="00074B74"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ème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siècle)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L’économie se traduisait par le commerce développé au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tour de la méditerranée. Le haut Moyen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Â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ge se caractérise par une </w:t>
      </w:r>
      <w:r w:rsidRPr="007532BC">
        <w:rPr>
          <w:rFonts w:eastAsia="Times New Roman" w:cs="Calibri"/>
          <w:b/>
          <w:bCs/>
          <w:kern w:val="0"/>
          <w:sz w:val="24"/>
          <w:szCs w:val="24"/>
          <w:lang w:eastAsia="fr-FR"/>
        </w:rPr>
        <w:t>économie fermée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. Les échanges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étaient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des plus réduits. On parle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,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en conséquence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, 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d'une économie domaniale, donc essentiellement rurale.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</w:p>
    <w:p w:rsidR="0068385B" w:rsidRPr="007532BC" w:rsidRDefault="0068385B" w:rsidP="0068385B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fr-FR"/>
        </w:rPr>
      </w:pPr>
      <w:r w:rsidRPr="007532BC">
        <w:rPr>
          <w:rFonts w:eastAsia="Times New Roman" w:cs="Calibri"/>
          <w:kern w:val="0"/>
          <w:sz w:val="24"/>
          <w:szCs w:val="24"/>
          <w:lang w:eastAsia="fr-FR"/>
        </w:rPr>
        <w:t>Les raisons de ce passage ont divisé certains auteurs. Pour certains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,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comme l'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a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llemand </w:t>
      </w:r>
      <w:proofErr w:type="spellStart"/>
      <w:r w:rsidRPr="007532BC">
        <w:rPr>
          <w:rFonts w:eastAsia="Times New Roman" w:cs="Calibri"/>
          <w:b/>
          <w:bCs/>
          <w:kern w:val="0"/>
          <w:sz w:val="24"/>
          <w:szCs w:val="24"/>
          <w:lang w:eastAsia="fr-FR"/>
        </w:rPr>
        <w:t>Dopsch</w:t>
      </w:r>
      <w:proofErr w:type="spellEnd"/>
      <w:r w:rsidRPr="007532BC">
        <w:rPr>
          <w:rFonts w:eastAsia="Times New Roman" w:cs="Calibri"/>
          <w:kern w:val="0"/>
          <w:sz w:val="24"/>
          <w:szCs w:val="24"/>
          <w:lang w:eastAsia="fr-FR"/>
        </w:rPr>
        <w:t>,  les invasions barbares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en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seraient la cause principale. Pour d'autres, comme Henri</w:t>
      </w:r>
      <w:r w:rsidRPr="007532BC">
        <w:rPr>
          <w:rFonts w:eastAsia="Times New Roman" w:cs="Calibri"/>
          <w:b/>
          <w:bCs/>
          <w:kern w:val="0"/>
          <w:sz w:val="24"/>
          <w:szCs w:val="24"/>
          <w:lang w:eastAsia="fr-FR"/>
        </w:rPr>
        <w:t xml:space="preserve"> Pirenne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, il faudrait lier la phase de dépression économique aux invasions arabes. Selon 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>ce dernier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, l'économie occidentale ne serait sclérosée qu'à partir du 18ème. Il donne comme signe la raréfaction puis la disparition de certains produits</w:t>
      </w:r>
      <w:r w:rsidR="00074B74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comme le papyrus par exemple.</w:t>
      </w:r>
    </w:p>
    <w:p w:rsidR="0068385B" w:rsidRPr="007532BC" w:rsidRDefault="0068385B" w:rsidP="0068385B">
      <w:pPr>
        <w:spacing w:after="0" w:line="240" w:lineRule="auto"/>
        <w:ind w:left="540"/>
        <w:rPr>
          <w:rFonts w:eastAsia="Times New Roman" w:cs="Calibri"/>
          <w:kern w:val="0"/>
          <w:sz w:val="24"/>
          <w:szCs w:val="24"/>
          <w:lang w:eastAsia="fr-FR"/>
        </w:rPr>
      </w:pPr>
      <w:r w:rsidRPr="007532BC">
        <w:rPr>
          <w:rFonts w:eastAsia="Times New Roman" w:cs="Calibri"/>
          <w:kern w:val="0"/>
          <w:sz w:val="24"/>
          <w:szCs w:val="24"/>
          <w:lang w:eastAsia="fr-FR"/>
        </w:rPr>
        <w:t> </w:t>
      </w:r>
    </w:p>
    <w:p w:rsidR="0068385B" w:rsidRPr="007532BC" w:rsidRDefault="00074B74" w:rsidP="0068385B">
      <w:pPr>
        <w:spacing w:after="0" w:line="240" w:lineRule="auto"/>
        <w:rPr>
          <w:rFonts w:eastAsia="Times New Roman" w:cs="Calibri"/>
          <w:kern w:val="0"/>
          <w:sz w:val="24"/>
          <w:szCs w:val="24"/>
          <w:lang w:eastAsia="fr-FR"/>
        </w:rPr>
      </w:pPr>
      <w:r w:rsidRPr="007532BC">
        <w:rPr>
          <w:rFonts w:eastAsia="Times New Roman" w:cs="Calibri"/>
          <w:kern w:val="0"/>
          <w:sz w:val="24"/>
          <w:szCs w:val="24"/>
          <w:lang w:eastAsia="fr-FR"/>
        </w:rPr>
        <w:t>Toutefois, il existe e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>ntre ces deux thèses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>une position médiante. Les vraies signes de cette asphyxie ont commencé bien avant le 11</w:t>
      </w:r>
      <w:r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</w:t>
      </w:r>
      <w:r w:rsidR="0068385B"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me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siècle et 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ne sont pas dû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seulement 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aux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barbares. Elle aurait commencé à partir du 7</w:t>
      </w:r>
      <w:r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</w:t>
      </w:r>
      <w:r w:rsidR="0068385B"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me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siècle. L’économie est 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privée de son principal partenaire : </w:t>
      </w:r>
      <w:r w:rsidR="0068385B" w:rsidRPr="007532BC">
        <w:rPr>
          <w:rFonts w:eastAsia="Times New Roman" w:cs="Calibri"/>
          <w:b/>
          <w:kern w:val="0"/>
          <w:sz w:val="24"/>
          <w:szCs w:val="24"/>
          <w:lang w:eastAsia="fr-FR"/>
        </w:rPr>
        <w:t>Byzance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>. Entre le 8</w:t>
      </w:r>
      <w:r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ème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>et le 9</w:t>
      </w:r>
      <w:r w:rsidR="0068385B" w:rsidRPr="007532BC">
        <w:rPr>
          <w:rFonts w:eastAsia="Times New Roman" w:cs="Calibri"/>
          <w:kern w:val="0"/>
          <w:sz w:val="24"/>
          <w:szCs w:val="24"/>
          <w:vertAlign w:val="superscript"/>
          <w:lang w:eastAsia="fr-FR"/>
        </w:rPr>
        <w:t>ème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>siècle</w:t>
      </w:r>
      <w:r w:rsidRPr="007532BC">
        <w:rPr>
          <w:rFonts w:eastAsia="Times New Roman" w:cs="Calibri"/>
          <w:kern w:val="0"/>
          <w:sz w:val="24"/>
          <w:szCs w:val="24"/>
          <w:lang w:eastAsia="fr-FR"/>
        </w:rPr>
        <w:t>,</w:t>
      </w:r>
      <w:r w:rsidR="0068385B" w:rsidRPr="007532BC">
        <w:rPr>
          <w:rFonts w:eastAsia="Times New Roman" w:cs="Calibri"/>
          <w:kern w:val="0"/>
          <w:sz w:val="24"/>
          <w:szCs w:val="24"/>
          <w:lang w:eastAsia="fr-FR"/>
        </w:rPr>
        <w:t xml:space="preserve"> on parler</w:t>
      </w:r>
      <w:r w:rsidR="003B4CB4" w:rsidRPr="007532BC">
        <w:rPr>
          <w:rFonts w:eastAsia="Times New Roman" w:cs="Calibri"/>
          <w:kern w:val="0"/>
          <w:sz w:val="24"/>
          <w:szCs w:val="24"/>
          <w:lang w:eastAsia="fr-FR"/>
        </w:rPr>
        <w:t>a de « réaction carolingienne ».</w:t>
      </w:r>
    </w:p>
    <w:sectPr w:rsidR="0068385B" w:rsidRPr="007532BC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8C" w:rsidRDefault="0048448C" w:rsidP="007F116B">
      <w:pPr>
        <w:spacing w:after="0" w:line="240" w:lineRule="auto"/>
      </w:pPr>
      <w:r>
        <w:separator/>
      </w:r>
    </w:p>
  </w:endnote>
  <w:endnote w:type="continuationSeparator" w:id="0">
    <w:p w:rsidR="0048448C" w:rsidRDefault="0048448C" w:rsidP="007F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6B" w:rsidRPr="007F116B" w:rsidRDefault="007F116B" w:rsidP="007F116B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Histoire des faits économiques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6C2FF9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6C2FF9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8C" w:rsidRDefault="0048448C" w:rsidP="007F116B">
      <w:pPr>
        <w:spacing w:after="0" w:line="240" w:lineRule="auto"/>
      </w:pPr>
      <w:r>
        <w:separator/>
      </w:r>
    </w:p>
  </w:footnote>
  <w:footnote w:type="continuationSeparator" w:id="0">
    <w:p w:rsidR="0048448C" w:rsidRDefault="0048448C" w:rsidP="007F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6B" w:rsidRDefault="007532BC" w:rsidP="007F116B">
    <w:pPr>
      <w:pStyle w:val="En-tte"/>
      <w:tabs>
        <w:tab w:val="left" w:pos="555"/>
        <w:tab w:val="left" w:pos="5040"/>
        <w:tab w:val="right" w:pos="105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3" o:spid="_x0000_s2051" type="#_x0000_t75" style="position:absolute;margin-left:474.5pt;margin-top:-10.85pt;width:30pt;height:3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</v:shape>
      </w:pict>
    </w:r>
    <w:r w:rsidR="007F116B">
      <w:tab/>
    </w:r>
    <w:r w:rsidR="007F116B">
      <w:tab/>
    </w:r>
    <w:r w:rsidR="007F116B">
      <w:tab/>
    </w:r>
    <w:r w:rsidR="007F116B">
      <w:tab/>
    </w:r>
    <w:r w:rsidR="0048448C">
      <w:rPr>
        <w:noProof/>
      </w:rPr>
      <w:pict>
        <v:shape id="WordPictureWatermark1392013488" o:spid="_x0000_s2049" type="#_x0000_t75" style="position:absolute;margin-left:0;margin-top:0;width:495.9pt;height:495.9pt;z-index:-1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7F116B" w:rsidRPr="003744AF">
        <w:rPr>
          <w:rStyle w:val="Lienhypertexte"/>
          <w:rFonts w:cs="Calibri"/>
          <w:color w:val="E36C0A"/>
        </w:rPr>
        <w:t>www.comptazine.fr</w:t>
      </w:r>
    </w:hyperlink>
    <w:r w:rsidR="007F116B" w:rsidRPr="003744AF">
      <w:rPr>
        <w:rStyle w:val="Lienhypertexte"/>
        <w:rFonts w:cs="Calibri"/>
        <w:color w:val="E36C0A"/>
      </w:rPr>
      <w:t xml:space="preserve"> 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2" o:spid="_x0000_s2050" type="#_x0000_t202" style="position:absolute;margin-left:41.5pt;margin-top:60.95pt;width:167.45pt;height:11.55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<v:textbox inset="0,0,0,0">
            <w:txbxContent>
              <w:p w:rsidR="007F116B" w:rsidRPr="005E18B7" w:rsidRDefault="007F116B" w:rsidP="007F116B">
                <w:pPr>
                  <w:spacing w:before="7"/>
                  <w:ind w:left="20" w:right="-49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3F"/>
    <w:multiLevelType w:val="hybridMultilevel"/>
    <w:tmpl w:val="2C1813A8"/>
    <w:lvl w:ilvl="0" w:tplc="E7B8FC2C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341"/>
    <w:multiLevelType w:val="multilevel"/>
    <w:tmpl w:val="7A3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4487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13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12389D"/>
    <w:multiLevelType w:val="multilevel"/>
    <w:tmpl w:val="560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25520"/>
    <w:multiLevelType w:val="multilevel"/>
    <w:tmpl w:val="F74817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658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A700E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783C89"/>
    <w:multiLevelType w:val="hybridMultilevel"/>
    <w:tmpl w:val="44F85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0687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3B2E1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FD0649"/>
    <w:multiLevelType w:val="multilevel"/>
    <w:tmpl w:val="9EE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6F2CBF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A6179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BA2EC5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3B2AEF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84185B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B660AC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1D7D2F"/>
    <w:multiLevelType w:val="hybridMultilevel"/>
    <w:tmpl w:val="0C2C34EA"/>
    <w:lvl w:ilvl="0" w:tplc="B53AF9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6E92"/>
    <w:multiLevelType w:val="hybridMultilevel"/>
    <w:tmpl w:val="0D7A4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A0899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FE216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FB52391"/>
    <w:multiLevelType w:val="multilevel"/>
    <w:tmpl w:val="89B8F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DC57F4"/>
    <w:multiLevelType w:val="multilevel"/>
    <w:tmpl w:val="EE86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6730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475F1A"/>
    <w:multiLevelType w:val="multilevel"/>
    <w:tmpl w:val="198C5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9AF5823"/>
    <w:multiLevelType w:val="multilevel"/>
    <w:tmpl w:val="C2FE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4487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D42DD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7306E3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07B07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5B6A54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6C01A6A"/>
    <w:multiLevelType w:val="multilevel"/>
    <w:tmpl w:val="F15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865F48"/>
    <w:multiLevelType w:val="multilevel"/>
    <w:tmpl w:val="4410A7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11626E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DD4245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DD43B40"/>
    <w:multiLevelType w:val="hybridMultilevel"/>
    <w:tmpl w:val="6E9CD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C27EB"/>
    <w:multiLevelType w:val="multilevel"/>
    <w:tmpl w:val="52248F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23962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4180DD3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81808F5"/>
    <w:multiLevelType w:val="multilevel"/>
    <w:tmpl w:val="59D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A673F"/>
    <w:multiLevelType w:val="multilevel"/>
    <w:tmpl w:val="2DE8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22"/>
    <w:lvlOverride w:ilvl="0">
      <w:startOverride w:val="2"/>
    </w:lvlOverride>
  </w:num>
  <w:num w:numId="4">
    <w:abstractNumId w:val="31"/>
    <w:lvlOverride w:ilvl="0">
      <w:startOverride w:val="1"/>
    </w:lvlOverride>
  </w:num>
  <w:num w:numId="5">
    <w:abstractNumId w:val="10"/>
  </w:num>
  <w:num w:numId="6">
    <w:abstractNumId w:val="25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3"/>
  </w:num>
  <w:num w:numId="9">
    <w:abstractNumId w:val="30"/>
  </w:num>
  <w:num w:numId="10">
    <w:abstractNumId w:val="4"/>
    <w:lvlOverride w:ilvl="0">
      <w:startOverride w:val="2"/>
    </w:lvlOverride>
  </w:num>
  <w:num w:numId="11">
    <w:abstractNumId w:val="38"/>
    <w:lvlOverride w:ilvl="0">
      <w:startOverride w:val="1"/>
    </w:lvlOverride>
  </w:num>
  <w:num w:numId="12">
    <w:abstractNumId w:val="17"/>
  </w:num>
  <w:num w:numId="13">
    <w:abstractNumId w:val="18"/>
  </w:num>
  <w:num w:numId="14">
    <w:abstractNumId w:val="0"/>
  </w:num>
  <w:num w:numId="15">
    <w:abstractNumId w:val="34"/>
  </w:num>
  <w:num w:numId="16">
    <w:abstractNumId w:val="2"/>
  </w:num>
  <w:num w:numId="17">
    <w:abstractNumId w:val="21"/>
  </w:num>
  <w:num w:numId="18">
    <w:abstractNumId w:val="28"/>
  </w:num>
  <w:num w:numId="19">
    <w:abstractNumId w:val="15"/>
  </w:num>
  <w:num w:numId="20">
    <w:abstractNumId w:val="26"/>
  </w:num>
  <w:num w:numId="21">
    <w:abstractNumId w:val="11"/>
  </w:num>
  <w:num w:numId="22">
    <w:abstractNumId w:val="8"/>
  </w:num>
  <w:num w:numId="23">
    <w:abstractNumId w:val="9"/>
  </w:num>
  <w:num w:numId="24">
    <w:abstractNumId w:val="12"/>
  </w:num>
  <w:num w:numId="25">
    <w:abstractNumId w:val="20"/>
  </w:num>
  <w:num w:numId="26">
    <w:abstractNumId w:val="27"/>
  </w:num>
  <w:num w:numId="27">
    <w:abstractNumId w:val="14"/>
  </w:num>
  <w:num w:numId="28">
    <w:abstractNumId w:val="23"/>
  </w:num>
  <w:num w:numId="29">
    <w:abstractNumId w:val="33"/>
  </w:num>
  <w:num w:numId="30">
    <w:abstractNumId w:val="32"/>
  </w:num>
  <w:num w:numId="31">
    <w:abstractNumId w:val="29"/>
  </w:num>
  <w:num w:numId="32">
    <w:abstractNumId w:val="19"/>
  </w:num>
  <w:num w:numId="33">
    <w:abstractNumId w:val="37"/>
  </w:num>
  <w:num w:numId="34">
    <w:abstractNumId w:val="16"/>
  </w:num>
  <w:num w:numId="35">
    <w:abstractNumId w:val="13"/>
  </w:num>
  <w:num w:numId="36">
    <w:abstractNumId w:val="36"/>
  </w:num>
  <w:num w:numId="37">
    <w:abstractNumId w:val="6"/>
  </w:num>
  <w:num w:numId="38">
    <w:abstractNumId w:val="5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8F"/>
    <w:rsid w:val="00074B74"/>
    <w:rsid w:val="00087B8D"/>
    <w:rsid w:val="000A3745"/>
    <w:rsid w:val="000B6591"/>
    <w:rsid w:val="00126BD3"/>
    <w:rsid w:val="0013329E"/>
    <w:rsid w:val="0013473D"/>
    <w:rsid w:val="00184681"/>
    <w:rsid w:val="0021402C"/>
    <w:rsid w:val="0021744B"/>
    <w:rsid w:val="00220FBB"/>
    <w:rsid w:val="00242C3D"/>
    <w:rsid w:val="002459D3"/>
    <w:rsid w:val="00272085"/>
    <w:rsid w:val="0028260C"/>
    <w:rsid w:val="002E1C96"/>
    <w:rsid w:val="0031527F"/>
    <w:rsid w:val="00323B6F"/>
    <w:rsid w:val="00327565"/>
    <w:rsid w:val="00365E29"/>
    <w:rsid w:val="00365E31"/>
    <w:rsid w:val="00381A6E"/>
    <w:rsid w:val="003B4CB4"/>
    <w:rsid w:val="00444F8E"/>
    <w:rsid w:val="004660FA"/>
    <w:rsid w:val="00470188"/>
    <w:rsid w:val="0048448C"/>
    <w:rsid w:val="00496357"/>
    <w:rsid w:val="00515B1E"/>
    <w:rsid w:val="00533FCF"/>
    <w:rsid w:val="00540D6B"/>
    <w:rsid w:val="005424D4"/>
    <w:rsid w:val="005E0BB3"/>
    <w:rsid w:val="005E5DF5"/>
    <w:rsid w:val="00602F92"/>
    <w:rsid w:val="00621B1F"/>
    <w:rsid w:val="0062235F"/>
    <w:rsid w:val="0063232F"/>
    <w:rsid w:val="00650862"/>
    <w:rsid w:val="006550B8"/>
    <w:rsid w:val="00673C30"/>
    <w:rsid w:val="00682435"/>
    <w:rsid w:val="0068385B"/>
    <w:rsid w:val="00684F63"/>
    <w:rsid w:val="006A5028"/>
    <w:rsid w:val="006C2FF9"/>
    <w:rsid w:val="006D7C2C"/>
    <w:rsid w:val="006F2F77"/>
    <w:rsid w:val="00720B8F"/>
    <w:rsid w:val="00740BC2"/>
    <w:rsid w:val="00742444"/>
    <w:rsid w:val="007532BC"/>
    <w:rsid w:val="00773976"/>
    <w:rsid w:val="00774922"/>
    <w:rsid w:val="00777389"/>
    <w:rsid w:val="007A18C0"/>
    <w:rsid w:val="007B7FF0"/>
    <w:rsid w:val="007E5963"/>
    <w:rsid w:val="007F116B"/>
    <w:rsid w:val="008061BC"/>
    <w:rsid w:val="00836967"/>
    <w:rsid w:val="00842E18"/>
    <w:rsid w:val="00844FEF"/>
    <w:rsid w:val="0086714A"/>
    <w:rsid w:val="00871BB3"/>
    <w:rsid w:val="008E64E6"/>
    <w:rsid w:val="008E7996"/>
    <w:rsid w:val="00911D1E"/>
    <w:rsid w:val="009133E7"/>
    <w:rsid w:val="009343FC"/>
    <w:rsid w:val="009516AB"/>
    <w:rsid w:val="00976FC7"/>
    <w:rsid w:val="00992405"/>
    <w:rsid w:val="009E5061"/>
    <w:rsid w:val="00A854E2"/>
    <w:rsid w:val="00A87BA7"/>
    <w:rsid w:val="00AA0236"/>
    <w:rsid w:val="00AB7CA3"/>
    <w:rsid w:val="00AC48FB"/>
    <w:rsid w:val="00B32C0C"/>
    <w:rsid w:val="00B41D6E"/>
    <w:rsid w:val="00BA7564"/>
    <w:rsid w:val="00BD256A"/>
    <w:rsid w:val="00C362CD"/>
    <w:rsid w:val="00C568C8"/>
    <w:rsid w:val="00C70C39"/>
    <w:rsid w:val="00C74F0E"/>
    <w:rsid w:val="00C9786D"/>
    <w:rsid w:val="00CB3505"/>
    <w:rsid w:val="00D64B54"/>
    <w:rsid w:val="00D66408"/>
    <w:rsid w:val="00D9159C"/>
    <w:rsid w:val="00DA2AFE"/>
    <w:rsid w:val="00DE13DD"/>
    <w:rsid w:val="00E46CD1"/>
    <w:rsid w:val="00E4732B"/>
    <w:rsid w:val="00E71F89"/>
    <w:rsid w:val="00ED2353"/>
    <w:rsid w:val="00F53038"/>
    <w:rsid w:val="00F60AE9"/>
    <w:rsid w:val="00FB120B"/>
    <w:rsid w:val="00FB4BB2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B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F11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D663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38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881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38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FF881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402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FF881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402C"/>
    <w:pPr>
      <w:keepNext/>
      <w:keepLines/>
      <w:spacing w:before="200" w:after="0"/>
      <w:outlineLvl w:val="4"/>
    </w:pPr>
    <w:rPr>
      <w:rFonts w:ascii="Cambria" w:eastAsia="Times New Roman" w:hAnsi="Cambria"/>
      <w:color w:val="8E42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F116B"/>
  </w:style>
  <w:style w:type="paragraph" w:styleId="Pieddepage">
    <w:name w:val="footer"/>
    <w:basedOn w:val="Normal"/>
    <w:link w:val="Pieddepag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F116B"/>
  </w:style>
  <w:style w:type="character" w:styleId="Lienhypertexte">
    <w:name w:val="Hyperlink"/>
    <w:uiPriority w:val="99"/>
    <w:unhideWhenUsed/>
    <w:rsid w:val="007F116B"/>
    <w:rPr>
      <w:color w:val="FF912E"/>
      <w:u w:val="single"/>
    </w:rPr>
  </w:style>
  <w:style w:type="character" w:styleId="Numrodepage">
    <w:name w:val="page number"/>
    <w:basedOn w:val="Policepardfaut"/>
    <w:semiHidden/>
    <w:rsid w:val="007F116B"/>
  </w:style>
  <w:style w:type="paragraph" w:styleId="NormalWeb">
    <w:name w:val="Normal (Web)"/>
    <w:basedOn w:val="Normal"/>
    <w:uiPriority w:val="99"/>
    <w:semiHidden/>
    <w:unhideWhenUsed/>
    <w:rsid w:val="007F116B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F116B"/>
    <w:pPr>
      <w:pBdr>
        <w:bottom w:val="single" w:sz="8" w:space="4" w:color="FF881F"/>
      </w:pBdr>
      <w:spacing w:after="300" w:line="240" w:lineRule="auto"/>
      <w:contextualSpacing/>
    </w:pPr>
    <w:rPr>
      <w:rFonts w:ascii="Cambria" w:eastAsia="Times New Roman" w:hAnsi="Cambria"/>
      <w:color w:val="771400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7F116B"/>
    <w:rPr>
      <w:rFonts w:ascii="Cambria" w:eastAsia="Times New Roman" w:hAnsi="Cambria" w:cs="Times New Roman"/>
      <w:color w:val="771400"/>
      <w:spacing w:val="5"/>
      <w:kern w:val="28"/>
      <w:sz w:val="52"/>
      <w:szCs w:val="52"/>
    </w:rPr>
  </w:style>
  <w:style w:type="character" w:customStyle="1" w:styleId="Titre1Car">
    <w:name w:val="Titre 1 Car"/>
    <w:link w:val="Titre1"/>
    <w:uiPriority w:val="9"/>
    <w:rsid w:val="007F116B"/>
    <w:rPr>
      <w:rFonts w:ascii="Cambria" w:eastAsia="Times New Roman" w:hAnsi="Cambria" w:cs="Times New Roman"/>
      <w:b/>
      <w:bCs/>
      <w:color w:val="D66300"/>
      <w:kern w:val="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8385B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68385B"/>
    <w:rPr>
      <w:rFonts w:ascii="Cambria" w:eastAsia="Times New Roman" w:hAnsi="Cambria" w:cs="Times New Roman"/>
      <w:b/>
      <w:bCs/>
      <w:color w:val="FF881F"/>
      <w:kern w:val="2"/>
      <w:sz w:val="26"/>
      <w:szCs w:val="26"/>
    </w:rPr>
  </w:style>
  <w:style w:type="character" w:customStyle="1" w:styleId="Titre3Car">
    <w:name w:val="Titre 3 Car"/>
    <w:link w:val="Titre3"/>
    <w:uiPriority w:val="9"/>
    <w:rsid w:val="0068385B"/>
    <w:rPr>
      <w:rFonts w:ascii="Cambria" w:eastAsia="Times New Roman" w:hAnsi="Cambria" w:cs="Times New Roman"/>
      <w:b/>
      <w:bCs/>
      <w:color w:val="FF881F"/>
      <w:kern w:val="2"/>
    </w:rPr>
  </w:style>
  <w:style w:type="character" w:customStyle="1" w:styleId="Titre4Car">
    <w:name w:val="Titre 4 Car"/>
    <w:link w:val="Titre4"/>
    <w:uiPriority w:val="9"/>
    <w:rsid w:val="0021402C"/>
    <w:rPr>
      <w:rFonts w:ascii="Cambria" w:eastAsia="Times New Roman" w:hAnsi="Cambria" w:cs="Times New Roman"/>
      <w:b/>
      <w:bCs/>
      <w:i/>
      <w:iCs/>
      <w:color w:val="FF881F"/>
      <w:kern w:val="2"/>
    </w:rPr>
  </w:style>
  <w:style w:type="character" w:customStyle="1" w:styleId="Titre5Car">
    <w:name w:val="Titre 5 Car"/>
    <w:link w:val="Titre5"/>
    <w:uiPriority w:val="9"/>
    <w:rsid w:val="0021402C"/>
    <w:rPr>
      <w:rFonts w:ascii="Cambria" w:eastAsia="Times New Roman" w:hAnsi="Cambria" w:cs="Times New Roman"/>
      <w:color w:val="8E4200"/>
      <w:kern w:val="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7564"/>
    <w:pPr>
      <w:spacing w:line="276" w:lineRule="auto"/>
      <w:outlineLvl w:val="9"/>
    </w:pPr>
    <w:rPr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75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75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7564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756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34B2-6334-4918-9639-6B70C388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2012-11-15T11:18:00Z</cp:lastPrinted>
  <dcterms:created xsi:type="dcterms:W3CDTF">2012-11-15T16:38:00Z</dcterms:created>
  <dcterms:modified xsi:type="dcterms:W3CDTF">2012-11-15T16:38:00Z</dcterms:modified>
</cp:coreProperties>
</file>