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203896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BTS Banque</w:t>
      </w:r>
      <w:r w:rsidR="00203896" w:rsidRPr="00203896">
        <w:rPr>
          <w:b/>
          <w:bCs/>
          <w:sz w:val="24"/>
          <w:szCs w:val="24"/>
        </w:rPr>
        <w:t xml:space="preserve"> session 20</w:t>
      </w:r>
      <w:r w:rsidR="0071660C">
        <w:rPr>
          <w:b/>
          <w:bCs/>
          <w:sz w:val="24"/>
          <w:szCs w:val="24"/>
        </w:rPr>
        <w:t>0</w:t>
      </w:r>
      <w:r w:rsidR="00C518CE">
        <w:rPr>
          <w:b/>
          <w:bCs/>
          <w:sz w:val="24"/>
          <w:szCs w:val="24"/>
        </w:rPr>
        <w:t>4</w:t>
      </w:r>
      <w:r w:rsidR="007770B1">
        <w:rPr>
          <w:b/>
          <w:bCs/>
          <w:sz w:val="24"/>
          <w:szCs w:val="24"/>
        </w:rPr>
        <w:tab/>
        <w:t xml:space="preserve">EP 3 : </w:t>
      </w:r>
      <w:r w:rsidR="007770B1" w:rsidRPr="007770B1">
        <w:rPr>
          <w:b/>
          <w:bCs/>
          <w:sz w:val="24"/>
          <w:szCs w:val="24"/>
        </w:rPr>
        <w:t>Economie générale et économie d'entreprise</w:t>
      </w:r>
      <w:r w:rsidR="00203896" w:rsidRPr="00203896">
        <w:rPr>
          <w:b/>
          <w:bCs/>
          <w:sz w:val="24"/>
          <w:szCs w:val="24"/>
        </w:rPr>
        <w:tab/>
        <w:t>Corrigé indicatif</w:t>
      </w:r>
    </w:p>
    <w:p w:rsidR="00203896" w:rsidRPr="00B44A44" w:rsidRDefault="00203896" w:rsidP="00203896">
      <w:pPr>
        <w:rPr>
          <w:sz w:val="16"/>
          <w:szCs w:val="16"/>
        </w:rPr>
      </w:pPr>
    </w:p>
    <w:p w:rsidR="00D56165" w:rsidRPr="0020389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</w:p>
    <w:p w:rsidR="00D56165" w:rsidRPr="0020389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CAS PERRIER</w:t>
      </w:r>
    </w:p>
    <w:p w:rsidR="00D56165" w:rsidRPr="0020389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624"/>
        </w:tabs>
        <w:spacing w:line="240" w:lineRule="atLeast"/>
        <w:jc w:val="left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</w:p>
    <w:p w:rsidR="00237027" w:rsidRDefault="00237027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203896" w:rsidRPr="0037282C" w:rsidRDefault="00E7183B" w:rsidP="00203896">
      <w:pPr>
        <w:pStyle w:val="Sansinterligne10"/>
        <w:rPr>
          <w:rFonts w:cs="Arial"/>
          <w:b/>
          <w:bCs/>
          <w:szCs w:val="20"/>
        </w:rPr>
      </w:pPr>
      <w:r w:rsidRPr="0037282C">
        <w:rPr>
          <w:rFonts w:cs="Arial"/>
          <w:b/>
          <w:bCs/>
          <w:szCs w:val="20"/>
        </w:rPr>
        <w:t>PREMIERE PARTIE : TRAVAIL METHODOLOGI</w:t>
      </w:r>
      <w:r w:rsidR="000575E1" w:rsidRPr="0037282C">
        <w:rPr>
          <w:rFonts w:cs="Arial"/>
          <w:b/>
          <w:bCs/>
          <w:szCs w:val="20"/>
        </w:rPr>
        <w:t>QU</w:t>
      </w:r>
      <w:r w:rsidRPr="0037282C">
        <w:rPr>
          <w:rFonts w:cs="Arial"/>
          <w:b/>
          <w:bCs/>
          <w:szCs w:val="20"/>
        </w:rPr>
        <w:t>E (10 points)</w:t>
      </w:r>
    </w:p>
    <w:p w:rsidR="001941A4" w:rsidRPr="0037282C" w:rsidRDefault="001941A4" w:rsidP="00203896">
      <w:pPr>
        <w:pStyle w:val="Sansinterligne10"/>
        <w:rPr>
          <w:rFonts w:cs="Arial"/>
          <w:b/>
          <w:bCs/>
          <w:szCs w:val="20"/>
        </w:rPr>
      </w:pPr>
    </w:p>
    <w:p w:rsidR="00C518CE" w:rsidRPr="0037282C" w:rsidRDefault="00C518CE" w:rsidP="000F75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u w:val="single"/>
        </w:rPr>
      </w:pPr>
      <w:r w:rsidRPr="0037282C">
        <w:rPr>
          <w:rFonts w:ascii="Arial" w:hAnsi="Arial" w:cs="Arial"/>
          <w:b/>
          <w:sz w:val="22"/>
          <w:u w:val="single"/>
        </w:rPr>
        <w:t>Commentez le graphique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u w:val="single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Le graphique publié par l'OCDE met en relation le taux de croissance et les dépenses totales des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administrations publiques pour l'année 2001.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On constate que des pays connaissant une croissance favorable (Espagne, Etats-Unis) ont des taux de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prélèvements parmi les plus bas. Parallèlement, des pays ayant une croissance plus faible (Danemark),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ont un taux de prélèvements élevé (ou de dépenses publiques).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Par ailleurs, on observe que le Japon stagne, avec une croissance faible (0,6 %) en dépit de son faible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taux de prélèvements (moins de 40 % du PIB) tandis que la Suède réalise d'excellents résultats (4 %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de croissance) malgré son haut niveau de prélèvements (plus de 50 % du PIB).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On peut en conclure que la mise en relation des taux de prélèvements obligatoires et du rythme de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croissance pays par pays ne fait pas apparaître de corrélation significative entre les deux agrégats.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518CE" w:rsidRPr="0037282C" w:rsidRDefault="00C518CE" w:rsidP="000F75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u w:val="single"/>
        </w:rPr>
      </w:pPr>
      <w:r w:rsidRPr="0037282C">
        <w:rPr>
          <w:rFonts w:ascii="Arial" w:hAnsi="Arial" w:cs="Arial"/>
          <w:b/>
          <w:sz w:val="22"/>
          <w:u w:val="single"/>
        </w:rPr>
        <w:t>Décrivez quel rôle joue l'Etat dans une économie de marché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u w:val="single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L'Etat se voit confier trois missions essentielles :</w:t>
      </w:r>
    </w:p>
    <w:p w:rsidR="00C518CE" w:rsidRPr="0037282C" w:rsidRDefault="00C518CE" w:rsidP="000F75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une mission de redistribution des richesses et de réduction des inégalités,</w:t>
      </w:r>
    </w:p>
    <w:p w:rsidR="00C518CE" w:rsidRPr="0037282C" w:rsidRDefault="00C518CE" w:rsidP="000F75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une mission consistant à élaborer et à faire respecter les règles de droit applicables à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l'Economie du marché (ou de régulation économique),</w:t>
      </w:r>
    </w:p>
    <w:p w:rsidR="00C518CE" w:rsidRPr="0037282C" w:rsidRDefault="00C518CE" w:rsidP="000F75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une mission de production des biens publics indispensables à une croissance durable (ou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d'allocation des ressources).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518CE" w:rsidRPr="0037282C" w:rsidRDefault="00C518CE" w:rsidP="000F75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u w:val="single"/>
        </w:rPr>
      </w:pPr>
      <w:r w:rsidRPr="0037282C">
        <w:rPr>
          <w:rFonts w:ascii="Arial" w:hAnsi="Arial" w:cs="Arial"/>
          <w:b/>
          <w:sz w:val="22"/>
          <w:u w:val="single"/>
        </w:rPr>
        <w:t>Expliquez en quoi les prélèvements obligatoires peuvent être un frein à la croissance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u w:val="single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La hausse des prélèvements obligatoires peut être un frein à la croissance car elle implique des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conséquences tant au niveau de la demande que de l'offre.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Au niveau de la demande, la hausse des prélèvements obligatoires se traduit par une baisse du revenu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et donc de la consommation.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Au niveau de l'épargne, la hausse des prélèvements obligatoires peut avoir des répercussions sur les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investissements.</w:t>
      </w:r>
    </w:p>
    <w:p w:rsidR="00C33328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t>Elle peut également renchérir le coût du travail et affecter la compétitivité et l'attractivité du territoire.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Au niveau de l'offre, elle implique une hausse des coûts de production. Une trop forte pression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 xml:space="preserve">fiscale </w:t>
      </w:r>
      <w:proofErr w:type="spellStart"/>
      <w:r w:rsidRPr="0037282C">
        <w:rPr>
          <w:rFonts w:ascii="Arial" w:hAnsi="Arial" w:cs="Arial"/>
          <w:sz w:val="22"/>
        </w:rPr>
        <w:t>désincite</w:t>
      </w:r>
      <w:proofErr w:type="spellEnd"/>
      <w:r w:rsidRPr="0037282C">
        <w:rPr>
          <w:rFonts w:ascii="Arial" w:hAnsi="Arial" w:cs="Arial"/>
          <w:sz w:val="22"/>
        </w:rPr>
        <w:t xml:space="preserve"> les agents économiques à travailler davantage. Elle aura pour conséquence de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 xml:space="preserve">réduire en chaîne les recettes fiscales et de peser sur la croissance dans la mesure </w:t>
      </w:r>
      <w:bookmarkStart w:id="0" w:name="_GoBack"/>
      <w:bookmarkEnd w:id="0"/>
      <w:r w:rsidR="00E21CB7" w:rsidRPr="0037282C">
        <w:rPr>
          <w:rFonts w:ascii="Arial" w:hAnsi="Arial" w:cs="Arial"/>
          <w:sz w:val="22"/>
        </w:rPr>
        <w:t>où</w:t>
      </w:r>
      <w:r w:rsidRPr="0037282C">
        <w:rPr>
          <w:rFonts w:ascii="Arial" w:hAnsi="Arial" w:cs="Arial"/>
          <w:sz w:val="22"/>
        </w:rPr>
        <w:t xml:space="preserve"> les agents</w:t>
      </w:r>
      <w:r w:rsidRPr="0037282C">
        <w:rPr>
          <w:rFonts w:ascii="Arial" w:hAnsi="Arial" w:cs="Arial"/>
          <w:sz w:val="22"/>
        </w:rPr>
        <w:t xml:space="preserve"> </w:t>
      </w:r>
      <w:r w:rsidRPr="0037282C">
        <w:rPr>
          <w:rFonts w:ascii="Arial" w:hAnsi="Arial" w:cs="Arial"/>
          <w:sz w:val="22"/>
        </w:rPr>
        <w:t>économiques produisent moins de richesses.</w:t>
      </w:r>
    </w:p>
    <w:p w:rsidR="00C33328" w:rsidRPr="0037282C" w:rsidRDefault="00C33328">
      <w:pPr>
        <w:jc w:val="left"/>
        <w:rPr>
          <w:rFonts w:ascii="Arial" w:hAnsi="Arial" w:cs="Arial"/>
          <w:sz w:val="22"/>
        </w:rPr>
      </w:pPr>
      <w:r w:rsidRPr="0037282C">
        <w:rPr>
          <w:rFonts w:ascii="Arial" w:hAnsi="Arial" w:cs="Arial"/>
          <w:sz w:val="22"/>
        </w:rPr>
        <w:br w:type="page"/>
      </w:r>
    </w:p>
    <w:p w:rsidR="00C518CE" w:rsidRPr="0037282C" w:rsidRDefault="00C518CE" w:rsidP="000F75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37282C">
        <w:rPr>
          <w:rFonts w:ascii="Arial" w:hAnsi="Arial" w:cs="Arial"/>
          <w:b/>
          <w:szCs w:val="24"/>
        </w:rPr>
        <w:t xml:space="preserve">A </w:t>
      </w:r>
      <w:r w:rsidRPr="0037282C">
        <w:rPr>
          <w:rFonts w:ascii="Arial" w:hAnsi="Arial" w:cs="Arial"/>
          <w:b/>
          <w:bCs/>
          <w:szCs w:val="24"/>
        </w:rPr>
        <w:t xml:space="preserve">L'AIDE DE L'ANNEXE </w:t>
      </w:r>
      <w:r w:rsidRPr="0037282C">
        <w:rPr>
          <w:rFonts w:ascii="Arial" w:hAnsi="Arial" w:cs="Arial"/>
          <w:b/>
          <w:szCs w:val="24"/>
        </w:rPr>
        <w:t>2</w:t>
      </w:r>
    </w:p>
    <w:p w:rsidR="0037282C" w:rsidRPr="0037282C" w:rsidRDefault="0037282C" w:rsidP="0037282C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:rsidR="00C518CE" w:rsidRPr="0037282C" w:rsidRDefault="0037282C" w:rsidP="000F75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  <w:r w:rsidRPr="0037282C">
        <w:rPr>
          <w:rFonts w:ascii="Arial" w:hAnsi="Arial" w:cs="Arial"/>
          <w:b/>
          <w:bCs/>
          <w:szCs w:val="24"/>
        </w:rPr>
        <w:t>Analysez</w:t>
      </w:r>
      <w:r w:rsidR="00C518CE" w:rsidRPr="0037282C">
        <w:rPr>
          <w:rFonts w:ascii="Arial" w:hAnsi="Arial" w:cs="Arial"/>
          <w:b/>
          <w:bCs/>
          <w:szCs w:val="24"/>
        </w:rPr>
        <w:t xml:space="preserve"> l'évolution des dépenses de santé de 1997 à 2002 et exposez les causes de cette</w:t>
      </w:r>
      <w:r w:rsidRPr="0037282C">
        <w:rPr>
          <w:rFonts w:ascii="Arial" w:hAnsi="Arial" w:cs="Arial"/>
          <w:b/>
          <w:bCs/>
          <w:szCs w:val="24"/>
        </w:rPr>
        <w:t xml:space="preserve"> </w:t>
      </w:r>
      <w:r w:rsidR="00C518CE" w:rsidRPr="0037282C">
        <w:rPr>
          <w:rFonts w:ascii="Arial" w:hAnsi="Arial" w:cs="Arial"/>
          <w:b/>
          <w:bCs/>
          <w:szCs w:val="24"/>
        </w:rPr>
        <w:t>évolution</w:t>
      </w:r>
    </w:p>
    <w:p w:rsidR="0037282C" w:rsidRPr="0037282C" w:rsidRDefault="0037282C" w:rsidP="0037282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Durant la période de 1997 à 2002, les dépenses de santé n'ont cessé de croître. Elles sont passées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de 91,4 milliards d'euros à 116,7 milliards en 2002.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Concernant le taux de croissance année par année, il nous montre un emballement des dépenses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de santé. Par rapport aux objectifs de dépenses, seules les années 97 et 99 ont vu leurs dépenses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maîtrisées. Elles se sont aggravées à compter de l'année 2000 au cours de laquelle on enregistre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une progression de 5,5 % et un record de 7,2 %.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La maîtrise des dépenses de santé est un échec. Les objectifs n'ont jamais été respectés sauf en 99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provoquant un décalage croissant entre les dépenses prévues et réelles.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Les causes sont à la fois structurelles et conjoncturelles.</w:t>
      </w:r>
    </w:p>
    <w:p w:rsidR="0037282C" w:rsidRPr="0037282C" w:rsidRDefault="0037282C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Les causes structurelles :</w:t>
      </w:r>
    </w:p>
    <w:p w:rsidR="0037282C" w:rsidRPr="0037282C" w:rsidRDefault="0037282C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La hausse du nombre de personnes âgées.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La santé est un bien supérieur pour les ménages, la part dans la consommation est d'autant plus forte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que les revenus s'accroissent.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Le progrès technique, l'évolution technologique du ma</w:t>
      </w:r>
      <w:r w:rsidR="0037282C" w:rsidRPr="0037282C">
        <w:rPr>
          <w:rFonts w:ascii="Arial" w:hAnsi="Arial" w:cs="Arial"/>
          <w:szCs w:val="24"/>
        </w:rPr>
        <w:t>tériel médical qui le rend plus coûteux.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Gaspillage dans la consommation des médicaments.</w:t>
      </w:r>
    </w:p>
    <w:p w:rsidR="0037282C" w:rsidRPr="0037282C" w:rsidRDefault="0037282C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Les causes conjoncturelles :</w:t>
      </w:r>
    </w:p>
    <w:p w:rsidR="0037282C" w:rsidRPr="0037282C" w:rsidRDefault="0037282C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Mauvaise conjoncture économique qui pèse sur les recettes. Augmentation des honoraires des médecins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octroyée en 2002. Les créations d'emplois et augmentation des salaires dans le secteur de la santé.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Augmentation de la consommation de soins les mieux remboursés par l'assurance maladie : hausse du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taux moyen de remboursement des soins.</w:t>
      </w:r>
    </w:p>
    <w:p w:rsidR="0037282C" w:rsidRPr="0037282C" w:rsidRDefault="0037282C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C518CE" w:rsidRPr="0037282C" w:rsidRDefault="00C518CE" w:rsidP="000F75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  <w:r w:rsidRPr="0037282C">
        <w:rPr>
          <w:rFonts w:ascii="Arial" w:hAnsi="Arial" w:cs="Arial"/>
          <w:b/>
          <w:bCs/>
          <w:szCs w:val="24"/>
        </w:rPr>
        <w:t>Recherchez les mesures préconisées par le Gouvernement pour sortir de cet échec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Les mesures préconisées par le Gouvernement concernent la stabilisation des dépenses et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l'accroissement des recettes.</w:t>
      </w: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La stabilisation des dépenses s'effectue par la prise en charge partielle de la dépense par la collectivité</w:t>
      </w:r>
    </w:p>
    <w:p w:rsidR="00C518CE" w:rsidRPr="0037282C" w:rsidRDefault="00C518CE" w:rsidP="000F75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diminution du niveau de remboursement de certains médicaments (= au prix des génériques) et de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certaines affections (ALD),</w:t>
      </w:r>
    </w:p>
    <w:p w:rsidR="00C518CE" w:rsidRPr="0037282C" w:rsidRDefault="00C518CE" w:rsidP="000F75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déremboursement de médicaments à « service médical rendu » insuffisant,</w:t>
      </w:r>
    </w:p>
    <w:p w:rsidR="00C518CE" w:rsidRPr="0037282C" w:rsidRDefault="00C518CE" w:rsidP="000F75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revalorisation du forfait journalier hospitalier,</w:t>
      </w:r>
    </w:p>
    <w:p w:rsidR="00C518CE" w:rsidRPr="0037282C" w:rsidRDefault="00C518CE" w:rsidP="000F75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exclusion du remboursement d'actes hors justification médicale (certificat médical pour une licence</w:t>
      </w:r>
      <w:r w:rsidR="0037282C" w:rsidRPr="0037282C">
        <w:rPr>
          <w:rFonts w:ascii="Arial" w:hAnsi="Arial" w:cs="Arial"/>
          <w:szCs w:val="24"/>
        </w:rPr>
        <w:t xml:space="preserve"> </w:t>
      </w:r>
      <w:r w:rsidRPr="0037282C">
        <w:rPr>
          <w:rFonts w:ascii="Arial" w:hAnsi="Arial" w:cs="Arial"/>
          <w:szCs w:val="24"/>
        </w:rPr>
        <w:t>sportive).</w:t>
      </w:r>
    </w:p>
    <w:p w:rsidR="0037282C" w:rsidRPr="0037282C" w:rsidRDefault="0037282C" w:rsidP="0037282C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C518CE" w:rsidRPr="0037282C" w:rsidRDefault="00C518CE" w:rsidP="00C518CE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L'accroissement des recettes (les trois mesures sont exigées) se traduit par :</w:t>
      </w:r>
    </w:p>
    <w:p w:rsidR="00C518CE" w:rsidRPr="0037282C" w:rsidRDefault="00C518CE" w:rsidP="000F75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>augmentation du prix du tabac</w:t>
      </w:r>
    </w:p>
    <w:p w:rsidR="00C518CE" w:rsidRPr="0037282C" w:rsidRDefault="00C518CE" w:rsidP="000F75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37282C">
        <w:rPr>
          <w:rFonts w:ascii="Arial" w:hAnsi="Arial" w:cs="Arial"/>
          <w:szCs w:val="24"/>
        </w:rPr>
        <w:t xml:space="preserve">mise en </w:t>
      </w:r>
      <w:proofErr w:type="spellStart"/>
      <w:r w:rsidRPr="0037282C">
        <w:rPr>
          <w:rFonts w:ascii="Arial" w:hAnsi="Arial" w:cs="Arial"/>
          <w:szCs w:val="24"/>
        </w:rPr>
        <w:t>oeuvre</w:t>
      </w:r>
      <w:proofErr w:type="spellEnd"/>
      <w:r w:rsidRPr="0037282C">
        <w:rPr>
          <w:rFonts w:ascii="Arial" w:hAnsi="Arial" w:cs="Arial"/>
          <w:szCs w:val="24"/>
        </w:rPr>
        <w:t xml:space="preserve"> des recours systématique contre les tiers assureurs</w:t>
      </w:r>
    </w:p>
    <w:p w:rsidR="00C33328" w:rsidRPr="0037282C" w:rsidRDefault="00C518CE" w:rsidP="000F75D1">
      <w:pPr>
        <w:pStyle w:val="Sansinterligne10"/>
        <w:numPr>
          <w:ilvl w:val="0"/>
          <w:numId w:val="4"/>
        </w:numPr>
        <w:rPr>
          <w:rFonts w:cs="Arial"/>
          <w:szCs w:val="24"/>
        </w:rPr>
      </w:pPr>
      <w:r w:rsidRPr="0037282C">
        <w:rPr>
          <w:rFonts w:cs="Arial"/>
          <w:szCs w:val="24"/>
        </w:rPr>
        <w:t>hausse de la taxe sur la promotion pharmaceutique</w:t>
      </w:r>
    </w:p>
    <w:p w:rsidR="00C518CE" w:rsidRDefault="00C518CE" w:rsidP="00C518CE">
      <w:pPr>
        <w:pStyle w:val="Sansinterligne10"/>
        <w:rPr>
          <w:rFonts w:ascii="Times-Roman" w:hAnsi="Times-Roman" w:cs="Times-Roman"/>
          <w:szCs w:val="24"/>
        </w:rPr>
      </w:pPr>
    </w:p>
    <w:p w:rsidR="00C518CE" w:rsidRDefault="00C518CE" w:rsidP="00C518CE">
      <w:pPr>
        <w:pStyle w:val="Sansinterligne10"/>
        <w:rPr>
          <w:rFonts w:ascii="Times-Roman" w:hAnsi="Times-Roman" w:cs="Times-Roman"/>
          <w:szCs w:val="24"/>
        </w:rPr>
      </w:pP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Introduction :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Phrase d'accroche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et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Annonce du sujet</w:t>
      </w:r>
    </w:p>
    <w:p w:rsidR="0037282C" w:rsidRDefault="0037282C" w:rsidP="0037282C">
      <w:pPr>
        <w:pStyle w:val="Sansinterligne10"/>
        <w:rPr>
          <w:rFonts w:cs="Arial"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Définition</w:t>
      </w:r>
      <w:r w:rsidRPr="0037282C">
        <w:rPr>
          <w:rFonts w:cs="Arial"/>
          <w:b/>
          <w:sz w:val="22"/>
        </w:rPr>
        <w:t> :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Une entreprise se diversifie lorsqu'elle entre dans un nouveau domaine d'activité, soit en augmentant le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nombre de produits proposés, soit en s'attaquant à de nouveaux marchés ou les deux à la fois.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La diversification repose sur l'acquisition et l'utilisation de nouveaux savoir-faire dans des domaines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d'activité différents. Une entreprise diversifiée est donc une entreprise qui exerce plusieurs métiers.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La diversification est aussi une stratégie de croissance. Elle peut être horizontale, verticale ou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conglomérale. Selon les objectifs recherchés, l'entreprise s'orientera vers une diversification de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placement, de redéploiement, de confortement ou de survie.</w:t>
      </w:r>
    </w:p>
    <w:p w:rsidR="0037282C" w:rsidRDefault="0037282C" w:rsidP="0037282C">
      <w:pPr>
        <w:pStyle w:val="Sansinterligne10"/>
        <w:rPr>
          <w:rFonts w:cs="Arial"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Problématique – Plan</w:t>
      </w:r>
      <w:r>
        <w:rPr>
          <w:rFonts w:cs="Arial"/>
          <w:b/>
          <w:sz w:val="22"/>
        </w:rPr>
        <w:t> :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En se diversifiant, l'entreprise peut assurer sa croissance future en répartissant les risques sur des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activités variées et en se donnant les moyens de relayer des activités menacées. Mais si la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diversification présente des avantages (I), néanmoins, l'entreprise, pour réussir, doit surmonter les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difficultés liées à ce type d'opération (II).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Default="0037282C" w:rsidP="000F75D1">
      <w:pPr>
        <w:pStyle w:val="Sansinterligne10"/>
        <w:numPr>
          <w:ilvl w:val="0"/>
          <w:numId w:val="5"/>
        </w:numPr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 xml:space="preserve">Les avantages </w:t>
      </w:r>
      <w:r w:rsidRPr="0037282C">
        <w:rPr>
          <w:rFonts w:cs="Arial"/>
          <w:b/>
          <w:sz w:val="22"/>
        </w:rPr>
        <w:t>liés</w:t>
      </w:r>
      <w:r w:rsidRPr="0037282C">
        <w:rPr>
          <w:rFonts w:cs="Arial"/>
          <w:b/>
          <w:sz w:val="22"/>
        </w:rPr>
        <w:t xml:space="preserve"> à la diversification</w:t>
      </w: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</w:p>
    <w:p w:rsidR="0037282C" w:rsidRDefault="0037282C" w:rsidP="000F75D1">
      <w:pPr>
        <w:pStyle w:val="Sansinterligne10"/>
        <w:numPr>
          <w:ilvl w:val="0"/>
          <w:numId w:val="6"/>
        </w:numPr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La répartition des risques</w:t>
      </w: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</w:p>
    <w:p w:rsidR="0037282C" w:rsidRPr="0037282C" w:rsidRDefault="0037282C" w:rsidP="000F75D1">
      <w:pPr>
        <w:pStyle w:val="Sansinterligne10"/>
        <w:numPr>
          <w:ilvl w:val="0"/>
          <w:numId w:val="8"/>
        </w:numPr>
        <w:rPr>
          <w:rFonts w:cs="Arial"/>
          <w:sz w:val="22"/>
        </w:rPr>
      </w:pPr>
      <w:r w:rsidRPr="0037282C">
        <w:rPr>
          <w:rFonts w:cs="Arial"/>
          <w:sz w:val="22"/>
        </w:rPr>
        <w:t>Flexibilité stratégique et diversification du portefeuille des domaines d'activités stratégiques (DAS) et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recherche de l'équilibre financier.</w:t>
      </w:r>
    </w:p>
    <w:p w:rsidR="0037282C" w:rsidRDefault="0037282C" w:rsidP="000F75D1">
      <w:pPr>
        <w:pStyle w:val="Sansinterligne10"/>
        <w:numPr>
          <w:ilvl w:val="0"/>
          <w:numId w:val="8"/>
        </w:numPr>
        <w:rPr>
          <w:rFonts w:cs="Arial"/>
          <w:sz w:val="22"/>
        </w:rPr>
      </w:pPr>
      <w:r w:rsidRPr="0037282C">
        <w:rPr>
          <w:rFonts w:cs="Arial"/>
          <w:sz w:val="22"/>
        </w:rPr>
        <w:t>Diminution des risques qui sont répartis : lissage et répartition des risques entre diverses activités</w:t>
      </w:r>
      <w:r w:rsidRPr="0037282C"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permettant de faciliter ainsi, en cas de changement de l'environnement, un repli stratégique sur les</w:t>
      </w:r>
      <w:r w:rsidRPr="0037282C"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activités du moment les mieux positionnés.</w:t>
      </w:r>
    </w:p>
    <w:p w:rsidR="0037282C" w:rsidRDefault="0037282C" w:rsidP="000F75D1">
      <w:pPr>
        <w:pStyle w:val="Sansinterligne10"/>
        <w:numPr>
          <w:ilvl w:val="0"/>
          <w:numId w:val="7"/>
        </w:numPr>
        <w:rPr>
          <w:rFonts w:cs="Arial"/>
          <w:sz w:val="22"/>
        </w:rPr>
      </w:pPr>
      <w:r w:rsidRPr="0037282C">
        <w:rPr>
          <w:rFonts w:cs="Arial"/>
          <w:sz w:val="22"/>
        </w:rPr>
        <w:t>Réduire les risques liés au cycle conjoncturel (fluctuation de la demande, saisonnalité des activités).</w:t>
      </w:r>
    </w:p>
    <w:p w:rsidR="0037282C" w:rsidRDefault="0037282C" w:rsidP="000F75D1">
      <w:pPr>
        <w:pStyle w:val="Sansinterligne10"/>
        <w:numPr>
          <w:ilvl w:val="0"/>
          <w:numId w:val="7"/>
        </w:numPr>
        <w:rPr>
          <w:rFonts w:cs="Arial"/>
          <w:sz w:val="22"/>
        </w:rPr>
      </w:pPr>
      <w:r w:rsidRPr="0037282C">
        <w:rPr>
          <w:rFonts w:cs="Arial"/>
          <w:sz w:val="22"/>
        </w:rPr>
        <w:t>Réduire les risques liés au cycle de vie du produit (relayer des activités menacées).</w:t>
      </w:r>
    </w:p>
    <w:p w:rsidR="0037282C" w:rsidRDefault="0037282C" w:rsidP="000F75D1">
      <w:pPr>
        <w:pStyle w:val="Sansinterligne10"/>
        <w:numPr>
          <w:ilvl w:val="0"/>
          <w:numId w:val="7"/>
        </w:numPr>
        <w:rPr>
          <w:rFonts w:cs="Arial"/>
          <w:sz w:val="22"/>
        </w:rPr>
      </w:pPr>
      <w:r w:rsidRPr="0037282C">
        <w:rPr>
          <w:rFonts w:cs="Arial"/>
          <w:sz w:val="22"/>
        </w:rPr>
        <w:t>Réduire les risques liés au cycle de vie technologique (liés à l'évolution des techniques).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Default="0037282C" w:rsidP="000F75D1">
      <w:pPr>
        <w:pStyle w:val="Sansinterligne10"/>
        <w:numPr>
          <w:ilvl w:val="0"/>
          <w:numId w:val="6"/>
        </w:numPr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L'amélioration de la rentabilité</w:t>
      </w: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Nouvelles sources d'innovation.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Saisir de nouvelles opportunités.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Profiter de nouveaux marchés.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Contrer un concurrent.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Maîtrise de savoir-faire nouveaux.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Acquisition de nouvelles compétences.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Exploiter des synergies.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Réalisation d'économies d'apprentissage, baisse des coûts.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Economies d'échelles.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 xml:space="preserve">Taille critique et seuils dimensionnels </w:t>
      </w:r>
      <w:proofErr w:type="spellStart"/>
      <w:r w:rsidRPr="0037282C">
        <w:rPr>
          <w:rFonts w:cs="Arial"/>
          <w:sz w:val="22"/>
        </w:rPr>
        <w:t>du</w:t>
      </w:r>
      <w:proofErr w:type="spellEnd"/>
      <w:r w:rsidRPr="0037282C">
        <w:rPr>
          <w:rFonts w:cs="Arial"/>
          <w:sz w:val="22"/>
        </w:rPr>
        <w:t xml:space="preserve"> à la croissance.</w:t>
      </w:r>
    </w:p>
    <w:p w:rsidR="00C518CE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Affecter de façon rentable les excédents financiers.</w:t>
      </w:r>
    </w:p>
    <w:p w:rsidR="0037282C" w:rsidRDefault="0037282C">
      <w:pPr>
        <w:jc w:val="left"/>
        <w:rPr>
          <w:rFonts w:ascii="Arial" w:hAnsi="Arial" w:cs="Arial"/>
          <w:sz w:val="22"/>
        </w:rPr>
      </w:pPr>
      <w:r>
        <w:rPr>
          <w:rFonts w:cs="Arial"/>
          <w:sz w:val="22"/>
        </w:rPr>
        <w:br w:type="page"/>
      </w:r>
    </w:p>
    <w:p w:rsidR="0037282C" w:rsidRDefault="0037282C" w:rsidP="000F75D1">
      <w:pPr>
        <w:pStyle w:val="Sansinterligne10"/>
        <w:numPr>
          <w:ilvl w:val="0"/>
          <w:numId w:val="5"/>
        </w:numPr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Les difficultés liées à ce type d'opération</w:t>
      </w: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</w:p>
    <w:p w:rsidR="0037282C" w:rsidRDefault="0037282C" w:rsidP="000F75D1">
      <w:pPr>
        <w:pStyle w:val="Sansinterligne10"/>
        <w:numPr>
          <w:ilvl w:val="0"/>
          <w:numId w:val="9"/>
        </w:numPr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La maîtrise financière et mercatique</w:t>
      </w: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</w:p>
    <w:p w:rsidR="0037282C" w:rsidRPr="0037282C" w:rsidRDefault="0037282C" w:rsidP="000F75D1">
      <w:pPr>
        <w:pStyle w:val="Sansinterligne10"/>
        <w:numPr>
          <w:ilvl w:val="0"/>
          <w:numId w:val="8"/>
        </w:numPr>
        <w:rPr>
          <w:rFonts w:cs="Arial"/>
          <w:sz w:val="22"/>
        </w:rPr>
      </w:pPr>
      <w:r w:rsidRPr="0037282C">
        <w:rPr>
          <w:rFonts w:cs="Arial"/>
          <w:sz w:val="22"/>
        </w:rPr>
        <w:t>Contrainte financière :</w:t>
      </w:r>
    </w:p>
    <w:p w:rsidR="0037282C" w:rsidRPr="0037282C" w:rsidRDefault="0037282C" w:rsidP="000F75D1">
      <w:pPr>
        <w:pStyle w:val="Sansinterligne10"/>
        <w:numPr>
          <w:ilvl w:val="0"/>
          <w:numId w:val="10"/>
        </w:numPr>
        <w:rPr>
          <w:rFonts w:cs="Arial"/>
          <w:sz w:val="22"/>
        </w:rPr>
      </w:pPr>
      <w:r w:rsidRPr="0037282C">
        <w:rPr>
          <w:rFonts w:cs="Arial"/>
          <w:sz w:val="22"/>
        </w:rPr>
        <w:t>investissements importants</w:t>
      </w:r>
    </w:p>
    <w:p w:rsidR="0037282C" w:rsidRPr="0037282C" w:rsidRDefault="0037282C" w:rsidP="000F75D1">
      <w:pPr>
        <w:pStyle w:val="Sansinterligne10"/>
        <w:numPr>
          <w:ilvl w:val="0"/>
          <w:numId w:val="10"/>
        </w:numPr>
        <w:rPr>
          <w:rFonts w:cs="Arial"/>
          <w:sz w:val="22"/>
        </w:rPr>
      </w:pPr>
      <w:r w:rsidRPr="0037282C">
        <w:rPr>
          <w:rFonts w:cs="Arial"/>
          <w:sz w:val="22"/>
        </w:rPr>
        <w:t>trouver les sources de financement</w:t>
      </w:r>
    </w:p>
    <w:p w:rsidR="0037282C" w:rsidRPr="0037282C" w:rsidRDefault="0037282C" w:rsidP="000F75D1">
      <w:pPr>
        <w:pStyle w:val="Sansinterligne10"/>
        <w:numPr>
          <w:ilvl w:val="0"/>
          <w:numId w:val="10"/>
        </w:numPr>
        <w:rPr>
          <w:rFonts w:cs="Arial"/>
          <w:sz w:val="22"/>
        </w:rPr>
      </w:pPr>
      <w:r w:rsidRPr="0037282C">
        <w:rPr>
          <w:rFonts w:cs="Arial"/>
          <w:sz w:val="22"/>
        </w:rPr>
        <w:t>montage financier</w:t>
      </w:r>
    </w:p>
    <w:p w:rsidR="0037282C" w:rsidRPr="0037282C" w:rsidRDefault="0037282C" w:rsidP="000F75D1">
      <w:pPr>
        <w:pStyle w:val="Sansinterligne10"/>
        <w:numPr>
          <w:ilvl w:val="0"/>
          <w:numId w:val="8"/>
        </w:numPr>
        <w:rPr>
          <w:rFonts w:cs="Arial"/>
          <w:sz w:val="22"/>
        </w:rPr>
      </w:pPr>
      <w:r w:rsidRPr="0037282C">
        <w:rPr>
          <w:rFonts w:cs="Arial"/>
          <w:sz w:val="22"/>
        </w:rPr>
        <w:t>Choix d'un mauvais secteur d'activités, risque d'échec de la nouvelle activité.</w:t>
      </w:r>
    </w:p>
    <w:p w:rsidR="0037282C" w:rsidRDefault="0037282C" w:rsidP="000F75D1">
      <w:pPr>
        <w:pStyle w:val="Sansinterligne10"/>
        <w:numPr>
          <w:ilvl w:val="0"/>
          <w:numId w:val="8"/>
        </w:numPr>
        <w:rPr>
          <w:rFonts w:cs="Arial"/>
          <w:sz w:val="22"/>
        </w:rPr>
      </w:pPr>
      <w:r w:rsidRPr="0037282C">
        <w:rPr>
          <w:rFonts w:cs="Arial"/>
          <w:sz w:val="22"/>
        </w:rPr>
        <w:t>Ralentissement de l'innovation.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Default="0037282C" w:rsidP="000F75D1">
      <w:pPr>
        <w:pStyle w:val="Sansinterligne10"/>
        <w:numPr>
          <w:ilvl w:val="0"/>
          <w:numId w:val="9"/>
        </w:numPr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La maîtrise organisationnelle et juridique</w:t>
      </w: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</w:p>
    <w:p w:rsidR="0037282C" w:rsidRPr="0037282C" w:rsidRDefault="0037282C" w:rsidP="000F75D1">
      <w:pPr>
        <w:pStyle w:val="Sansinterligne10"/>
        <w:numPr>
          <w:ilvl w:val="0"/>
          <w:numId w:val="11"/>
        </w:numPr>
        <w:rPr>
          <w:rFonts w:cs="Arial"/>
          <w:sz w:val="22"/>
        </w:rPr>
      </w:pPr>
      <w:r w:rsidRPr="0037282C">
        <w:rPr>
          <w:rFonts w:cs="Arial"/>
          <w:sz w:val="22"/>
        </w:rPr>
        <w:t>Absence d'unités entre les différentes activités</w:t>
      </w:r>
    </w:p>
    <w:p w:rsidR="0037282C" w:rsidRPr="0037282C" w:rsidRDefault="0037282C" w:rsidP="000F75D1">
      <w:pPr>
        <w:pStyle w:val="Sansinterligne10"/>
        <w:numPr>
          <w:ilvl w:val="0"/>
          <w:numId w:val="11"/>
        </w:numPr>
        <w:rPr>
          <w:rFonts w:cs="Arial"/>
          <w:sz w:val="22"/>
        </w:rPr>
      </w:pPr>
      <w:r w:rsidRPr="0037282C">
        <w:rPr>
          <w:rFonts w:cs="Arial"/>
          <w:sz w:val="22"/>
        </w:rPr>
        <w:t>Dispersion des ressources et des compétences</w:t>
      </w:r>
    </w:p>
    <w:p w:rsidR="0037282C" w:rsidRPr="0037282C" w:rsidRDefault="0037282C" w:rsidP="000F75D1">
      <w:pPr>
        <w:pStyle w:val="Sansinterligne10"/>
        <w:numPr>
          <w:ilvl w:val="0"/>
          <w:numId w:val="11"/>
        </w:numPr>
        <w:rPr>
          <w:rFonts w:cs="Arial"/>
          <w:sz w:val="22"/>
        </w:rPr>
      </w:pPr>
      <w:r w:rsidRPr="0037282C">
        <w:rPr>
          <w:rFonts w:cs="Arial"/>
          <w:sz w:val="22"/>
        </w:rPr>
        <w:t>Maîtrise de l'ensemble complexe</w:t>
      </w:r>
    </w:p>
    <w:p w:rsidR="0037282C" w:rsidRPr="0037282C" w:rsidRDefault="0037282C" w:rsidP="000F75D1">
      <w:pPr>
        <w:pStyle w:val="Sansinterligne10"/>
        <w:numPr>
          <w:ilvl w:val="0"/>
          <w:numId w:val="11"/>
        </w:numPr>
        <w:rPr>
          <w:rFonts w:cs="Arial"/>
          <w:sz w:val="22"/>
        </w:rPr>
      </w:pPr>
      <w:r w:rsidRPr="0037282C">
        <w:rPr>
          <w:rFonts w:cs="Arial"/>
          <w:sz w:val="22"/>
        </w:rPr>
        <w:t>Culture et identité diluées</w:t>
      </w:r>
    </w:p>
    <w:p w:rsidR="0037282C" w:rsidRPr="0037282C" w:rsidRDefault="0037282C" w:rsidP="000F75D1">
      <w:pPr>
        <w:pStyle w:val="Sansinterligne10"/>
        <w:numPr>
          <w:ilvl w:val="0"/>
          <w:numId w:val="11"/>
        </w:numPr>
        <w:rPr>
          <w:rFonts w:cs="Arial"/>
          <w:sz w:val="22"/>
        </w:rPr>
      </w:pPr>
      <w:r w:rsidRPr="0037282C">
        <w:rPr>
          <w:rFonts w:cs="Arial"/>
          <w:sz w:val="22"/>
        </w:rPr>
        <w:t>Formation, réaffectation, reconversion, licenciement</w:t>
      </w:r>
    </w:p>
    <w:p w:rsidR="0037282C" w:rsidRDefault="0037282C" w:rsidP="000F75D1">
      <w:pPr>
        <w:pStyle w:val="Sansinterligne10"/>
        <w:numPr>
          <w:ilvl w:val="0"/>
          <w:numId w:val="11"/>
        </w:numPr>
        <w:rPr>
          <w:rFonts w:cs="Arial"/>
          <w:sz w:val="22"/>
        </w:rPr>
      </w:pPr>
      <w:r w:rsidRPr="0037282C">
        <w:rPr>
          <w:rFonts w:cs="Arial"/>
          <w:sz w:val="22"/>
        </w:rPr>
        <w:t>Choix du statut juridique approprié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b/>
          <w:sz w:val="22"/>
        </w:rPr>
      </w:pPr>
      <w:r w:rsidRPr="0037282C">
        <w:rPr>
          <w:rFonts w:cs="Arial"/>
          <w:b/>
          <w:sz w:val="22"/>
        </w:rPr>
        <w:t>Conclusion :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Une diversification réussie est à l'origine de multiples avantages pour l'entreprise. Mais, elle s'appuie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souvent sur un élément déterminant qu'est le métier de base de l'entreprise, c'est-à-dire ses compétences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fondamentales. Le cas de l'Oréal en est l'exemple.</w:t>
      </w:r>
    </w:p>
    <w:p w:rsidR="0037282C" w:rsidRPr="0037282C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Une diversification à outrance et non maîtrisée peut produire l'effet inverse de l'effet initial recherché et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 xml:space="preserve">au lieu de répartir les risques, elle les multiplie. C'est le cas de Vivendi </w:t>
      </w:r>
      <w:proofErr w:type="spellStart"/>
      <w:r w:rsidRPr="0037282C">
        <w:rPr>
          <w:rFonts w:cs="Arial"/>
          <w:sz w:val="22"/>
        </w:rPr>
        <w:t>Universal</w:t>
      </w:r>
      <w:proofErr w:type="spellEnd"/>
      <w:r w:rsidRPr="0037282C">
        <w:rPr>
          <w:rFonts w:cs="Arial"/>
          <w:sz w:val="22"/>
        </w:rPr>
        <w:t>, contraint de céder ses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actifs.</w:t>
      </w:r>
    </w:p>
    <w:p w:rsidR="0037282C" w:rsidRPr="00C33328" w:rsidRDefault="0037282C" w:rsidP="0037282C">
      <w:pPr>
        <w:pStyle w:val="Sansinterligne10"/>
        <w:rPr>
          <w:rFonts w:cs="Arial"/>
          <w:sz w:val="22"/>
        </w:rPr>
      </w:pPr>
      <w:r w:rsidRPr="0037282C">
        <w:rPr>
          <w:rFonts w:cs="Arial"/>
          <w:sz w:val="22"/>
        </w:rPr>
        <w:t>C'est la raison pour laquelle un grand nombre d'entreprises ont redéfini leur stratégie et opéré une</w:t>
      </w:r>
      <w:r>
        <w:rPr>
          <w:rFonts w:cs="Arial"/>
          <w:sz w:val="22"/>
        </w:rPr>
        <w:t xml:space="preserve"> </w:t>
      </w:r>
      <w:r w:rsidRPr="0037282C">
        <w:rPr>
          <w:rFonts w:cs="Arial"/>
          <w:sz w:val="22"/>
        </w:rPr>
        <w:t>stratégie de recentrage sur leur métier de base en se désengageant de certaines activités.</w:t>
      </w:r>
    </w:p>
    <w:sectPr w:rsidR="0037282C" w:rsidRPr="00C33328" w:rsidSect="00C93E22">
      <w:headerReference w:type="default" r:id="rId7"/>
      <w:footerReference w:type="even" r:id="rId8"/>
      <w:footerReference w:type="default" r:id="rId9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D1" w:rsidRDefault="000F75D1">
      <w:r>
        <w:separator/>
      </w:r>
    </w:p>
  </w:endnote>
  <w:endnote w:type="continuationSeparator" w:id="0">
    <w:p w:rsidR="000F75D1" w:rsidRDefault="000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3BC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C518CE">
      <w:rPr>
        <w:sz w:val="20"/>
      </w:rPr>
      <w:t>4</w:t>
    </w:r>
    <w:r>
      <w:rPr>
        <w:sz w:val="20"/>
      </w:rPr>
      <w:t xml:space="preserve"> – EPREUVE 3.1 - </w:t>
    </w:r>
    <w:r w:rsidRPr="003D0C63">
      <w:rPr>
        <w:sz w:val="20"/>
      </w:rPr>
      <w:t>Economie Générale et Economie d'Entreprise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D13BC7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D13BC7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D1" w:rsidRDefault="000F75D1">
      <w:r>
        <w:separator/>
      </w:r>
    </w:p>
  </w:footnote>
  <w:footnote w:type="continuationSeparator" w:id="0">
    <w:p w:rsidR="000F75D1" w:rsidRDefault="000F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4F3583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0F75D1"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85"/>
    <w:multiLevelType w:val="hybridMultilevel"/>
    <w:tmpl w:val="5E960AF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429"/>
    <w:multiLevelType w:val="hybridMultilevel"/>
    <w:tmpl w:val="14C41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51CC4"/>
    <w:multiLevelType w:val="hybridMultilevel"/>
    <w:tmpl w:val="DDE43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6917"/>
    <w:multiLevelType w:val="hybridMultilevel"/>
    <w:tmpl w:val="9B2EA0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847"/>
    <w:multiLevelType w:val="hybridMultilevel"/>
    <w:tmpl w:val="7E7608FC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E65CA"/>
    <w:multiLevelType w:val="hybridMultilevel"/>
    <w:tmpl w:val="3A7C0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26E4A"/>
    <w:multiLevelType w:val="hybridMultilevel"/>
    <w:tmpl w:val="95102558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221"/>
    <w:multiLevelType w:val="hybridMultilevel"/>
    <w:tmpl w:val="66DA4B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A214D"/>
    <w:multiLevelType w:val="hybridMultilevel"/>
    <w:tmpl w:val="CCDCD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B67DC"/>
    <w:multiLevelType w:val="hybridMultilevel"/>
    <w:tmpl w:val="7FA45B5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D137B"/>
    <w:multiLevelType w:val="hybridMultilevel"/>
    <w:tmpl w:val="F5242D3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F75D1"/>
    <w:rsid w:val="001323E0"/>
    <w:rsid w:val="00136C3E"/>
    <w:rsid w:val="00146B57"/>
    <w:rsid w:val="001500E0"/>
    <w:rsid w:val="00167D6A"/>
    <w:rsid w:val="001744E9"/>
    <w:rsid w:val="001934CE"/>
    <w:rsid w:val="001941A4"/>
    <w:rsid w:val="001B3019"/>
    <w:rsid w:val="001C744F"/>
    <w:rsid w:val="001D0090"/>
    <w:rsid w:val="001D43EB"/>
    <w:rsid w:val="00203896"/>
    <w:rsid w:val="00204631"/>
    <w:rsid w:val="002155CB"/>
    <w:rsid w:val="00227C18"/>
    <w:rsid w:val="00237027"/>
    <w:rsid w:val="00251E71"/>
    <w:rsid w:val="00255DC7"/>
    <w:rsid w:val="002624B1"/>
    <w:rsid w:val="00290F0C"/>
    <w:rsid w:val="0029450B"/>
    <w:rsid w:val="002A09A6"/>
    <w:rsid w:val="002A30E8"/>
    <w:rsid w:val="002C3769"/>
    <w:rsid w:val="002C3DCD"/>
    <w:rsid w:val="002E39BF"/>
    <w:rsid w:val="002E5BEC"/>
    <w:rsid w:val="002E6AE5"/>
    <w:rsid w:val="0031152F"/>
    <w:rsid w:val="003409B5"/>
    <w:rsid w:val="00351FD7"/>
    <w:rsid w:val="003650E2"/>
    <w:rsid w:val="003666D5"/>
    <w:rsid w:val="0037282C"/>
    <w:rsid w:val="00382D18"/>
    <w:rsid w:val="0039709E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9489C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601FA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72E0"/>
    <w:rsid w:val="008249C5"/>
    <w:rsid w:val="0083549E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A05CEF"/>
    <w:rsid w:val="00A542AB"/>
    <w:rsid w:val="00A92596"/>
    <w:rsid w:val="00A9563D"/>
    <w:rsid w:val="00AA3902"/>
    <w:rsid w:val="00AC2F5E"/>
    <w:rsid w:val="00B044C8"/>
    <w:rsid w:val="00B4087B"/>
    <w:rsid w:val="00B4152F"/>
    <w:rsid w:val="00B43B7A"/>
    <w:rsid w:val="00B44A44"/>
    <w:rsid w:val="00B6330B"/>
    <w:rsid w:val="00B704C1"/>
    <w:rsid w:val="00B774D1"/>
    <w:rsid w:val="00B81EC8"/>
    <w:rsid w:val="00BB29AB"/>
    <w:rsid w:val="00BD1E01"/>
    <w:rsid w:val="00BE3E07"/>
    <w:rsid w:val="00BE4594"/>
    <w:rsid w:val="00C10857"/>
    <w:rsid w:val="00C245CA"/>
    <w:rsid w:val="00C33328"/>
    <w:rsid w:val="00C518CE"/>
    <w:rsid w:val="00C55DBE"/>
    <w:rsid w:val="00C9171B"/>
    <w:rsid w:val="00C93342"/>
    <w:rsid w:val="00C93E22"/>
    <w:rsid w:val="00CA481F"/>
    <w:rsid w:val="00CC507C"/>
    <w:rsid w:val="00CD0981"/>
    <w:rsid w:val="00CD5617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F480B"/>
    <w:rsid w:val="00E11841"/>
    <w:rsid w:val="00E15B34"/>
    <w:rsid w:val="00E20310"/>
    <w:rsid w:val="00E21CB7"/>
    <w:rsid w:val="00E231F7"/>
    <w:rsid w:val="00E617DC"/>
    <w:rsid w:val="00E62184"/>
    <w:rsid w:val="00E7061D"/>
    <w:rsid w:val="00E7183B"/>
    <w:rsid w:val="00EA6533"/>
    <w:rsid w:val="00EB5A6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4</cp:revision>
  <cp:lastPrinted>2012-11-28T17:59:00Z</cp:lastPrinted>
  <dcterms:created xsi:type="dcterms:W3CDTF">2012-11-28T17:59:00Z</dcterms:created>
  <dcterms:modified xsi:type="dcterms:W3CDTF">2012-11-28T18:00:00Z</dcterms:modified>
</cp:coreProperties>
</file>