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3A67B2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3A67B2">
        <w:rPr>
          <w:rFonts w:ascii="Arial" w:hAnsi="Arial" w:cs="Arial"/>
          <w:b/>
          <w:bCs/>
          <w:sz w:val="24"/>
          <w:szCs w:val="24"/>
        </w:rPr>
        <w:t>BTS Banque</w:t>
      </w:r>
      <w:r w:rsidR="00203896" w:rsidRPr="003A67B2">
        <w:rPr>
          <w:rFonts w:ascii="Arial" w:hAnsi="Arial" w:cs="Arial"/>
          <w:b/>
          <w:bCs/>
          <w:sz w:val="24"/>
          <w:szCs w:val="24"/>
        </w:rPr>
        <w:t xml:space="preserve"> session 20</w:t>
      </w:r>
      <w:r w:rsidR="0071660C" w:rsidRPr="003A67B2">
        <w:rPr>
          <w:rFonts w:ascii="Arial" w:hAnsi="Arial" w:cs="Arial"/>
          <w:b/>
          <w:bCs/>
          <w:sz w:val="24"/>
          <w:szCs w:val="24"/>
        </w:rPr>
        <w:t>0</w:t>
      </w:r>
      <w:r w:rsidR="00B54CBD">
        <w:rPr>
          <w:rFonts w:ascii="Arial" w:hAnsi="Arial" w:cs="Arial"/>
          <w:b/>
          <w:bCs/>
          <w:sz w:val="24"/>
          <w:szCs w:val="24"/>
        </w:rPr>
        <w:t>2</w:t>
      </w:r>
      <w:r w:rsidR="007770B1" w:rsidRPr="003A67B2">
        <w:rPr>
          <w:rFonts w:ascii="Arial" w:hAnsi="Arial" w:cs="Arial"/>
          <w:b/>
          <w:bCs/>
          <w:sz w:val="24"/>
          <w:szCs w:val="24"/>
        </w:rPr>
        <w:tab/>
        <w:t xml:space="preserve">EP </w:t>
      </w:r>
      <w:r w:rsidR="002032F6" w:rsidRPr="003A67B2">
        <w:rPr>
          <w:rFonts w:ascii="Arial" w:hAnsi="Arial" w:cs="Arial"/>
          <w:b/>
          <w:bCs/>
          <w:sz w:val="24"/>
          <w:szCs w:val="24"/>
        </w:rPr>
        <w:t>4</w:t>
      </w:r>
      <w:r w:rsidR="007770B1" w:rsidRPr="003A67B2">
        <w:rPr>
          <w:rFonts w:ascii="Arial" w:hAnsi="Arial" w:cs="Arial"/>
          <w:b/>
          <w:bCs/>
          <w:sz w:val="24"/>
          <w:szCs w:val="24"/>
        </w:rPr>
        <w:t xml:space="preserve"> : </w:t>
      </w:r>
      <w:r w:rsidR="002032F6" w:rsidRPr="003A67B2">
        <w:rPr>
          <w:rFonts w:ascii="Arial" w:hAnsi="Arial" w:cs="Arial"/>
          <w:b/>
          <w:bCs/>
          <w:sz w:val="24"/>
          <w:szCs w:val="24"/>
        </w:rPr>
        <w:t>Gestion de clientèle et communication professionnelle</w:t>
      </w:r>
      <w:r w:rsidR="00203896" w:rsidRPr="003A67B2">
        <w:rPr>
          <w:rFonts w:ascii="Arial" w:hAnsi="Arial" w:cs="Arial"/>
          <w:b/>
          <w:bCs/>
          <w:sz w:val="24"/>
          <w:szCs w:val="24"/>
        </w:rPr>
        <w:tab/>
        <w:t>Corrigé indicatif</w:t>
      </w:r>
    </w:p>
    <w:p w:rsidR="00127F6F" w:rsidRPr="003A67B2" w:rsidRDefault="00127F6F" w:rsidP="00203896">
      <w:pPr>
        <w:rPr>
          <w:rFonts w:ascii="Arial" w:hAnsi="Arial" w:cs="Arial"/>
          <w:sz w:val="16"/>
          <w:szCs w:val="16"/>
        </w:rPr>
      </w:pPr>
    </w:p>
    <w:p w:rsidR="00127F6F" w:rsidRPr="003A67B2" w:rsidRDefault="00127F6F" w:rsidP="00203896">
      <w:pPr>
        <w:rPr>
          <w:rFonts w:ascii="Arial" w:hAnsi="Arial" w:cs="Arial"/>
          <w:sz w:val="16"/>
          <w:szCs w:val="16"/>
        </w:rPr>
      </w:pPr>
    </w:p>
    <w:p w:rsidR="00D56165" w:rsidRPr="003A67B2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</w:p>
    <w:p w:rsidR="00D56165" w:rsidRPr="003A67B2" w:rsidRDefault="002032F6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  <w:r w:rsidRPr="003A67B2">
        <w:rPr>
          <w:rFonts w:ascii="Arial" w:hAnsi="Arial" w:cs="Arial"/>
          <w:caps/>
          <w:sz w:val="24"/>
          <w:szCs w:val="24"/>
        </w:rPr>
        <w:t xml:space="preserve">AGENCE </w:t>
      </w:r>
      <w:r w:rsidR="00B54CBD">
        <w:rPr>
          <w:rFonts w:ascii="Arial" w:hAnsi="Arial" w:cs="Arial"/>
          <w:caps/>
          <w:sz w:val="24"/>
          <w:szCs w:val="24"/>
        </w:rPr>
        <w:t>DUTOT</w:t>
      </w:r>
    </w:p>
    <w:p w:rsidR="00D56165" w:rsidRPr="003A67B2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624"/>
        </w:tabs>
        <w:spacing w:line="240" w:lineRule="atLeast"/>
        <w:jc w:val="left"/>
        <w:rPr>
          <w:rFonts w:ascii="Arial" w:hAnsi="Arial" w:cs="Arial"/>
          <w:caps/>
          <w:sz w:val="24"/>
          <w:szCs w:val="24"/>
        </w:rPr>
      </w:pPr>
      <w:r w:rsidRPr="003A67B2">
        <w:rPr>
          <w:rFonts w:ascii="Arial" w:hAnsi="Arial" w:cs="Arial"/>
          <w:caps/>
          <w:sz w:val="24"/>
          <w:szCs w:val="24"/>
        </w:rPr>
        <w:tab/>
      </w:r>
    </w:p>
    <w:p w:rsidR="00237027" w:rsidRPr="003A67B2" w:rsidRDefault="00237027" w:rsidP="00203896">
      <w:pPr>
        <w:pStyle w:val="Sansinterligne10"/>
        <w:rPr>
          <w:rFonts w:cs="Arial"/>
          <w:b/>
          <w:bCs/>
          <w:szCs w:val="20"/>
        </w:rPr>
      </w:pPr>
    </w:p>
    <w:p w:rsidR="00203896" w:rsidRPr="003A67B2" w:rsidRDefault="001A4859" w:rsidP="00203896">
      <w:pPr>
        <w:pStyle w:val="Sansinterligne10"/>
        <w:rPr>
          <w:rFonts w:cs="Arial"/>
          <w:b/>
          <w:bCs/>
          <w:szCs w:val="20"/>
        </w:rPr>
      </w:pPr>
      <w:r w:rsidRPr="003A67B2">
        <w:rPr>
          <w:rFonts w:cs="Arial"/>
          <w:b/>
          <w:bCs/>
          <w:szCs w:val="20"/>
        </w:rPr>
        <w:t xml:space="preserve">PREMIERE PARTIE: </w:t>
      </w:r>
      <w:r w:rsidR="00B54CBD">
        <w:rPr>
          <w:rFonts w:cs="Arial"/>
          <w:b/>
          <w:bCs/>
          <w:szCs w:val="20"/>
        </w:rPr>
        <w:t>5</w:t>
      </w:r>
      <w:r w:rsidR="00EA03A2">
        <w:rPr>
          <w:rFonts w:cs="Arial"/>
          <w:b/>
          <w:bCs/>
          <w:szCs w:val="20"/>
        </w:rPr>
        <w:t xml:space="preserve"> </w:t>
      </w:r>
      <w:r w:rsidRPr="003A67B2">
        <w:rPr>
          <w:rFonts w:cs="Arial"/>
          <w:b/>
          <w:bCs/>
          <w:szCs w:val="20"/>
        </w:rPr>
        <w:t>points</w:t>
      </w:r>
    </w:p>
    <w:p w:rsidR="001941A4" w:rsidRPr="003A67B2" w:rsidRDefault="001941A4" w:rsidP="00203896">
      <w:pPr>
        <w:pStyle w:val="Sansinterligne10"/>
        <w:rPr>
          <w:rFonts w:cs="Arial"/>
          <w:b/>
          <w:bCs/>
          <w:szCs w:val="20"/>
        </w:rPr>
      </w:pPr>
    </w:p>
    <w:p w:rsidR="001A4859" w:rsidRPr="003A67B2" w:rsidRDefault="00EA03A2" w:rsidP="00EA03A2">
      <w:pPr>
        <w:numPr>
          <w:ilvl w:val="1"/>
          <w:numId w:val="1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 w:rsidRPr="00EA03A2">
        <w:rPr>
          <w:rFonts w:ascii="Arial" w:hAnsi="Arial" w:cs="Arial"/>
          <w:b/>
          <w:sz w:val="20"/>
          <w:szCs w:val="20"/>
        </w:rPr>
        <w:t>(3,5 points)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54CBD" w:rsidRPr="00755506" w:rsidTr="00755506">
        <w:tc>
          <w:tcPr>
            <w:tcW w:w="4606" w:type="dxa"/>
            <w:shd w:val="clear" w:color="auto" w:fill="auto"/>
          </w:tcPr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55506">
              <w:rPr>
                <w:rFonts w:ascii="Arial" w:hAnsi="Arial" w:cs="Arial"/>
                <w:b/>
                <w:sz w:val="20"/>
                <w:szCs w:val="20"/>
              </w:rPr>
              <w:t>Points Forts de l'agence</w:t>
            </w:r>
          </w:p>
        </w:tc>
        <w:tc>
          <w:tcPr>
            <w:tcW w:w="4606" w:type="dxa"/>
            <w:shd w:val="clear" w:color="auto" w:fill="auto"/>
          </w:tcPr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55506">
              <w:rPr>
                <w:rFonts w:ascii="Arial" w:hAnsi="Arial" w:cs="Arial"/>
                <w:b/>
                <w:sz w:val="20"/>
                <w:szCs w:val="20"/>
              </w:rPr>
              <w:t>Points Faibles de l'agence</w:t>
            </w:r>
          </w:p>
        </w:tc>
      </w:tr>
      <w:tr w:rsidR="00B54CBD" w:rsidRPr="00755506" w:rsidTr="00755506">
        <w:tc>
          <w:tcPr>
            <w:tcW w:w="4606" w:type="dxa"/>
            <w:shd w:val="clear" w:color="auto" w:fill="auto"/>
          </w:tcPr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55506">
              <w:rPr>
                <w:rFonts w:ascii="Arial" w:hAnsi="Arial" w:cs="Arial"/>
                <w:b/>
                <w:sz w:val="20"/>
                <w:szCs w:val="20"/>
              </w:rPr>
              <w:t>1. Situation géographique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 xml:space="preserve">• Bonne implantation : </w:t>
            </w:r>
            <w:r w:rsidRPr="00755506">
              <w:rPr>
                <w:rFonts w:ascii="Arial" w:hAnsi="Arial" w:cs="Arial"/>
                <w:sz w:val="20"/>
                <w:szCs w:val="20"/>
              </w:rPr>
              <w:t>centre-ville</w:t>
            </w:r>
            <w:r w:rsidRPr="00755506">
              <w:rPr>
                <w:rFonts w:ascii="Arial" w:hAnsi="Arial" w:cs="Arial"/>
                <w:sz w:val="20"/>
                <w:szCs w:val="20"/>
              </w:rPr>
              <w:t>, situé sur une artère, proximité immédiate de nombreux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 xml:space="preserve">commerce (rues piétonnes, grands magasins </w:t>
            </w:r>
            <w:r w:rsidRPr="00755506">
              <w:rPr>
                <w:rFonts w:ascii="Arial" w:hAnsi="Arial" w:cs="Arial"/>
                <w:sz w:val="20"/>
                <w:szCs w:val="20"/>
              </w:rPr>
              <w:t>...)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 xml:space="preserve">• Quartier habité par des jeunes (40 % des habitants du secteur </w:t>
            </w:r>
            <w:r w:rsidRPr="00755506">
              <w:rPr>
                <w:rFonts w:ascii="Arial" w:hAnsi="Arial" w:cs="Arial"/>
                <w:sz w:val="20"/>
                <w:szCs w:val="20"/>
              </w:rPr>
              <w:t>à</w:t>
            </w:r>
            <w:r w:rsidRPr="00755506">
              <w:rPr>
                <w:rFonts w:ascii="Arial" w:hAnsi="Arial" w:cs="Arial"/>
                <w:sz w:val="20"/>
                <w:szCs w:val="20"/>
              </w:rPr>
              <w:t xml:space="preserve"> moins de 25 ans 1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• Quartier fréquenté par des jeunes ne résidant pas</w:t>
            </w:r>
            <w:r w:rsidRPr="00755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506">
              <w:rPr>
                <w:rFonts w:ascii="Arial" w:hAnsi="Arial" w:cs="Arial"/>
                <w:sz w:val="20"/>
                <w:szCs w:val="20"/>
              </w:rPr>
              <w:t>sur le secteur de</w:t>
            </w:r>
            <w:r w:rsidRPr="00755506">
              <w:rPr>
                <w:rFonts w:ascii="Arial" w:hAnsi="Arial" w:cs="Arial"/>
                <w:sz w:val="20"/>
                <w:szCs w:val="20"/>
              </w:rPr>
              <w:t xml:space="preserve"> l'agence (agence face au lycée, </w:t>
            </w:r>
            <w:r w:rsidRPr="00755506">
              <w:rPr>
                <w:rFonts w:ascii="Arial" w:hAnsi="Arial" w:cs="Arial"/>
                <w:sz w:val="20"/>
                <w:szCs w:val="20"/>
              </w:rPr>
              <w:t xml:space="preserve">animation de rues </w:t>
            </w:r>
            <w:r w:rsidRPr="00755506">
              <w:rPr>
                <w:rFonts w:ascii="Arial" w:hAnsi="Arial" w:cs="Arial"/>
                <w:sz w:val="20"/>
                <w:szCs w:val="20"/>
              </w:rPr>
              <w:t>...)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 xml:space="preserve">• Agence de taille importante, implantée </w:t>
            </w:r>
            <w:r w:rsidRPr="00755506">
              <w:rPr>
                <w:rFonts w:ascii="Arial" w:hAnsi="Arial" w:cs="Arial"/>
                <w:sz w:val="20"/>
                <w:szCs w:val="20"/>
              </w:rPr>
              <w:t xml:space="preserve">depuis 25 </w:t>
            </w:r>
            <w:r w:rsidRPr="00755506">
              <w:rPr>
                <w:rFonts w:ascii="Arial" w:hAnsi="Arial" w:cs="Arial"/>
                <w:sz w:val="20"/>
                <w:szCs w:val="20"/>
              </w:rPr>
              <w:t>ans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• Présence de GAS, offrant de meilleurs services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que les DAB de la concurrence.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55506">
              <w:rPr>
                <w:rFonts w:ascii="Arial" w:hAnsi="Arial" w:cs="Arial"/>
                <w:b/>
                <w:sz w:val="20"/>
                <w:szCs w:val="20"/>
              </w:rPr>
              <w:t>2. Clientèle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• La clientèle de l'agence rassemble 23 % de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cadres, contre 19 % pour le secteur.</w:t>
            </w:r>
          </w:p>
        </w:tc>
        <w:tc>
          <w:tcPr>
            <w:tcW w:w="4606" w:type="dxa"/>
            <w:shd w:val="clear" w:color="auto" w:fill="auto"/>
          </w:tcPr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55506">
              <w:rPr>
                <w:rFonts w:ascii="Arial" w:hAnsi="Arial" w:cs="Arial"/>
                <w:b/>
                <w:sz w:val="20"/>
                <w:szCs w:val="20"/>
              </w:rPr>
              <w:t>1. Situation géographique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• Jours d'ouverture non adaptés au quartier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(fermeture le samedi) et horaires difficiles à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retenir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• Ouverture récente d'une agence en face (Banque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Diamant)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• Présence de cinq agences bancaires sur un 1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secteur restreint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5550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755506">
              <w:rPr>
                <w:rFonts w:ascii="Arial" w:hAnsi="Arial" w:cs="Arial"/>
                <w:b/>
                <w:sz w:val="20"/>
                <w:szCs w:val="20"/>
              </w:rPr>
              <w:t>Clientèle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• La part de la clientèle des professionnels ne</w:t>
            </w:r>
            <w:r w:rsidRPr="00755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506">
              <w:rPr>
                <w:rFonts w:ascii="Arial" w:hAnsi="Arial" w:cs="Arial"/>
                <w:sz w:val="20"/>
                <w:szCs w:val="20"/>
              </w:rPr>
              <w:t>semble pas correspondre à celle du secteur. Il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manque cependant des informations sur le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nombre de professionnels installés sur le secteur.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• Malgré la proximité du lycée, la part de marché</w:t>
            </w:r>
          </w:p>
          <w:p w:rsidR="00B54CBD" w:rsidRPr="00755506" w:rsidRDefault="00B54CBD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sur la clientèle des jeunes est faible.</w:t>
            </w:r>
          </w:p>
        </w:tc>
      </w:tr>
    </w:tbl>
    <w:p w:rsidR="00B54CBD" w:rsidRDefault="00B54CBD" w:rsidP="00EA03A2">
      <w:pPr>
        <w:autoSpaceDE w:val="0"/>
        <w:autoSpaceDN w:val="0"/>
        <w:adjustRightInd w:val="0"/>
        <w:jc w:val="left"/>
        <w:rPr>
          <w:rFonts w:ascii="Arial" w:hAnsi="Arial" w:cs="Arial"/>
          <w:iCs/>
          <w:sz w:val="20"/>
          <w:szCs w:val="20"/>
        </w:rPr>
      </w:pPr>
    </w:p>
    <w:p w:rsidR="00346B65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iCs/>
          <w:sz w:val="20"/>
          <w:szCs w:val="20"/>
        </w:rPr>
      </w:pPr>
      <w:r w:rsidRPr="007E3D7E">
        <w:rPr>
          <w:rFonts w:ascii="Arial" w:hAnsi="Arial" w:cs="Arial"/>
          <w:iCs/>
          <w:sz w:val="20"/>
          <w:szCs w:val="20"/>
        </w:rPr>
        <w:t>Cf. récapitulatif par âge et par PCS des clients de l'agence et de la population du secteur en annexe à la fin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E3D7E">
        <w:rPr>
          <w:rFonts w:ascii="Arial" w:hAnsi="Arial" w:cs="Arial"/>
          <w:iCs/>
          <w:sz w:val="20"/>
          <w:szCs w:val="20"/>
        </w:rPr>
        <w:t>du corrigé.</w:t>
      </w:r>
    </w:p>
    <w:p w:rsidR="007E3D7E" w:rsidRPr="003A67B2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346B65" w:rsidRPr="003A67B2" w:rsidRDefault="00346B65" w:rsidP="00346B65">
      <w:pPr>
        <w:pStyle w:val="Sansinterligne10"/>
        <w:rPr>
          <w:rFonts w:cs="Arial"/>
          <w:b/>
          <w:bCs/>
          <w:szCs w:val="20"/>
        </w:rPr>
      </w:pPr>
      <w:r w:rsidRPr="003A67B2">
        <w:rPr>
          <w:rFonts w:cs="Arial"/>
          <w:b/>
          <w:bCs/>
          <w:szCs w:val="20"/>
        </w:rPr>
        <w:t xml:space="preserve">DEUXIEME PARTIE: </w:t>
      </w:r>
      <w:r w:rsidR="00EA03A2">
        <w:rPr>
          <w:rFonts w:cs="Arial"/>
          <w:b/>
          <w:bCs/>
          <w:szCs w:val="20"/>
        </w:rPr>
        <w:t>1</w:t>
      </w:r>
      <w:r w:rsidR="003A2C75">
        <w:rPr>
          <w:rFonts w:cs="Arial"/>
          <w:b/>
          <w:bCs/>
          <w:szCs w:val="20"/>
        </w:rPr>
        <w:t>7</w:t>
      </w:r>
      <w:r w:rsidRPr="003A67B2">
        <w:rPr>
          <w:rFonts w:cs="Arial"/>
          <w:b/>
          <w:bCs/>
          <w:szCs w:val="20"/>
        </w:rPr>
        <w:t xml:space="preserve"> points</w:t>
      </w:r>
    </w:p>
    <w:p w:rsidR="00346B65" w:rsidRPr="003A67B2" w:rsidRDefault="00346B65" w:rsidP="00346B65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7E3D7E" w:rsidRPr="007E3D7E" w:rsidRDefault="007E3D7E" w:rsidP="007E3D7E">
      <w:pPr>
        <w:numPr>
          <w:ilvl w:val="0"/>
          <w:numId w:val="25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1"/>
          <w:szCs w:val="21"/>
        </w:rPr>
      </w:pPr>
      <w:r w:rsidRPr="007E3D7E">
        <w:rPr>
          <w:rFonts w:ascii="Arial" w:hAnsi="Arial" w:cs="Arial"/>
          <w:b/>
          <w:sz w:val="21"/>
          <w:szCs w:val="21"/>
        </w:rPr>
        <w:t xml:space="preserve">Caractéristiques portefeuille </w:t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Pr="007E3D7E">
        <w:rPr>
          <w:rFonts w:ascii="Arial" w:hAnsi="Arial" w:cs="Arial"/>
          <w:b/>
          <w:sz w:val="21"/>
          <w:szCs w:val="21"/>
        </w:rPr>
        <w:t>(10 pts)</w:t>
      </w:r>
    </w:p>
    <w:p w:rsidR="007E3D7E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  <w:u w:val="single"/>
        </w:rPr>
      </w:pPr>
    </w:p>
    <w:p w:rsidR="007E3D7E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  <w:u w:val="single"/>
        </w:rPr>
      </w:pPr>
      <w:r w:rsidRPr="007E3D7E">
        <w:rPr>
          <w:rFonts w:ascii="Arial" w:hAnsi="Arial" w:cs="Arial"/>
          <w:sz w:val="21"/>
          <w:szCs w:val="21"/>
          <w:u w:val="single"/>
        </w:rPr>
        <w:t>Structure du portefeuille :</w:t>
      </w:r>
    </w:p>
    <w:p w:rsidR="007E3D7E" w:rsidRPr="007E3D7E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  <w:u w:val="single"/>
        </w:rPr>
      </w:pPr>
    </w:p>
    <w:p w:rsidR="007E3D7E" w:rsidRPr="007E3D7E" w:rsidRDefault="007E3D7E" w:rsidP="007E3D7E">
      <w:pPr>
        <w:numPr>
          <w:ilvl w:val="0"/>
          <w:numId w:val="26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t>La moitié de la clientèle se situe dans la tranche d'âge de 25 à 44 ans, période où les besoins de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produits bancaires sont réels.</w:t>
      </w:r>
    </w:p>
    <w:p w:rsidR="007E3D7E" w:rsidRPr="007E3D7E" w:rsidRDefault="007E3D7E" w:rsidP="007E3D7E">
      <w:pPr>
        <w:numPr>
          <w:ilvl w:val="0"/>
          <w:numId w:val="26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t xml:space="preserve">Près d'un tiers du portefeuille est </w:t>
      </w:r>
      <w:proofErr w:type="gramStart"/>
      <w:r w:rsidRPr="007E3D7E">
        <w:rPr>
          <w:rFonts w:ascii="Arial" w:hAnsi="Arial" w:cs="Arial"/>
          <w:sz w:val="21"/>
          <w:szCs w:val="21"/>
        </w:rPr>
        <w:t>constitué</w:t>
      </w:r>
      <w:proofErr w:type="gramEnd"/>
      <w:r w:rsidRPr="007E3D7E">
        <w:rPr>
          <w:rFonts w:ascii="Arial" w:hAnsi="Arial" w:cs="Arial"/>
          <w:sz w:val="21"/>
          <w:szCs w:val="21"/>
        </w:rPr>
        <w:t xml:space="preserve"> de cadres, soit une proportion supérieure à celle de l'agence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et du secteur. Avec également 50 % d'employés, le portefeuille rassemble une clientèle essentiellement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active.</w:t>
      </w:r>
    </w:p>
    <w:p w:rsidR="007E3D7E" w:rsidRPr="007E3D7E" w:rsidRDefault="007E3D7E" w:rsidP="007E3D7E">
      <w:pPr>
        <w:numPr>
          <w:ilvl w:val="0"/>
          <w:numId w:val="26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t>On peut estimer que 44 clients âgés de 18 à 25 ans, détenteurs de livrets jeunes, n'ont pas de comptes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de chèques.</w:t>
      </w:r>
    </w:p>
    <w:p w:rsidR="007E3D7E" w:rsidRPr="007E3D7E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t>L'analyse des stocks de produits permet de mettre en évidence (cf. annexe à la fin du corrigé) :</w:t>
      </w:r>
    </w:p>
    <w:p w:rsidR="007E3D7E" w:rsidRPr="007E3D7E" w:rsidRDefault="007E3D7E" w:rsidP="007E3D7E">
      <w:pPr>
        <w:numPr>
          <w:ilvl w:val="0"/>
          <w:numId w:val="27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t xml:space="preserve">Une progression sur la période étudiée de l'ensemble des produits </w:t>
      </w:r>
      <w:r w:rsidRPr="007E3D7E">
        <w:rPr>
          <w:rFonts w:ascii="Arial" w:hAnsi="Arial" w:cs="Arial"/>
          <w:b/>
          <w:sz w:val="21"/>
          <w:szCs w:val="21"/>
        </w:rPr>
        <w:t>d'épargne</w:t>
      </w:r>
      <w:r w:rsidRPr="007E3D7E">
        <w:rPr>
          <w:rFonts w:ascii="Arial" w:hAnsi="Arial" w:cs="Arial"/>
          <w:sz w:val="21"/>
          <w:szCs w:val="21"/>
        </w:rPr>
        <w:t>, avec notamment une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forte progression de l'épargne logement et des PEA. Les taux de détention de ces produits sont très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nettement supérieurs à ceux de l'agence.</w:t>
      </w:r>
    </w:p>
    <w:p w:rsidR="007E3D7E" w:rsidRPr="007E3D7E" w:rsidRDefault="007E3D7E" w:rsidP="007E3D7E">
      <w:pPr>
        <w:numPr>
          <w:ilvl w:val="0"/>
          <w:numId w:val="27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t xml:space="preserve">Une baisse des nombres de </w:t>
      </w:r>
      <w:r w:rsidRPr="007E3D7E">
        <w:rPr>
          <w:rFonts w:ascii="Arial" w:hAnsi="Arial" w:cs="Arial"/>
          <w:b/>
          <w:sz w:val="21"/>
          <w:szCs w:val="21"/>
        </w:rPr>
        <w:t>crédits</w:t>
      </w:r>
      <w:r w:rsidRPr="007E3D7E">
        <w:rPr>
          <w:rFonts w:ascii="Arial" w:hAnsi="Arial" w:cs="Arial"/>
          <w:sz w:val="21"/>
          <w:szCs w:val="21"/>
        </w:rPr>
        <w:t>, qu'ils soient personnels ou immobiliers, sur la période. Les taux de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détention sont sur le portefeuille</w:t>
      </w:r>
      <w:r>
        <w:rPr>
          <w:rFonts w:ascii="Arial" w:hAnsi="Arial" w:cs="Arial"/>
          <w:sz w:val="21"/>
          <w:szCs w:val="21"/>
        </w:rPr>
        <w:t>,</w:t>
      </w:r>
      <w:r w:rsidRPr="007E3D7E">
        <w:rPr>
          <w:rFonts w:ascii="Arial" w:hAnsi="Arial" w:cs="Arial"/>
          <w:sz w:val="21"/>
          <w:szCs w:val="21"/>
        </w:rPr>
        <w:t xml:space="preserve"> inférieurs à ceux de l'agence.</w:t>
      </w:r>
    </w:p>
    <w:p w:rsidR="007E3D7E" w:rsidRPr="007E3D7E" w:rsidRDefault="007E3D7E" w:rsidP="007E3D7E">
      <w:pPr>
        <w:numPr>
          <w:ilvl w:val="0"/>
          <w:numId w:val="27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lastRenderedPageBreak/>
        <w:t xml:space="preserve">Concernant les </w:t>
      </w:r>
      <w:r w:rsidRPr="007E3D7E">
        <w:rPr>
          <w:rFonts w:ascii="Arial" w:hAnsi="Arial" w:cs="Arial"/>
          <w:b/>
          <w:sz w:val="21"/>
          <w:szCs w:val="21"/>
        </w:rPr>
        <w:t>services</w:t>
      </w:r>
      <w:r w:rsidRPr="007E3D7E">
        <w:rPr>
          <w:rFonts w:ascii="Arial" w:hAnsi="Arial" w:cs="Arial"/>
          <w:sz w:val="21"/>
          <w:szCs w:val="21"/>
        </w:rPr>
        <w:t>, une progression sensible des stocks du portefeuille, et des taux de détention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 xml:space="preserve">proches de ceux de l'agence. Il faut remarquer la </w:t>
      </w:r>
      <w:r w:rsidRPr="007E3D7E">
        <w:rPr>
          <w:rFonts w:ascii="Arial" w:hAnsi="Arial" w:cs="Arial"/>
          <w:sz w:val="21"/>
          <w:szCs w:val="21"/>
        </w:rPr>
        <w:t>contreperformance</w:t>
      </w:r>
      <w:r w:rsidRPr="007E3D7E">
        <w:rPr>
          <w:rFonts w:ascii="Arial" w:hAnsi="Arial" w:cs="Arial"/>
          <w:sz w:val="21"/>
          <w:szCs w:val="21"/>
        </w:rPr>
        <w:t xml:space="preserve"> des assurances de moyens de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 xml:space="preserve">paiement, produit qui n'est </w:t>
      </w:r>
      <w:r w:rsidRPr="007E3D7E">
        <w:rPr>
          <w:rFonts w:ascii="Arial" w:hAnsi="Arial" w:cs="Arial"/>
          <w:sz w:val="21"/>
          <w:szCs w:val="21"/>
        </w:rPr>
        <w:t>semble-t</w:t>
      </w:r>
      <w:r w:rsidRPr="007E3D7E">
        <w:rPr>
          <w:rFonts w:ascii="Arial" w:hAnsi="Arial" w:cs="Arial"/>
          <w:sz w:val="21"/>
          <w:szCs w:val="21"/>
        </w:rPr>
        <w:t>-il pas connu du chargé de clientèle. En effet, le stock de ce produit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est en baisse alors que les clôtures de ce type de produit sont généralement très limitées. Le taux de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détention du portefeuille est en très fort décalage avec celui de l'agence (7 % pour le portefeuille contre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57% pour l'agence).</w:t>
      </w:r>
    </w:p>
    <w:p w:rsidR="007E3D7E" w:rsidRPr="007E3D7E" w:rsidRDefault="007E3D7E" w:rsidP="007E3D7E">
      <w:pPr>
        <w:numPr>
          <w:ilvl w:val="0"/>
          <w:numId w:val="25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1"/>
          <w:szCs w:val="21"/>
        </w:rPr>
      </w:pPr>
      <w:r w:rsidRPr="007E3D7E">
        <w:rPr>
          <w:rFonts w:ascii="Arial" w:hAnsi="Arial" w:cs="Arial"/>
          <w:b/>
          <w:sz w:val="21"/>
          <w:szCs w:val="21"/>
        </w:rPr>
        <w:t xml:space="preserve">Difficultés qui peuvent </w:t>
      </w:r>
      <w:proofErr w:type="spellStart"/>
      <w:r w:rsidRPr="007E3D7E">
        <w:rPr>
          <w:rFonts w:ascii="Arial" w:hAnsi="Arial" w:cs="Arial"/>
          <w:b/>
          <w:sz w:val="21"/>
          <w:szCs w:val="21"/>
        </w:rPr>
        <w:t>êtres</w:t>
      </w:r>
      <w:proofErr w:type="spellEnd"/>
      <w:r w:rsidRPr="007E3D7E">
        <w:rPr>
          <w:rFonts w:ascii="Arial" w:hAnsi="Arial" w:cs="Arial"/>
          <w:b/>
          <w:sz w:val="21"/>
          <w:szCs w:val="21"/>
        </w:rPr>
        <w:t xml:space="preserve"> mises en avant : </w:t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Pr="007E3D7E">
        <w:rPr>
          <w:rFonts w:ascii="Arial" w:hAnsi="Arial" w:cs="Arial"/>
          <w:b/>
          <w:sz w:val="21"/>
          <w:szCs w:val="21"/>
        </w:rPr>
        <w:t>(7 pts)</w:t>
      </w:r>
    </w:p>
    <w:p w:rsidR="007E3D7E" w:rsidRPr="007E3D7E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7E3D7E" w:rsidRPr="007E3D7E" w:rsidRDefault="007E3D7E" w:rsidP="007E3D7E">
      <w:pPr>
        <w:numPr>
          <w:ilvl w:val="0"/>
          <w:numId w:val="28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  <w:u w:val="single"/>
        </w:rPr>
        <w:t>Peu de clients jeunes titulaires de compte chèque</w:t>
      </w:r>
      <w:r w:rsidRPr="007E3D7E">
        <w:rPr>
          <w:rFonts w:ascii="Arial" w:hAnsi="Arial" w:cs="Arial"/>
          <w:sz w:val="21"/>
          <w:szCs w:val="21"/>
        </w:rPr>
        <w:t xml:space="preserve"> : au sein du portefeuille </w:t>
      </w:r>
      <w:r w:rsidRPr="007E3D7E">
        <w:rPr>
          <w:rFonts w:ascii="Arial" w:hAnsi="Arial" w:cs="Arial"/>
          <w:sz w:val="21"/>
          <w:szCs w:val="21"/>
        </w:rPr>
        <w:t>N°</w:t>
      </w:r>
      <w:r w:rsidRPr="007E3D7E">
        <w:rPr>
          <w:rFonts w:ascii="Arial" w:hAnsi="Arial" w:cs="Arial"/>
          <w:sz w:val="21"/>
          <w:szCs w:val="21"/>
        </w:rPr>
        <w:t>3, seuls 8 clients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18/25 ans sont titulaires de comptes de chèques, alors que 46 clients de 18/25 ans sont titulaires</w:t>
      </w:r>
      <w:r w:rsidRPr="007E3D7E"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de livrets jeunes !</w:t>
      </w:r>
    </w:p>
    <w:p w:rsidR="007E3D7E" w:rsidRPr="007E3D7E" w:rsidRDefault="007E3D7E" w:rsidP="007E3D7E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t>Action possible : approche des titulaires de livrets jeunes pour leur proposer un compte de</w:t>
      </w:r>
      <w:r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chèque, intervention auprès des clients de 40/50 ans, mariés, susceptibles d'</w:t>
      </w:r>
      <w:proofErr w:type="spellStart"/>
      <w:r w:rsidRPr="007E3D7E">
        <w:rPr>
          <w:rFonts w:ascii="Arial" w:hAnsi="Arial" w:cs="Arial"/>
          <w:sz w:val="21"/>
          <w:szCs w:val="21"/>
        </w:rPr>
        <w:t>avoirs</w:t>
      </w:r>
      <w:proofErr w:type="spellEnd"/>
      <w:r w:rsidRPr="007E3D7E">
        <w:rPr>
          <w:rFonts w:ascii="Arial" w:hAnsi="Arial" w:cs="Arial"/>
          <w:sz w:val="21"/>
          <w:szCs w:val="21"/>
        </w:rPr>
        <w:t xml:space="preserve"> des enfants</w:t>
      </w:r>
    </w:p>
    <w:p w:rsidR="007E3D7E" w:rsidRDefault="007E3D7E" w:rsidP="007E3D7E">
      <w:pPr>
        <w:numPr>
          <w:ilvl w:val="0"/>
          <w:numId w:val="28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  <w:u w:val="single"/>
        </w:rPr>
        <w:t>Crédits immobiliers et personnels</w:t>
      </w:r>
      <w:r w:rsidRPr="007E3D7E">
        <w:rPr>
          <w:rFonts w:ascii="Arial" w:hAnsi="Arial" w:cs="Arial"/>
          <w:sz w:val="21"/>
          <w:szCs w:val="21"/>
        </w:rPr>
        <w:t xml:space="preserve"> : baisse du stock</w:t>
      </w:r>
    </w:p>
    <w:p w:rsidR="007E3D7E" w:rsidRPr="007E3D7E" w:rsidRDefault="007E3D7E" w:rsidP="007E3D7E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1"/>
          <w:szCs w:val="21"/>
        </w:rPr>
      </w:pPr>
      <w:r w:rsidRPr="007E3D7E">
        <w:rPr>
          <w:rFonts w:ascii="Arial" w:hAnsi="Arial" w:cs="Arial"/>
          <w:sz w:val="21"/>
          <w:szCs w:val="21"/>
        </w:rPr>
        <w:t>Action possible : évoquer le thème des crédits lors des entretiens avec les clients, proposition d'un</w:t>
      </w:r>
      <w:r w:rsidRPr="007E3D7E">
        <w:rPr>
          <w:rFonts w:ascii="Arial" w:hAnsi="Arial" w:cs="Arial"/>
          <w:sz w:val="21"/>
          <w:szCs w:val="21"/>
        </w:rPr>
        <w:t xml:space="preserve"> </w:t>
      </w:r>
      <w:r w:rsidRPr="007E3D7E">
        <w:rPr>
          <w:rFonts w:ascii="Arial" w:hAnsi="Arial" w:cs="Arial"/>
          <w:sz w:val="21"/>
          <w:szCs w:val="21"/>
        </w:rPr>
        <w:t>revolving aux clients présentant des petits dépassements de découvert ...</w:t>
      </w:r>
    </w:p>
    <w:p w:rsidR="0033726C" w:rsidRPr="007E3D7E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i/>
          <w:sz w:val="21"/>
          <w:szCs w:val="21"/>
        </w:rPr>
      </w:pPr>
      <w:r w:rsidRPr="007E3D7E">
        <w:rPr>
          <w:rFonts w:ascii="Arial" w:hAnsi="Arial" w:cs="Arial"/>
          <w:i/>
          <w:sz w:val="21"/>
          <w:szCs w:val="21"/>
        </w:rPr>
        <w:t>De nombreux autres constats pourront bien entendu être relevés. Leur identification et la cohérence des</w:t>
      </w:r>
      <w:r w:rsidRPr="007E3D7E">
        <w:rPr>
          <w:rFonts w:ascii="Arial" w:hAnsi="Arial" w:cs="Arial"/>
          <w:i/>
          <w:sz w:val="21"/>
          <w:szCs w:val="21"/>
        </w:rPr>
        <w:t xml:space="preserve"> </w:t>
      </w:r>
      <w:r w:rsidRPr="007E3D7E">
        <w:rPr>
          <w:rFonts w:ascii="Arial" w:hAnsi="Arial" w:cs="Arial"/>
          <w:i/>
          <w:sz w:val="21"/>
          <w:szCs w:val="21"/>
        </w:rPr>
        <w:t xml:space="preserve">solutions proposées serviront de base dans l'appréciation des réponses. (1 pt par difficulté </w:t>
      </w:r>
      <w:r w:rsidRPr="007E3D7E">
        <w:rPr>
          <w:rFonts w:ascii="Arial" w:hAnsi="Arial" w:cs="Arial"/>
          <w:i/>
          <w:sz w:val="21"/>
          <w:szCs w:val="21"/>
        </w:rPr>
        <w:t>/</w:t>
      </w:r>
      <w:r w:rsidRPr="007E3D7E">
        <w:rPr>
          <w:rFonts w:ascii="Arial" w:hAnsi="Arial" w:cs="Arial"/>
          <w:i/>
          <w:sz w:val="21"/>
          <w:szCs w:val="21"/>
        </w:rPr>
        <w:t xml:space="preserve"> 3 pts - 1 pt</w:t>
      </w:r>
      <w:r w:rsidRPr="007E3D7E">
        <w:rPr>
          <w:rFonts w:ascii="Arial" w:hAnsi="Arial" w:cs="Arial"/>
          <w:i/>
          <w:sz w:val="21"/>
          <w:szCs w:val="21"/>
        </w:rPr>
        <w:t xml:space="preserve"> </w:t>
      </w:r>
      <w:r w:rsidRPr="007E3D7E">
        <w:rPr>
          <w:rFonts w:ascii="Arial" w:hAnsi="Arial" w:cs="Arial"/>
          <w:i/>
          <w:sz w:val="21"/>
          <w:szCs w:val="21"/>
        </w:rPr>
        <w:t>solution - 1 pt cible - 2 pts moyens</w:t>
      </w:r>
      <w:r w:rsidRPr="007E3D7E">
        <w:rPr>
          <w:rFonts w:ascii="Arial" w:hAnsi="Arial" w:cs="Arial"/>
          <w:i/>
          <w:sz w:val="21"/>
          <w:szCs w:val="21"/>
        </w:rPr>
        <w:t>)</w:t>
      </w:r>
    </w:p>
    <w:p w:rsidR="007E3D7E" w:rsidRPr="007E3D7E" w:rsidRDefault="007E3D7E" w:rsidP="007E3D7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6871FE" w:rsidRPr="0033726C" w:rsidRDefault="0033726C" w:rsidP="0033726C">
      <w:pPr>
        <w:autoSpaceDE w:val="0"/>
        <w:autoSpaceDN w:val="0"/>
        <w:adjustRightInd w:val="0"/>
        <w:spacing w:after="6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TROISIEME PARTIE</w:t>
      </w:r>
      <w:r w:rsidR="007E3D7E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:</w:t>
      </w:r>
      <w:r w:rsidR="007E3D7E">
        <w:rPr>
          <w:rFonts w:cs="Arial"/>
          <w:b/>
          <w:bCs/>
          <w:szCs w:val="20"/>
        </w:rPr>
        <w:t xml:space="preserve"> 8 </w:t>
      </w:r>
      <w:r w:rsidR="006871FE" w:rsidRPr="0033726C">
        <w:rPr>
          <w:rFonts w:cs="Arial"/>
          <w:b/>
          <w:bCs/>
          <w:szCs w:val="20"/>
        </w:rPr>
        <w:t>points</w:t>
      </w:r>
    </w:p>
    <w:p w:rsidR="006871FE" w:rsidRDefault="006871FE" w:rsidP="006871F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9C4817" w:rsidRPr="003A2C75" w:rsidRDefault="009C4817" w:rsidP="009C4817">
      <w:pPr>
        <w:numPr>
          <w:ilvl w:val="0"/>
          <w:numId w:val="29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1"/>
          <w:szCs w:val="21"/>
        </w:rPr>
      </w:pPr>
      <w:r w:rsidRPr="003A2C75">
        <w:rPr>
          <w:rFonts w:ascii="Arial" w:hAnsi="Arial" w:cs="Arial"/>
          <w:b/>
          <w:sz w:val="21"/>
          <w:szCs w:val="21"/>
        </w:rPr>
        <w:t>Écarts de votre production</w:t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Pr="003A2C75">
        <w:rPr>
          <w:rFonts w:ascii="Arial" w:hAnsi="Arial" w:cs="Arial"/>
          <w:b/>
          <w:sz w:val="21"/>
          <w:szCs w:val="21"/>
        </w:rPr>
        <w:t xml:space="preserve"> (8 pts)</w:t>
      </w:r>
    </w:p>
    <w:p w:rsidR="009C4817" w:rsidRPr="009C4817" w:rsidRDefault="009C4817" w:rsidP="009C4817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9C4817">
        <w:rPr>
          <w:rFonts w:ascii="Arial" w:hAnsi="Arial" w:cs="Arial"/>
          <w:sz w:val="21"/>
          <w:szCs w:val="21"/>
        </w:rPr>
        <w:t>Sur l'ensemble des rubriques, seules 4 enregistrent des résultats en avance sur le point de passage. Parmi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les retards les plus significatifs, on peut citer les assurances de moyens de paiement (0%), les cartes, les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packages (15% du point de passage), ainsi que des comptes d'épargne (CODEVI, livrets jeunes). Certaines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rubriques, probablement moins stratégiques comme les PEP, sont également en décalage.</w:t>
      </w:r>
    </w:p>
    <w:p w:rsidR="009C4817" w:rsidRPr="009C4817" w:rsidRDefault="009C4817" w:rsidP="009C4817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9C4817">
        <w:rPr>
          <w:rFonts w:ascii="Arial" w:hAnsi="Arial" w:cs="Arial"/>
          <w:sz w:val="21"/>
          <w:szCs w:val="21"/>
        </w:rPr>
        <w:t xml:space="preserve">Les retards touchent principalement les rubriques de services et de crédit. Si la marge de </w:t>
      </w:r>
      <w:r w:rsidR="003A2C75" w:rsidRPr="009C4817">
        <w:rPr>
          <w:rFonts w:ascii="Arial" w:hAnsi="Arial" w:cs="Arial"/>
          <w:sz w:val="21"/>
          <w:szCs w:val="21"/>
        </w:rPr>
        <w:t>manœuvre</w:t>
      </w:r>
      <w:r w:rsidRPr="009C4817">
        <w:rPr>
          <w:rFonts w:ascii="Arial" w:hAnsi="Arial" w:cs="Arial"/>
          <w:sz w:val="21"/>
          <w:szCs w:val="21"/>
        </w:rPr>
        <w:t xml:space="preserve"> est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plus limitée sur les crédits, il n'en est pas moins des services qui peuvent être proposés à l'intégralité de la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clientèle, et qui sont, eux, sources de PNB récurrent.</w:t>
      </w:r>
    </w:p>
    <w:p w:rsidR="009C4817" w:rsidRPr="009C4817" w:rsidRDefault="009C4817" w:rsidP="009C4817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9C4817">
        <w:rPr>
          <w:rFonts w:ascii="Arial" w:hAnsi="Arial" w:cs="Arial"/>
          <w:sz w:val="21"/>
          <w:szCs w:val="21"/>
        </w:rPr>
        <w:t>Les rubriques d'épargne sont, elles, globalement en avance, et ce tant pour l'épargne de bilan (comptes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d'épargne) que pour l'épargne financière (OPCVM, assurance vie).</w:t>
      </w:r>
    </w:p>
    <w:p w:rsidR="009C4817" w:rsidRPr="009C4817" w:rsidRDefault="009C4817" w:rsidP="009C4817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9C4817">
        <w:rPr>
          <w:rFonts w:ascii="Arial" w:hAnsi="Arial" w:cs="Arial"/>
          <w:sz w:val="21"/>
          <w:szCs w:val="21"/>
        </w:rPr>
        <w:t>On pourrait en déduire que le chargé de clientèle de ce portefeuille est plus tourné vers l'épargne que les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crédits, et hésite peut être même à proposer des financements à ses clients qui sont globalement plus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épargnants que la moyenne de l'agence (cf. taux de détention). Une réflexion sur les crédits devra être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initiée afin de développer cette activité. La prospection, le suivi des dépassements des autorisations de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découvert, ou encore la connaissance du client et de ses projets sont autant de moyens de développer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l'activité « crédit ».</w:t>
      </w:r>
    </w:p>
    <w:p w:rsidR="009C4817" w:rsidRPr="009C4817" w:rsidRDefault="009C4817" w:rsidP="009C4817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9C4817">
        <w:rPr>
          <w:rFonts w:ascii="Arial" w:hAnsi="Arial" w:cs="Arial"/>
          <w:sz w:val="21"/>
          <w:szCs w:val="21"/>
        </w:rPr>
        <w:t>Un travail devra également être effectué sur « la » rubrique en fort décalage : les assurances de moyens de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paiement, dont le niveau de production est tel que le stock a diminué en deux ans, phénomène plutôt rare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pour les services. Un potentiel considérable est identifié, à la vue du taux de détention de l'agence (57 %)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rapporté à celui du portefeuille (7%).</w:t>
      </w:r>
    </w:p>
    <w:p w:rsidR="009C4817" w:rsidRPr="003A2C75" w:rsidRDefault="009C4817" w:rsidP="003A2C75">
      <w:pPr>
        <w:numPr>
          <w:ilvl w:val="0"/>
          <w:numId w:val="29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1"/>
          <w:szCs w:val="21"/>
        </w:rPr>
      </w:pPr>
      <w:r w:rsidRPr="003A2C75">
        <w:rPr>
          <w:rFonts w:ascii="Arial" w:hAnsi="Arial" w:cs="Arial"/>
          <w:b/>
          <w:sz w:val="21"/>
          <w:szCs w:val="21"/>
        </w:rPr>
        <w:t xml:space="preserve">Objectifs </w:t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="003A2C75">
        <w:rPr>
          <w:rFonts w:ascii="Arial" w:hAnsi="Arial" w:cs="Arial"/>
          <w:b/>
          <w:sz w:val="21"/>
          <w:szCs w:val="21"/>
        </w:rPr>
        <w:tab/>
      </w:r>
      <w:r w:rsidRPr="003A2C75">
        <w:rPr>
          <w:rFonts w:ascii="Arial" w:hAnsi="Arial" w:cs="Arial"/>
          <w:b/>
          <w:sz w:val="21"/>
          <w:szCs w:val="21"/>
        </w:rPr>
        <w:t>(2 pts)</w:t>
      </w:r>
    </w:p>
    <w:p w:rsidR="003A2C75" w:rsidRDefault="009C4817" w:rsidP="009C4817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9C4817">
        <w:rPr>
          <w:rFonts w:ascii="Arial" w:hAnsi="Arial" w:cs="Arial"/>
          <w:sz w:val="21"/>
          <w:szCs w:val="21"/>
        </w:rPr>
        <w:t>Les entretiens d'un chargé de clientèle avec ses clients nécessitent que celui-ci connaisse ses clients, ou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qu'il en fasse la découverte. Il identifie alors des besoins, des projets de ses clients, et propose alors en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réponse une solution adaptée grâce à l'offre commerciale de la banque. Répondre aux besoins des clients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aboutit à la vente de produits, et par là même à la réalisation d'objectifs individuels déclinés en nombre de</w:t>
      </w:r>
      <w:r w:rsidR="003A2C75">
        <w:rPr>
          <w:rFonts w:ascii="Arial" w:hAnsi="Arial" w:cs="Arial"/>
          <w:sz w:val="21"/>
          <w:szCs w:val="21"/>
        </w:rPr>
        <w:t xml:space="preserve"> </w:t>
      </w:r>
      <w:r w:rsidRPr="009C4817">
        <w:rPr>
          <w:rFonts w:ascii="Arial" w:hAnsi="Arial" w:cs="Arial"/>
          <w:sz w:val="21"/>
          <w:szCs w:val="21"/>
        </w:rPr>
        <w:t>produits.</w:t>
      </w:r>
    </w:p>
    <w:p w:rsidR="003A2C75" w:rsidRDefault="003A2C75" w:rsidP="003A2C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1"/>
          <w:szCs w:val="21"/>
        </w:rPr>
        <w:br w:type="page"/>
      </w:r>
      <w:r>
        <w:rPr>
          <w:rFonts w:ascii="Arial" w:hAnsi="Arial" w:cs="Arial"/>
          <w:b/>
          <w:bCs/>
          <w:sz w:val="23"/>
          <w:szCs w:val="23"/>
        </w:rPr>
        <w:lastRenderedPageBreak/>
        <w:t>Annexe</w:t>
      </w:r>
    </w:p>
    <w:p w:rsidR="003A2C75" w:rsidRPr="00C352AA" w:rsidRDefault="003A2C75" w:rsidP="003A2C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A2C75">
        <w:rPr>
          <w:rFonts w:ascii="Arial" w:hAnsi="Arial" w:cs="Arial"/>
          <w:b/>
          <w:bCs/>
          <w:sz w:val="23"/>
          <w:szCs w:val="23"/>
        </w:rPr>
        <w:t xml:space="preserve">Récapitulatif par âge et </w:t>
      </w:r>
      <w:proofErr w:type="spellStart"/>
      <w:r w:rsidRPr="003A2C75">
        <w:rPr>
          <w:rFonts w:ascii="Arial" w:hAnsi="Arial" w:cs="Arial"/>
          <w:b/>
          <w:bCs/>
          <w:sz w:val="23"/>
          <w:szCs w:val="23"/>
        </w:rPr>
        <w:t>p</w:t>
      </w:r>
      <w:r>
        <w:rPr>
          <w:rFonts w:ascii="Arial" w:hAnsi="Arial" w:cs="Arial"/>
          <w:b/>
          <w:bCs/>
          <w:sz w:val="23"/>
          <w:szCs w:val="23"/>
        </w:rPr>
        <w:t>cs</w:t>
      </w:r>
      <w:proofErr w:type="spellEnd"/>
      <w:r w:rsidRPr="003A2C75">
        <w:rPr>
          <w:rFonts w:ascii="Arial" w:hAnsi="Arial" w:cs="Arial"/>
          <w:b/>
          <w:bCs/>
          <w:sz w:val="23"/>
          <w:szCs w:val="23"/>
        </w:rPr>
        <w:t xml:space="preserve"> des clients de l'agence et de !a population du secteur</w:t>
      </w:r>
    </w:p>
    <w:p w:rsidR="003A2C75" w:rsidRDefault="003A2C75" w:rsidP="003A2C75">
      <w:pPr>
        <w:autoSpaceDE w:val="0"/>
        <w:autoSpaceDN w:val="0"/>
        <w:adjustRightInd w:val="0"/>
        <w:spacing w:before="2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Récapitulatif pour analyse</w:t>
      </w:r>
      <w:bookmarkStart w:id="0" w:name="_GoBack"/>
      <w:bookmarkEnd w:id="0"/>
    </w:p>
    <w:p w:rsidR="003A2C75" w:rsidRPr="00DF253D" w:rsidRDefault="003A2C75" w:rsidP="003A2C75">
      <w:pPr>
        <w:autoSpaceDE w:val="0"/>
        <w:autoSpaceDN w:val="0"/>
        <w:adjustRightInd w:val="0"/>
        <w:spacing w:before="240"/>
        <w:rPr>
          <w:rFonts w:ascii="Arial" w:hAnsi="Arial" w:cs="Arial"/>
          <w:sz w:val="17"/>
          <w:szCs w:val="17"/>
        </w:rPr>
      </w:pPr>
    </w:p>
    <w:tbl>
      <w:tblPr>
        <w:tblW w:w="10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217"/>
        <w:gridCol w:w="850"/>
        <w:gridCol w:w="907"/>
        <w:gridCol w:w="492"/>
        <w:gridCol w:w="2439"/>
        <w:gridCol w:w="1217"/>
        <w:gridCol w:w="850"/>
        <w:gridCol w:w="907"/>
      </w:tblGrid>
      <w:tr w:rsidR="00755506" w:rsidRPr="0036496C" w:rsidTr="00755506">
        <w:trPr>
          <w:trHeight w:val="170"/>
        </w:trPr>
        <w:tc>
          <w:tcPr>
            <w:tcW w:w="1212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Portefeuille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18"/>
                <w:szCs w:val="18"/>
              </w:rPr>
              <w:t>agence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secteur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PCS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Portefeuille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18"/>
                <w:szCs w:val="18"/>
              </w:rPr>
              <w:t>agence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506">
              <w:rPr>
                <w:rFonts w:ascii="Arial" w:hAnsi="Arial" w:cs="Arial"/>
                <w:sz w:val="18"/>
                <w:szCs w:val="18"/>
              </w:rPr>
              <w:t>secteur</w:t>
            </w:r>
          </w:p>
        </w:tc>
      </w:tr>
      <w:tr w:rsidR="00755506" w:rsidRPr="0036496C" w:rsidTr="00755506">
        <w:trPr>
          <w:trHeight w:val="170"/>
        </w:trPr>
        <w:tc>
          <w:tcPr>
            <w:tcW w:w="1212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0-17 ans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18-24 ans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24-44 ans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45-59 ans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60 ans et +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51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19%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21%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31%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14%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15%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Professionnels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Cadres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Employés, ouvriers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Retraités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Elèves&gt;15 ans, étudiants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sz w:val="20"/>
                <w:szCs w:val="20"/>
              </w:rPr>
              <w:t>Inactifs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5%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13%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755506" w:rsidRPr="0036496C" w:rsidTr="00755506">
        <w:trPr>
          <w:trHeight w:val="170"/>
        </w:trPr>
        <w:tc>
          <w:tcPr>
            <w:tcW w:w="1212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75550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06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</w:tr>
    </w:tbl>
    <w:p w:rsidR="003A2C75" w:rsidRDefault="003A2C75" w:rsidP="003A2C75">
      <w:pPr>
        <w:autoSpaceDE w:val="0"/>
        <w:autoSpaceDN w:val="0"/>
        <w:adjustRightInd w:val="0"/>
        <w:spacing w:before="240"/>
        <w:rPr>
          <w:rFonts w:ascii="Arial" w:hAnsi="Arial" w:cs="Arial"/>
          <w:sz w:val="17"/>
          <w:szCs w:val="17"/>
        </w:rPr>
      </w:pPr>
    </w:p>
    <w:p w:rsidR="003A2C75" w:rsidRPr="00987180" w:rsidRDefault="003A2C75" w:rsidP="003A2C75">
      <w:pPr>
        <w:autoSpaceDE w:val="0"/>
        <w:autoSpaceDN w:val="0"/>
        <w:adjustRightInd w:val="0"/>
        <w:spacing w:before="2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Stock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1928"/>
        <w:gridCol w:w="1928"/>
        <w:gridCol w:w="1928"/>
        <w:gridCol w:w="1930"/>
      </w:tblGrid>
      <w:tr w:rsidR="00755506" w:rsidRPr="00987180" w:rsidTr="00755506">
        <w:tc>
          <w:tcPr>
            <w:tcW w:w="2266" w:type="dxa"/>
            <w:tcBorders>
              <w:bottom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</w:p>
        </w:tc>
        <w:tc>
          <w:tcPr>
            <w:tcW w:w="38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tabs>
                <w:tab w:val="left" w:pos="276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55506">
              <w:rPr>
                <w:rFonts w:ascii="Arial" w:hAnsi="Arial" w:cs="Arial"/>
                <w:b/>
                <w:sz w:val="20"/>
                <w:szCs w:val="19"/>
              </w:rPr>
              <w:t>Stock</w:t>
            </w: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55506">
              <w:rPr>
                <w:rFonts w:ascii="Arial" w:hAnsi="Arial" w:cs="Arial"/>
                <w:b/>
                <w:sz w:val="20"/>
                <w:szCs w:val="19"/>
              </w:rPr>
              <w:t>Taux de détention Portefeuille N°3</w:t>
            </w:r>
          </w:p>
        </w:tc>
        <w:tc>
          <w:tcPr>
            <w:tcW w:w="1930" w:type="dxa"/>
            <w:tcBorders>
              <w:bottom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55506">
              <w:rPr>
                <w:rFonts w:ascii="Arial" w:hAnsi="Arial" w:cs="Arial"/>
                <w:b/>
                <w:sz w:val="20"/>
                <w:szCs w:val="19"/>
              </w:rPr>
              <w:t>Taux de détention agence</w:t>
            </w:r>
          </w:p>
        </w:tc>
      </w:tr>
      <w:tr w:rsidR="00755506" w:rsidTr="00755506">
        <w:tc>
          <w:tcPr>
            <w:tcW w:w="2266" w:type="dxa"/>
            <w:tcBorders>
              <w:top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2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55506">
              <w:rPr>
                <w:rFonts w:ascii="Arial" w:hAnsi="Arial" w:cs="Arial"/>
                <w:sz w:val="20"/>
                <w:szCs w:val="19"/>
              </w:rPr>
              <w:t>au 31/12/99</w:t>
            </w:r>
          </w:p>
        </w:tc>
        <w:tc>
          <w:tcPr>
            <w:tcW w:w="19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55506">
              <w:rPr>
                <w:rFonts w:ascii="Arial" w:hAnsi="Arial" w:cs="Arial"/>
                <w:sz w:val="20"/>
                <w:szCs w:val="19"/>
              </w:rPr>
              <w:t>au 31/12/01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55506">
              <w:rPr>
                <w:rFonts w:ascii="Arial" w:hAnsi="Arial" w:cs="Arial"/>
                <w:sz w:val="20"/>
                <w:szCs w:val="19"/>
              </w:rPr>
              <w:t>au 31/12/01</w:t>
            </w:r>
          </w:p>
        </w:tc>
        <w:tc>
          <w:tcPr>
            <w:tcW w:w="1930" w:type="dxa"/>
            <w:tcBorders>
              <w:top w:val="nil"/>
            </w:tcBorders>
            <w:shd w:val="clear" w:color="auto" w:fill="auto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55506">
              <w:rPr>
                <w:rFonts w:ascii="Arial" w:hAnsi="Arial" w:cs="Arial"/>
                <w:sz w:val="20"/>
                <w:szCs w:val="19"/>
              </w:rPr>
              <w:t>au 31/12/01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Comptes chèque (*)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697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749</w:t>
            </w:r>
          </w:p>
        </w:tc>
        <w:tc>
          <w:tcPr>
            <w:tcW w:w="1928" w:type="dxa"/>
            <w:shd w:val="clear" w:color="auto" w:fill="A6A6A6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30" w:type="dxa"/>
            <w:shd w:val="clear" w:color="auto" w:fill="A6A6A6"/>
            <w:vAlign w:val="center"/>
          </w:tcPr>
          <w:p w:rsidR="003A2C75" w:rsidRPr="00755506" w:rsidRDefault="003A2C75" w:rsidP="007555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CODEVI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365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380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51%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43%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Livrets Jeune (**)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9%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7%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CEL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34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8%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PEL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115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213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28%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21%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PEP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53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7%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5%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PEA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89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170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23%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15%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Prêts étudiants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Prêts personnels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123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104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14%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17%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Crédits revolving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82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9%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11%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Prêts immobiliers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proofErr w:type="gramStart"/>
            <w:r w:rsidRPr="00755506">
              <w:rPr>
                <w:rFonts w:ascii="Calibri" w:hAnsi="Calibri"/>
                <w:color w:val="000000"/>
                <w:sz w:val="22"/>
              </w:rPr>
              <w:t>Packages</w:t>
            </w:r>
            <w:proofErr w:type="gramEnd"/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234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306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41%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45%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Cartes Visa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417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478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63%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65%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Cartes Premier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34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9%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Assurances Moyens de paiement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67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55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7%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57%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Services internet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23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343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46%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47%</w:t>
            </w:r>
          </w:p>
        </w:tc>
      </w:tr>
      <w:tr w:rsidR="00755506" w:rsidTr="00755506">
        <w:tc>
          <w:tcPr>
            <w:tcW w:w="2266" w:type="dxa"/>
            <w:shd w:val="clear" w:color="auto" w:fill="auto"/>
            <w:vAlign w:val="bottom"/>
          </w:tcPr>
          <w:p w:rsidR="003A2C75" w:rsidRPr="00755506" w:rsidRDefault="003A2C75" w:rsidP="00BF6ADB">
            <w:pPr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IARD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38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5%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A2C75" w:rsidRPr="00755506" w:rsidRDefault="003A2C75" w:rsidP="0075550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55506">
              <w:rPr>
                <w:rFonts w:ascii="Calibri" w:hAnsi="Calibri"/>
                <w:color w:val="000000"/>
                <w:sz w:val="22"/>
              </w:rPr>
              <w:t>4%</w:t>
            </w:r>
          </w:p>
        </w:tc>
      </w:tr>
    </w:tbl>
    <w:p w:rsidR="003A2C75" w:rsidRDefault="003A2C75" w:rsidP="003A2C7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(*) </w:t>
      </w:r>
      <w:proofErr w:type="gramStart"/>
      <w:r>
        <w:rPr>
          <w:rFonts w:ascii="Arial" w:hAnsi="Arial" w:cs="Arial"/>
          <w:sz w:val="18"/>
          <w:szCs w:val="18"/>
        </w:rPr>
        <w:t>dont</w:t>
      </w:r>
      <w:proofErr w:type="gramEnd"/>
      <w:r>
        <w:rPr>
          <w:rFonts w:ascii="Arial" w:hAnsi="Arial" w:cs="Arial"/>
          <w:sz w:val="18"/>
          <w:szCs w:val="18"/>
        </w:rPr>
        <w:t xml:space="preserve"> comptes chèque de clients 18/25 ans : 8</w:t>
      </w:r>
    </w:p>
    <w:p w:rsidR="003A2C75" w:rsidRDefault="003A2C75" w:rsidP="003A2C7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(**) </w:t>
      </w:r>
      <w:proofErr w:type="gramStart"/>
      <w:r>
        <w:rPr>
          <w:rFonts w:ascii="Arial" w:hAnsi="Arial" w:cs="Arial"/>
          <w:sz w:val="18"/>
          <w:szCs w:val="18"/>
        </w:rPr>
        <w:t>dont</w:t>
      </w:r>
      <w:proofErr w:type="gramEnd"/>
      <w:r>
        <w:rPr>
          <w:rFonts w:ascii="Arial" w:hAnsi="Arial" w:cs="Arial"/>
          <w:sz w:val="18"/>
          <w:szCs w:val="18"/>
        </w:rPr>
        <w:t xml:space="preserve"> livret jeune de clients de 12/17 ans : 15</w:t>
      </w:r>
    </w:p>
    <w:p w:rsidR="00B418E9" w:rsidRPr="003A2C75" w:rsidRDefault="00B418E9" w:rsidP="003A2C75"/>
    <w:sectPr w:rsidR="00B418E9" w:rsidRPr="003A2C75" w:rsidSect="00C93E22">
      <w:headerReference w:type="default" r:id="rId8"/>
      <w:footerReference w:type="even" r:id="rId9"/>
      <w:footerReference w:type="default" r:id="rId10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06" w:rsidRDefault="00755506">
      <w:r>
        <w:separator/>
      </w:r>
    </w:p>
  </w:endnote>
  <w:endnote w:type="continuationSeparator" w:id="0">
    <w:p w:rsidR="00755506" w:rsidRDefault="007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9379E">
      <w:rPr>
        <w:rStyle w:val="Numrodepage"/>
        <w:noProof/>
      </w:rPr>
      <w:t>3</w:t>
    </w:r>
    <w:r>
      <w:rPr>
        <w:rStyle w:val="Numrodepage"/>
      </w:rPr>
      <w:fldChar w:fldCharType="end"/>
    </w:r>
  </w:p>
  <w:p w:rsidR="00CC507C" w:rsidRPr="00E20310" w:rsidRDefault="00C93E22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</w:t>
    </w:r>
    <w:r w:rsidR="00071B2C">
      <w:rPr>
        <w:sz w:val="20"/>
      </w:rPr>
      <w:t>Banque</w:t>
    </w:r>
    <w:r>
      <w:rPr>
        <w:sz w:val="20"/>
      </w:rPr>
      <w:t xml:space="preserve"> 20</w:t>
    </w:r>
    <w:r w:rsidR="00937478">
      <w:rPr>
        <w:sz w:val="20"/>
      </w:rPr>
      <w:t>0</w:t>
    </w:r>
    <w:r w:rsidR="00B54CBD">
      <w:rPr>
        <w:sz w:val="20"/>
      </w:rPr>
      <w:t>2</w:t>
    </w:r>
    <w:r>
      <w:rPr>
        <w:sz w:val="20"/>
      </w:rPr>
      <w:t xml:space="preserve"> – EPREUVE </w:t>
    </w:r>
    <w:r w:rsidR="00AA38D3">
      <w:rPr>
        <w:sz w:val="20"/>
      </w:rPr>
      <w:t>4</w:t>
    </w:r>
    <w:r>
      <w:rPr>
        <w:sz w:val="20"/>
      </w:rPr>
      <w:t xml:space="preserve"> - </w:t>
    </w:r>
    <w:r w:rsidR="00AA38D3" w:rsidRPr="00AA38D3">
      <w:rPr>
        <w:sz w:val="20"/>
      </w:rPr>
      <w:t>Gestion de clientèle et communication 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19379E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19379E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06" w:rsidRDefault="00755506">
      <w:r>
        <w:separator/>
      </w:r>
    </w:p>
  </w:footnote>
  <w:footnote w:type="continuationSeparator" w:id="0">
    <w:p w:rsidR="00755506" w:rsidRDefault="0075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755506" w:rsidP="00C93E22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2" type="#_x0000_t75" alt="Description : C:\Mes documents\ACCOUNTANCY SIMPLY\Projet\logos_Comptazine_FB_TW-40-x-40.jpg" style="position:absolute;left:0;text-align:left;margin-left:435.45pt;margin-top:-36.75pt;width:30pt;height:30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 id="WordPictureWatermark1392013490" o:spid="_x0000_s2051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BCB"/>
    <w:multiLevelType w:val="hybridMultilevel"/>
    <w:tmpl w:val="98BE3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54E1"/>
    <w:multiLevelType w:val="hybridMultilevel"/>
    <w:tmpl w:val="EE8AD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3D10"/>
    <w:multiLevelType w:val="hybridMultilevel"/>
    <w:tmpl w:val="BEE26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9231D"/>
    <w:multiLevelType w:val="hybridMultilevel"/>
    <w:tmpl w:val="B5FE4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433F7"/>
    <w:multiLevelType w:val="multilevel"/>
    <w:tmpl w:val="E432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BF453E"/>
    <w:multiLevelType w:val="hybridMultilevel"/>
    <w:tmpl w:val="6032FA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515B97"/>
    <w:multiLevelType w:val="hybridMultilevel"/>
    <w:tmpl w:val="E3BC6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B71C4"/>
    <w:multiLevelType w:val="hybridMultilevel"/>
    <w:tmpl w:val="3A4E413C"/>
    <w:lvl w:ilvl="0" w:tplc="5234FCDC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>
    <w:nsid w:val="2A1D48ED"/>
    <w:multiLevelType w:val="hybridMultilevel"/>
    <w:tmpl w:val="516AC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38A"/>
    <w:multiLevelType w:val="multilevel"/>
    <w:tmpl w:val="1B22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640A03"/>
    <w:multiLevelType w:val="hybridMultilevel"/>
    <w:tmpl w:val="9C6AFD1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33A24"/>
    <w:multiLevelType w:val="hybridMultilevel"/>
    <w:tmpl w:val="50FE9D7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A6B95"/>
    <w:multiLevelType w:val="hybridMultilevel"/>
    <w:tmpl w:val="07C8BC4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654F8"/>
    <w:multiLevelType w:val="multilevel"/>
    <w:tmpl w:val="E432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07221A0"/>
    <w:multiLevelType w:val="hybridMultilevel"/>
    <w:tmpl w:val="FDDC8F42"/>
    <w:lvl w:ilvl="0" w:tplc="5E9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28B7"/>
    <w:multiLevelType w:val="hybridMultilevel"/>
    <w:tmpl w:val="C1160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3713F"/>
    <w:multiLevelType w:val="multilevel"/>
    <w:tmpl w:val="AEB61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F664C6F"/>
    <w:multiLevelType w:val="hybridMultilevel"/>
    <w:tmpl w:val="FE8CE99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75A4C"/>
    <w:multiLevelType w:val="hybridMultilevel"/>
    <w:tmpl w:val="C01ED744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70D55E5"/>
    <w:multiLevelType w:val="hybridMultilevel"/>
    <w:tmpl w:val="165AF258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26A09"/>
    <w:multiLevelType w:val="hybridMultilevel"/>
    <w:tmpl w:val="69B26A6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00515"/>
    <w:multiLevelType w:val="multilevel"/>
    <w:tmpl w:val="E432D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A3E43AB"/>
    <w:multiLevelType w:val="hybridMultilevel"/>
    <w:tmpl w:val="9906E734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B664E"/>
    <w:multiLevelType w:val="hybridMultilevel"/>
    <w:tmpl w:val="19008A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AE11493"/>
    <w:multiLevelType w:val="hybridMultilevel"/>
    <w:tmpl w:val="F0C67420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37508"/>
    <w:multiLevelType w:val="multilevel"/>
    <w:tmpl w:val="8FC89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40E15A4"/>
    <w:multiLevelType w:val="hybridMultilevel"/>
    <w:tmpl w:val="F72609A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A2DFD"/>
    <w:multiLevelType w:val="hybridMultilevel"/>
    <w:tmpl w:val="FA9CF5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B6A6005"/>
    <w:multiLevelType w:val="hybridMultilevel"/>
    <w:tmpl w:val="DDE63A58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9"/>
  </w:num>
  <w:num w:numId="5">
    <w:abstractNumId w:val="22"/>
  </w:num>
  <w:num w:numId="6">
    <w:abstractNumId w:val="0"/>
  </w:num>
  <w:num w:numId="7">
    <w:abstractNumId w:val="25"/>
  </w:num>
  <w:num w:numId="8">
    <w:abstractNumId w:val="11"/>
  </w:num>
  <w:num w:numId="9">
    <w:abstractNumId w:val="20"/>
  </w:num>
  <w:num w:numId="10">
    <w:abstractNumId w:val="6"/>
  </w:num>
  <w:num w:numId="11">
    <w:abstractNumId w:val="14"/>
  </w:num>
  <w:num w:numId="12">
    <w:abstractNumId w:val="18"/>
  </w:num>
  <w:num w:numId="13">
    <w:abstractNumId w:val="23"/>
  </w:num>
  <w:num w:numId="14">
    <w:abstractNumId w:val="27"/>
  </w:num>
  <w:num w:numId="15">
    <w:abstractNumId w:val="26"/>
  </w:num>
  <w:num w:numId="16">
    <w:abstractNumId w:val="24"/>
  </w:num>
  <w:num w:numId="17">
    <w:abstractNumId w:val="17"/>
  </w:num>
  <w:num w:numId="18">
    <w:abstractNumId w:val="7"/>
  </w:num>
  <w:num w:numId="19">
    <w:abstractNumId w:val="19"/>
  </w:num>
  <w:num w:numId="20">
    <w:abstractNumId w:val="13"/>
  </w:num>
  <w:num w:numId="21">
    <w:abstractNumId w:val="28"/>
  </w:num>
  <w:num w:numId="22">
    <w:abstractNumId w:val="10"/>
  </w:num>
  <w:num w:numId="23">
    <w:abstractNumId w:val="4"/>
  </w:num>
  <w:num w:numId="24">
    <w:abstractNumId w:val="21"/>
  </w:num>
  <w:num w:numId="25">
    <w:abstractNumId w:val="15"/>
  </w:num>
  <w:num w:numId="26">
    <w:abstractNumId w:val="5"/>
  </w:num>
  <w:num w:numId="27">
    <w:abstractNumId w:val="2"/>
  </w:num>
  <w:num w:numId="28">
    <w:abstractNumId w:val="1"/>
  </w:num>
  <w:num w:numId="2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67B4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0A571A"/>
    <w:rsid w:val="000F75D1"/>
    <w:rsid w:val="0011705B"/>
    <w:rsid w:val="00127F6F"/>
    <w:rsid w:val="001323E0"/>
    <w:rsid w:val="00136C3E"/>
    <w:rsid w:val="00146B57"/>
    <w:rsid w:val="001500E0"/>
    <w:rsid w:val="00167D6A"/>
    <w:rsid w:val="001744E9"/>
    <w:rsid w:val="001934CE"/>
    <w:rsid w:val="0019379E"/>
    <w:rsid w:val="001941A4"/>
    <w:rsid w:val="001A4859"/>
    <w:rsid w:val="001B3019"/>
    <w:rsid w:val="001B4075"/>
    <w:rsid w:val="001C744F"/>
    <w:rsid w:val="001D0090"/>
    <w:rsid w:val="001D1707"/>
    <w:rsid w:val="001D43EB"/>
    <w:rsid w:val="002032F6"/>
    <w:rsid w:val="00203896"/>
    <w:rsid w:val="00204631"/>
    <w:rsid w:val="002155CB"/>
    <w:rsid w:val="00227C18"/>
    <w:rsid w:val="00237027"/>
    <w:rsid w:val="00247EBF"/>
    <w:rsid w:val="00251E71"/>
    <w:rsid w:val="00255DC7"/>
    <w:rsid w:val="002624B1"/>
    <w:rsid w:val="00290F0C"/>
    <w:rsid w:val="0029450B"/>
    <w:rsid w:val="002968E5"/>
    <w:rsid w:val="002A09A6"/>
    <w:rsid w:val="002A30E8"/>
    <w:rsid w:val="002B208F"/>
    <w:rsid w:val="002C3769"/>
    <w:rsid w:val="002C3DCD"/>
    <w:rsid w:val="002E39BF"/>
    <w:rsid w:val="002E5BEC"/>
    <w:rsid w:val="002E6AE5"/>
    <w:rsid w:val="0031152F"/>
    <w:rsid w:val="0033726C"/>
    <w:rsid w:val="003409B5"/>
    <w:rsid w:val="00346B65"/>
    <w:rsid w:val="00351FD7"/>
    <w:rsid w:val="003650E2"/>
    <w:rsid w:val="003666D5"/>
    <w:rsid w:val="0037282C"/>
    <w:rsid w:val="00382D18"/>
    <w:rsid w:val="0039709E"/>
    <w:rsid w:val="003A2C75"/>
    <w:rsid w:val="003A67B2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62036"/>
    <w:rsid w:val="00482703"/>
    <w:rsid w:val="00483F03"/>
    <w:rsid w:val="004A6895"/>
    <w:rsid w:val="004B612E"/>
    <w:rsid w:val="004B7834"/>
    <w:rsid w:val="004C43EF"/>
    <w:rsid w:val="004F3583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86F9D"/>
    <w:rsid w:val="0059489C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84688"/>
    <w:rsid w:val="00685158"/>
    <w:rsid w:val="006871FE"/>
    <w:rsid w:val="00692FC1"/>
    <w:rsid w:val="006A7451"/>
    <w:rsid w:val="006B1146"/>
    <w:rsid w:val="006B29FD"/>
    <w:rsid w:val="006C7136"/>
    <w:rsid w:val="006D616E"/>
    <w:rsid w:val="006F0002"/>
    <w:rsid w:val="006F1194"/>
    <w:rsid w:val="006F163B"/>
    <w:rsid w:val="006F5DC7"/>
    <w:rsid w:val="0071660C"/>
    <w:rsid w:val="00723B75"/>
    <w:rsid w:val="00741031"/>
    <w:rsid w:val="00746C2D"/>
    <w:rsid w:val="00755506"/>
    <w:rsid w:val="007601FA"/>
    <w:rsid w:val="00771302"/>
    <w:rsid w:val="007729E4"/>
    <w:rsid w:val="007770B1"/>
    <w:rsid w:val="007962B3"/>
    <w:rsid w:val="007A36F1"/>
    <w:rsid w:val="007A56F2"/>
    <w:rsid w:val="007C08B5"/>
    <w:rsid w:val="007D1DA9"/>
    <w:rsid w:val="007D4E29"/>
    <w:rsid w:val="007E3D7E"/>
    <w:rsid w:val="007E7EB7"/>
    <w:rsid w:val="008106FA"/>
    <w:rsid w:val="00810AA5"/>
    <w:rsid w:val="0081395B"/>
    <w:rsid w:val="008172E0"/>
    <w:rsid w:val="008249C5"/>
    <w:rsid w:val="0083549E"/>
    <w:rsid w:val="008425BA"/>
    <w:rsid w:val="00846B04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2103D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817"/>
    <w:rsid w:val="009C4C56"/>
    <w:rsid w:val="009D085F"/>
    <w:rsid w:val="009F3F0F"/>
    <w:rsid w:val="00A05CEF"/>
    <w:rsid w:val="00A542AB"/>
    <w:rsid w:val="00A92596"/>
    <w:rsid w:val="00A9563D"/>
    <w:rsid w:val="00AA38D3"/>
    <w:rsid w:val="00AA3902"/>
    <w:rsid w:val="00AC2F5E"/>
    <w:rsid w:val="00B044C8"/>
    <w:rsid w:val="00B4087B"/>
    <w:rsid w:val="00B4152F"/>
    <w:rsid w:val="00B418E9"/>
    <w:rsid w:val="00B43B7A"/>
    <w:rsid w:val="00B44A44"/>
    <w:rsid w:val="00B54CBD"/>
    <w:rsid w:val="00B6330B"/>
    <w:rsid w:val="00B65128"/>
    <w:rsid w:val="00B704C1"/>
    <w:rsid w:val="00B774D1"/>
    <w:rsid w:val="00B81EC8"/>
    <w:rsid w:val="00BB29AB"/>
    <w:rsid w:val="00BD1E01"/>
    <w:rsid w:val="00BD5FFE"/>
    <w:rsid w:val="00BE3E07"/>
    <w:rsid w:val="00BE4594"/>
    <w:rsid w:val="00C10857"/>
    <w:rsid w:val="00C245CA"/>
    <w:rsid w:val="00C33328"/>
    <w:rsid w:val="00C349CF"/>
    <w:rsid w:val="00C518CE"/>
    <w:rsid w:val="00C55DBE"/>
    <w:rsid w:val="00C9171B"/>
    <w:rsid w:val="00C93342"/>
    <w:rsid w:val="00C93E22"/>
    <w:rsid w:val="00CA481F"/>
    <w:rsid w:val="00CC507C"/>
    <w:rsid w:val="00CD0981"/>
    <w:rsid w:val="00CD5617"/>
    <w:rsid w:val="00D07D6A"/>
    <w:rsid w:val="00D12BB0"/>
    <w:rsid w:val="00D12FA5"/>
    <w:rsid w:val="00D13BC7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B4B41"/>
    <w:rsid w:val="00DD36AC"/>
    <w:rsid w:val="00DF480B"/>
    <w:rsid w:val="00E07171"/>
    <w:rsid w:val="00E11841"/>
    <w:rsid w:val="00E14AE1"/>
    <w:rsid w:val="00E15B34"/>
    <w:rsid w:val="00E20310"/>
    <w:rsid w:val="00E21CB7"/>
    <w:rsid w:val="00E231F7"/>
    <w:rsid w:val="00E617DC"/>
    <w:rsid w:val="00E62184"/>
    <w:rsid w:val="00E7061D"/>
    <w:rsid w:val="00E7183B"/>
    <w:rsid w:val="00EA03A2"/>
    <w:rsid w:val="00EA50B6"/>
    <w:rsid w:val="00EA6533"/>
    <w:rsid w:val="00EB5A69"/>
    <w:rsid w:val="00EC4C0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60D8F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12</cp:revision>
  <cp:lastPrinted>2012-11-28T17:59:00Z</cp:lastPrinted>
  <dcterms:created xsi:type="dcterms:W3CDTF">2012-11-30T18:15:00Z</dcterms:created>
  <dcterms:modified xsi:type="dcterms:W3CDTF">2012-12-02T14:10:00Z</dcterms:modified>
</cp:coreProperties>
</file>