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7" w:rsidRPr="00C40335" w:rsidRDefault="00345B17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32"/>
          <w:szCs w:val="32"/>
        </w:rPr>
      </w:pPr>
      <w:r w:rsidRPr="00C40335">
        <w:rPr>
          <w:b/>
          <w:bCs/>
          <w:sz w:val="32"/>
          <w:szCs w:val="32"/>
        </w:rPr>
        <w:t>BTS : Epreuve de culture générale et expression</w:t>
      </w:r>
    </w:p>
    <w:p w:rsidR="00345B17" w:rsidRPr="00C40335" w:rsidRDefault="00345B17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8"/>
          <w:szCs w:val="28"/>
        </w:rPr>
      </w:pPr>
      <w:r w:rsidRPr="00C40335">
        <w:rPr>
          <w:b/>
          <w:bCs/>
          <w:sz w:val="28"/>
          <w:szCs w:val="28"/>
        </w:rPr>
        <w:t>Métropole SESSION 201</w:t>
      </w:r>
      <w:r w:rsidR="00D26DCF">
        <w:rPr>
          <w:b/>
          <w:bCs/>
          <w:sz w:val="28"/>
          <w:szCs w:val="28"/>
        </w:rPr>
        <w:t>4</w:t>
      </w:r>
    </w:p>
    <w:p w:rsidR="00345B17" w:rsidRPr="00C40335" w:rsidRDefault="00D361CE" w:rsidP="003A3FB9">
      <w:pPr>
        <w:autoSpaceDE w:val="0"/>
        <w:autoSpaceDN w:val="0"/>
        <w:adjustRightInd w:val="0"/>
        <w:spacing w:before="240"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PROPOSITION</w:t>
      </w:r>
      <w:r w:rsidR="00345B17" w:rsidRPr="00C40335">
        <w:rPr>
          <w:b/>
          <w:bCs/>
          <w:sz w:val="22"/>
          <w:szCs w:val="22"/>
        </w:rPr>
        <w:t xml:space="preserve"> DE CORRECTION</w:t>
      </w:r>
    </w:p>
    <w:p w:rsidR="00D26DCF" w:rsidRPr="00D26DCF" w:rsidRDefault="00345B17" w:rsidP="003A3FB9">
      <w:pPr>
        <w:autoSpaceDE w:val="0"/>
        <w:autoSpaceDN w:val="0"/>
        <w:adjustRightInd w:val="0"/>
        <w:spacing w:before="240"/>
        <w:ind w:firstLine="709"/>
        <w:rPr>
          <w:b/>
          <w:bCs/>
        </w:rPr>
      </w:pPr>
      <w:r w:rsidRPr="00D26DCF">
        <w:rPr>
          <w:b/>
          <w:bCs/>
        </w:rPr>
        <w:t>Première partie : Synthèse (40 points)</w:t>
      </w:r>
    </w:p>
    <w:p w:rsidR="00345B17" w:rsidRPr="003A3FB9" w:rsidRDefault="00D26DCF" w:rsidP="003A3FB9">
      <w:pPr>
        <w:spacing w:before="240"/>
        <w:ind w:left="100" w:right="67"/>
        <w:rPr>
          <w:rFonts w:eastAsia="Calibri"/>
        </w:rPr>
      </w:pPr>
      <w:r w:rsidRPr="00D26DCF">
        <w:rPr>
          <w:rFonts w:eastAsia="Calibri"/>
          <w:b/>
          <w:bCs/>
          <w:i/>
          <w:color w:val="000009"/>
          <w:spacing w:val="1"/>
        </w:rPr>
        <w:t>O</w:t>
      </w:r>
      <w:r w:rsidRPr="00D26DCF">
        <w:rPr>
          <w:rFonts w:eastAsia="Calibri"/>
          <w:b/>
          <w:bCs/>
          <w:i/>
          <w:color w:val="000009"/>
        </w:rPr>
        <w:t>n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pénali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era</w:t>
      </w:r>
      <w:r w:rsidRPr="00D26DCF">
        <w:rPr>
          <w:rFonts w:eastAsia="Calibri"/>
          <w:b/>
          <w:bCs/>
          <w:i/>
          <w:color w:val="000009"/>
          <w:spacing w:val="4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une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</w:rPr>
        <w:t>aî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ri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e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défaillan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e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de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la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langue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(</w:t>
      </w:r>
      <w:r w:rsidRPr="00D26DCF">
        <w:rPr>
          <w:rFonts w:eastAsia="Calibri"/>
          <w:b/>
          <w:bCs/>
          <w:i/>
          <w:color w:val="000009"/>
        </w:rPr>
        <w:t>orthographe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et</w:t>
      </w:r>
      <w:r w:rsidRPr="00D26DCF">
        <w:rPr>
          <w:rFonts w:eastAsia="Calibri"/>
          <w:b/>
          <w:bCs/>
          <w:i/>
          <w:color w:val="000009"/>
          <w:spacing w:val="8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ynta</w:t>
      </w:r>
      <w:r w:rsidRPr="00D26DCF">
        <w:rPr>
          <w:rFonts w:eastAsia="Calibri"/>
          <w:b/>
          <w:bCs/>
          <w:i/>
          <w:color w:val="000009"/>
          <w:spacing w:val="1"/>
        </w:rPr>
        <w:t>x</w:t>
      </w:r>
      <w:r w:rsidRPr="00D26DCF">
        <w:rPr>
          <w:rFonts w:eastAsia="Calibri"/>
          <w:b/>
          <w:bCs/>
          <w:i/>
          <w:color w:val="000009"/>
        </w:rPr>
        <w:t>e)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en</w:t>
      </w:r>
      <w:r w:rsidRPr="00D26DCF">
        <w:rPr>
          <w:rFonts w:eastAsia="Calibri"/>
          <w:b/>
          <w:bCs/>
          <w:i/>
          <w:color w:val="000009"/>
          <w:spacing w:val="10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enlevant</w:t>
      </w:r>
      <w:r w:rsidRPr="00D26DCF">
        <w:rPr>
          <w:rFonts w:eastAsia="Calibri"/>
          <w:b/>
          <w:bCs/>
          <w:i/>
          <w:color w:val="000009"/>
          <w:spacing w:val="6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2</w:t>
      </w:r>
      <w:r w:rsidRPr="00D26DCF">
        <w:rPr>
          <w:rFonts w:eastAsia="Calibri"/>
          <w:b/>
          <w:bCs/>
          <w:i/>
          <w:color w:val="000009"/>
          <w:spacing w:val="9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poin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 xml:space="preserve">s 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</w:rPr>
        <w:t>a</w:t>
      </w:r>
      <w:r w:rsidRPr="00D26DCF">
        <w:rPr>
          <w:rFonts w:eastAsia="Calibri"/>
          <w:b/>
          <w:bCs/>
          <w:i/>
          <w:color w:val="000009"/>
          <w:spacing w:val="1"/>
        </w:rPr>
        <w:t>x</w:t>
      </w:r>
      <w:r w:rsidRPr="00D26DCF">
        <w:rPr>
          <w:rFonts w:eastAsia="Calibri"/>
          <w:b/>
          <w:bCs/>
          <w:i/>
          <w:color w:val="000009"/>
        </w:rPr>
        <w:t>i</w:t>
      </w:r>
      <w:r w:rsidRPr="00D26DCF">
        <w:rPr>
          <w:rFonts w:eastAsia="Calibri"/>
          <w:b/>
          <w:bCs/>
          <w:i/>
          <w:color w:val="000009"/>
          <w:spacing w:val="-1"/>
        </w:rPr>
        <w:t>m</w:t>
      </w:r>
      <w:r w:rsidRPr="00D26DCF">
        <w:rPr>
          <w:rFonts w:eastAsia="Calibri"/>
          <w:b/>
          <w:bCs/>
          <w:i/>
          <w:color w:val="000009"/>
          <w:spacing w:val="2"/>
        </w:rPr>
        <w:t>u</w:t>
      </w:r>
      <w:r w:rsidRPr="00D26DCF">
        <w:rPr>
          <w:rFonts w:eastAsia="Calibri"/>
          <w:b/>
          <w:bCs/>
          <w:i/>
          <w:color w:val="000009"/>
        </w:rPr>
        <w:t>m</w:t>
      </w:r>
      <w:r w:rsidRPr="00D26DCF">
        <w:rPr>
          <w:rFonts w:eastAsia="Calibri"/>
          <w:b/>
          <w:bCs/>
          <w:i/>
          <w:color w:val="000009"/>
          <w:spacing w:val="-7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ur la</w:t>
      </w:r>
      <w:r w:rsidRPr="00D26DCF">
        <w:rPr>
          <w:rFonts w:eastAsia="Calibri"/>
          <w:b/>
          <w:bCs/>
          <w:i/>
          <w:color w:val="000009"/>
          <w:spacing w:val="-2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no</w:t>
      </w:r>
      <w:r w:rsidRPr="00D26DCF">
        <w:rPr>
          <w:rFonts w:eastAsia="Calibri"/>
          <w:b/>
          <w:bCs/>
          <w:i/>
          <w:color w:val="000009"/>
          <w:spacing w:val="-1"/>
        </w:rPr>
        <w:t>t</w:t>
      </w:r>
      <w:r w:rsidRPr="00D26DCF">
        <w:rPr>
          <w:rFonts w:eastAsia="Calibri"/>
          <w:b/>
          <w:bCs/>
          <w:i/>
          <w:color w:val="000009"/>
        </w:rPr>
        <w:t>e globale</w:t>
      </w:r>
      <w:r w:rsidRPr="00D26DCF">
        <w:rPr>
          <w:rFonts w:eastAsia="Calibri"/>
          <w:b/>
          <w:bCs/>
          <w:i/>
          <w:color w:val="000009"/>
          <w:spacing w:val="-8"/>
        </w:rPr>
        <w:t xml:space="preserve"> </w:t>
      </w:r>
      <w:r w:rsidRPr="00D26DCF">
        <w:rPr>
          <w:rFonts w:eastAsia="Calibri"/>
          <w:b/>
          <w:bCs/>
          <w:i/>
          <w:color w:val="000009"/>
        </w:rPr>
        <w:t>finale</w:t>
      </w:r>
      <w:r w:rsidRPr="00D26DCF">
        <w:rPr>
          <w:rFonts w:eastAsia="Calibri"/>
          <w:b/>
          <w:bCs/>
          <w:i/>
          <w:color w:val="000009"/>
          <w:spacing w:val="-5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c</w:t>
      </w:r>
      <w:r w:rsidRPr="00D26DCF">
        <w:rPr>
          <w:rFonts w:eastAsia="Calibri"/>
          <w:b/>
          <w:bCs/>
          <w:i/>
          <w:color w:val="000009"/>
        </w:rPr>
        <w:t>al</w:t>
      </w:r>
      <w:r w:rsidRPr="00D26DCF">
        <w:rPr>
          <w:rFonts w:eastAsia="Calibri"/>
          <w:b/>
          <w:bCs/>
          <w:i/>
          <w:color w:val="000009"/>
          <w:spacing w:val="-1"/>
        </w:rPr>
        <w:t>c</w:t>
      </w:r>
      <w:r w:rsidRPr="00D26DCF">
        <w:rPr>
          <w:rFonts w:eastAsia="Calibri"/>
          <w:b/>
          <w:bCs/>
          <w:i/>
          <w:color w:val="000009"/>
        </w:rPr>
        <w:t>ulée</w:t>
      </w:r>
      <w:r w:rsidRPr="00D26DCF">
        <w:rPr>
          <w:rFonts w:eastAsia="Calibri"/>
          <w:b/>
          <w:bCs/>
          <w:i/>
          <w:color w:val="000009"/>
          <w:spacing w:val="-3"/>
        </w:rPr>
        <w:t xml:space="preserve"> </w:t>
      </w:r>
      <w:r w:rsidRPr="00D26DCF">
        <w:rPr>
          <w:rFonts w:eastAsia="Calibri"/>
          <w:b/>
          <w:bCs/>
          <w:i/>
          <w:color w:val="000009"/>
          <w:spacing w:val="-1"/>
        </w:rPr>
        <w:t>s</w:t>
      </w:r>
      <w:r w:rsidRPr="00D26DCF">
        <w:rPr>
          <w:rFonts w:eastAsia="Calibri"/>
          <w:b/>
          <w:bCs/>
          <w:i/>
          <w:color w:val="000009"/>
        </w:rPr>
        <w:t>ur 20</w:t>
      </w:r>
    </w:p>
    <w:p w:rsidR="00345B17" w:rsidRPr="00D26DCF" w:rsidRDefault="00D361CE" w:rsidP="003A3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spacing w:before="240"/>
        <w:ind w:firstLine="709"/>
      </w:pPr>
      <w:r w:rsidRPr="00D26DCF">
        <w:rPr>
          <w:b/>
          <w:bCs/>
        </w:rPr>
        <w:t>Proposition de corrigé</w:t>
      </w:r>
      <w:r w:rsidR="00345B17" w:rsidRPr="00D26DCF">
        <w:rPr>
          <w:b/>
          <w:bCs/>
        </w:rPr>
        <w:t xml:space="preserve"> </w:t>
      </w:r>
      <w:r w:rsidR="00345B17" w:rsidRPr="00D26DCF">
        <w:t>:</w:t>
      </w:r>
    </w:p>
    <w:p w:rsidR="003A3FB9" w:rsidRDefault="003A3FB9" w:rsidP="003A3FB9">
      <w:pPr>
        <w:spacing w:before="240"/>
      </w:pPr>
      <w:r>
        <w:t>Problématique :</w:t>
      </w:r>
    </w:p>
    <w:p w:rsidR="003A3FB9" w:rsidRDefault="003A3FB9" w:rsidP="003A3FB9">
      <w:pPr>
        <w:spacing w:before="240"/>
      </w:pPr>
      <w:r>
        <w:t>La conversation : un genre aux formes multiples que les échanges numériques permettent de réinterroger et de réorienter en conservant certaines fonctions indispensables à la vie sociale de l’homme.</w:t>
      </w:r>
    </w:p>
    <w:p w:rsidR="003A3FB9" w:rsidRPr="00C56EEC" w:rsidRDefault="003A3FB9" w:rsidP="003A3FB9">
      <w:pPr>
        <w:pStyle w:val="Paragraphedeliste"/>
        <w:numPr>
          <w:ilvl w:val="0"/>
          <w:numId w:val="37"/>
        </w:numPr>
        <w:spacing w:before="240" w:line="259" w:lineRule="auto"/>
        <w:rPr>
          <w:b/>
        </w:rPr>
      </w:pPr>
      <w:r w:rsidRPr="00C56EEC">
        <w:rPr>
          <w:b/>
        </w:rPr>
        <w:t>La conversation et les échanges sociaux : des pratiques sociales aux formes multiples</w:t>
      </w:r>
    </w:p>
    <w:p w:rsidR="003A3FB9" w:rsidRDefault="003A3FB9" w:rsidP="003A3FB9">
      <w:pPr>
        <w:spacing w:before="240"/>
      </w:pPr>
      <w:r>
        <w:t>- Jules Janin propose une énumération pour « définir cette chose indéfinissable » / une succession de définitions possibles</w:t>
      </w:r>
    </w:p>
    <w:p w:rsidR="003A3FB9" w:rsidRDefault="003A3FB9" w:rsidP="003A3FB9">
      <w:pPr>
        <w:spacing w:before="240"/>
      </w:pPr>
      <w:r>
        <w:t>-  Un  ensemble  disparate  d’objets  d’échanges  :  grands  ou  petits  sujets  peuvent  alimenter  les échanges et jusqu’à des photos désormais (documents 1 et 4) / commentaires spontanés du quidam aussi bien que des paroles d’experts. (Document 3)</w:t>
      </w:r>
    </w:p>
    <w:p w:rsidR="003A3FB9" w:rsidRDefault="003A3FB9" w:rsidP="003A3FB9">
      <w:pPr>
        <w:spacing w:before="240"/>
      </w:pPr>
      <w:r>
        <w:t>- Connivence ou tensions, voire conflits, peuvent caractériser les échanges selon leurs types (cf. Facebook et recherche de l’identité de goût ou indifférence « J’aime » – Twitter : propos qui peuvent frôler la grossièreté) Voir l’expression : « pour le meilleur et pour le pire » (document 3).</w:t>
      </w:r>
    </w:p>
    <w:p w:rsidR="003A3FB9" w:rsidRPr="00C56EEC" w:rsidRDefault="003A3FB9" w:rsidP="003A3FB9">
      <w:pPr>
        <w:pStyle w:val="Paragraphedeliste"/>
        <w:numPr>
          <w:ilvl w:val="0"/>
          <w:numId w:val="37"/>
        </w:numPr>
        <w:spacing w:before="240" w:line="259" w:lineRule="auto"/>
        <w:rPr>
          <w:b/>
        </w:rPr>
      </w:pPr>
      <w:r w:rsidRPr="00C56EEC">
        <w:rPr>
          <w:b/>
        </w:rPr>
        <w:t>La conversation : une pratique changeante au fil du temps et au gré des changements techniques</w:t>
      </w:r>
    </w:p>
    <w:p w:rsidR="003A3FB9" w:rsidRDefault="003A3FB9" w:rsidP="003A3FB9">
      <w:pPr>
        <w:spacing w:before="240"/>
      </w:pPr>
      <w:r>
        <w:t>- Autant de genres de conversations que de moments, lieux et canaux de la conversation (proximité physique ou absence et distance) voir Catherine Balet &amp; document 3 / selon les types de réseaux sociaux</w:t>
      </w:r>
    </w:p>
    <w:p w:rsidR="003A3FB9" w:rsidRDefault="003A3FB9" w:rsidP="003A3FB9">
      <w:pPr>
        <w:spacing w:before="240"/>
      </w:pPr>
      <w:r>
        <w:t>- Un échange désormais libéré, désinhibé (document 3) perçu ou non parfois comme démocratique (document 3 et 4)</w:t>
      </w:r>
    </w:p>
    <w:p w:rsidR="003A3FB9" w:rsidRDefault="003A3FB9" w:rsidP="003A3FB9">
      <w:pPr>
        <w:spacing w:before="240"/>
      </w:pPr>
      <w:bookmarkStart w:id="0" w:name="_GoBack"/>
      <w:r>
        <w:t xml:space="preserve"> - Un lien à l’autre ou au semblable (cf. homophilie selon le document 4 / parole proférée dans une « société bien faite » document 2) – société qui se ressemble sur la photographie de C. Balet (cf. « étrangers dans la lumière » - notion d’étrangeté aux adultes et aux autres)</w:t>
      </w:r>
    </w:p>
    <w:bookmarkEnd w:id="0"/>
    <w:p w:rsidR="003A3FB9" w:rsidRPr="00C56EEC" w:rsidRDefault="003A3FB9" w:rsidP="003A3FB9">
      <w:pPr>
        <w:pStyle w:val="Paragraphedeliste"/>
        <w:numPr>
          <w:ilvl w:val="0"/>
          <w:numId w:val="37"/>
        </w:numPr>
        <w:spacing w:before="240" w:line="259" w:lineRule="auto"/>
        <w:rPr>
          <w:b/>
        </w:rPr>
      </w:pPr>
      <w:r w:rsidRPr="00C56EEC">
        <w:rPr>
          <w:b/>
        </w:rPr>
        <w:lastRenderedPageBreak/>
        <w:t>S’agit-il toujours, avec le numérique, de « conversation » et « d’échanges » ou ne sont-ce que des « paroles » ?</w:t>
      </w:r>
    </w:p>
    <w:p w:rsidR="003A3FB9" w:rsidRDefault="003A3FB9" w:rsidP="003A3FB9">
      <w:pPr>
        <w:spacing w:before="240"/>
      </w:pPr>
      <w:r>
        <w:t>- La communication n’est plus directe : c’est la machine qui sert de média. (Documents 1 et 3)</w:t>
      </w:r>
    </w:p>
    <w:p w:rsidR="003A3FB9" w:rsidRDefault="003A3FB9" w:rsidP="003A3FB9">
      <w:pPr>
        <w:spacing w:before="240"/>
      </w:pPr>
      <w:r>
        <w:t>- Les codes sont malmenés (documents 1, 3 et 4) et les individus sont seuls ensemble (documents 1 et 3)</w:t>
      </w:r>
    </w:p>
    <w:p w:rsidR="003A3FB9" w:rsidRDefault="003A3FB9" w:rsidP="003A3FB9">
      <w:pPr>
        <w:spacing w:before="240"/>
      </w:pPr>
      <w:r>
        <w:t>- Les nouvelles générations se satisfont des échanges numériques (document 1)</w:t>
      </w:r>
    </w:p>
    <w:p w:rsidR="003A3FB9" w:rsidRDefault="003A3FB9" w:rsidP="003A3FB9">
      <w:pPr>
        <w:spacing w:before="240"/>
      </w:pPr>
      <w:r>
        <w:t>Conclusion  :  La  révolution  numérique  ne  substitue-t-elle  pas  à  l’idéal  classique  d’esprit,  de raffinement un nouvel idéal privilégiant la possibilité d’être à tout instant en contact ?</w:t>
      </w:r>
    </w:p>
    <w:p w:rsidR="003A3FB9" w:rsidRDefault="003A3FB9" w:rsidP="003A3FB9">
      <w:pPr>
        <w:spacing w:before="240"/>
      </w:pPr>
    </w:p>
    <w:p w:rsidR="003A3FB9" w:rsidRDefault="003A3FB9" w:rsidP="003A3FB9">
      <w:pPr>
        <w:pStyle w:val="Titre1"/>
        <w:numPr>
          <w:ilvl w:val="0"/>
          <w:numId w:val="0"/>
        </w:numPr>
        <w:spacing w:before="240"/>
      </w:pPr>
      <w:r>
        <w:t>Consignes de correction pour la synthèse</w:t>
      </w:r>
    </w:p>
    <w:p w:rsidR="003A3FB9" w:rsidRDefault="003A3FB9" w:rsidP="003A3FB9">
      <w:pPr>
        <w:spacing w:before="240"/>
        <w:rPr>
          <w:b/>
        </w:rPr>
      </w:pPr>
      <w:r w:rsidRPr="00C56EEC">
        <w:rPr>
          <w:b/>
        </w:rPr>
        <w:t>L’introduction et la conclusion :</w:t>
      </w:r>
    </w:p>
    <w:p w:rsidR="003A3FB9" w:rsidRPr="003A3FB9" w:rsidRDefault="003A3FB9" w:rsidP="003A3FB9">
      <w:pPr>
        <w:spacing w:before="240"/>
        <w:rPr>
          <w:b/>
        </w:rPr>
      </w:pPr>
      <w:r>
        <w:t>Introduction :  on  rappelle  que  les  documents  ne  sont  plus  obligatoirement  présentés  dans l’introduction mais doivent être clairement identifiés dans le cours de la synthèse dès leur première utilisation.</w:t>
      </w:r>
    </w:p>
    <w:p w:rsidR="003A3FB9" w:rsidRDefault="003A3FB9" w:rsidP="003A3FB9">
      <w:pPr>
        <w:spacing w:before="240"/>
      </w:pPr>
      <w:r>
        <w:t>Conclusion : on attendra une phrase de clôture minimale.</w:t>
      </w:r>
    </w:p>
    <w:p w:rsidR="003A3FB9" w:rsidRPr="00C56EEC" w:rsidRDefault="003A3FB9" w:rsidP="003A3FB9">
      <w:pPr>
        <w:spacing w:before="240"/>
        <w:rPr>
          <w:b/>
        </w:rPr>
      </w:pPr>
      <w:r w:rsidRPr="00C56EEC">
        <w:rPr>
          <w:b/>
        </w:rPr>
        <w:t>Le développement :</w:t>
      </w:r>
    </w:p>
    <w:p w:rsidR="003A3FB9" w:rsidRDefault="003A3FB9" w:rsidP="003A3FB9">
      <w:pPr>
        <w:spacing w:before="240"/>
      </w:pPr>
      <w:r>
        <w:t>On acceptera tout type de plan, en 2 ou 3 parties, à condition qu’il soit cohérent et qu’il présente une confrontation valable des documents. Le plan proposé ci-dessus n’est qu’indicatif.</w:t>
      </w:r>
    </w:p>
    <w:p w:rsidR="003A3FB9" w:rsidRPr="00C56EEC" w:rsidRDefault="003A3FB9" w:rsidP="003A3FB9">
      <w:pPr>
        <w:spacing w:before="240"/>
        <w:rPr>
          <w:b/>
        </w:rPr>
      </w:pPr>
      <w:r w:rsidRPr="00C56EEC">
        <w:rPr>
          <w:b/>
        </w:rPr>
        <w:t>Remarques générales :</w:t>
      </w:r>
    </w:p>
    <w:p w:rsidR="003A3FB9" w:rsidRDefault="003A3FB9" w:rsidP="003A3FB9">
      <w:pPr>
        <w:spacing w:before="240"/>
      </w:pPr>
      <w:r>
        <w:t>Le corpus ne présente pas de difficultés particulières, susceptibles de surprendre les candidats ou de leur poser des problèmes de compréhension.</w:t>
      </w:r>
    </w:p>
    <w:p w:rsidR="003A3FB9" w:rsidRDefault="003A3FB9" w:rsidP="003A3FB9">
      <w:pPr>
        <w:spacing w:before="240"/>
      </w:pP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Pour attribuer au moins la moyenne, on attend des candidats qu’ils mettent en évidence :</w:t>
      </w:r>
    </w:p>
    <w:p w:rsidR="003A3FB9" w:rsidRDefault="003A3FB9" w:rsidP="003A3FB9">
      <w:pPr>
        <w:spacing w:before="240"/>
      </w:pPr>
      <w:r>
        <w:t>-</w:t>
      </w:r>
      <w:r>
        <w:tab/>
        <w:t>Une problématique pertinente (quel que soit son degré d’explicitation)</w:t>
      </w:r>
    </w:p>
    <w:p w:rsidR="003A3FB9" w:rsidRDefault="003A3FB9" w:rsidP="003A3FB9">
      <w:pPr>
        <w:spacing w:before="240"/>
      </w:pPr>
      <w:r>
        <w:t>-</w:t>
      </w:r>
      <w:r>
        <w:tab/>
        <w:t>La compréhension des documents et leur orientation par rapport à la problématique</w:t>
      </w:r>
    </w:p>
    <w:p w:rsidR="003A3FB9" w:rsidRDefault="003A3FB9" w:rsidP="003A3FB9">
      <w:pPr>
        <w:spacing w:before="240"/>
      </w:pPr>
      <w:r>
        <w:t>-</w:t>
      </w:r>
      <w:r>
        <w:tab/>
        <w:t>Les répercussions des différents modes de communication (forme et contenus) sur les liens sociaux et les échanges verbaux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pénalisera les copies</w:t>
      </w:r>
    </w:p>
    <w:p w:rsidR="003A3FB9" w:rsidRDefault="003A3FB9" w:rsidP="003A3FB9">
      <w:pPr>
        <w:pStyle w:val="Paragraphedeliste"/>
        <w:numPr>
          <w:ilvl w:val="0"/>
          <w:numId w:val="38"/>
        </w:numPr>
        <w:spacing w:before="240" w:after="160" w:line="259" w:lineRule="auto"/>
      </w:pPr>
      <w:r>
        <w:t>qui ne maîtrisent pas la technique de la synthèse (condition indispensable pour l’attribution de la moyenne) et présentent :</w:t>
      </w:r>
    </w:p>
    <w:p w:rsidR="003A3FB9" w:rsidRDefault="003A3FB9" w:rsidP="003A3FB9">
      <w:pPr>
        <w:spacing w:before="240"/>
      </w:pPr>
      <w:r>
        <w:t>-  une paraphrase des documents et un montage de citations</w:t>
      </w:r>
    </w:p>
    <w:p w:rsidR="003A3FB9" w:rsidRDefault="003A3FB9" w:rsidP="003A3FB9">
      <w:pPr>
        <w:spacing w:before="240"/>
      </w:pPr>
      <w:r>
        <w:t>-  une simple juxtaposition des documents</w:t>
      </w:r>
    </w:p>
    <w:p w:rsidR="003A3FB9" w:rsidRDefault="003A3FB9" w:rsidP="003A3FB9">
      <w:pPr>
        <w:spacing w:before="240"/>
      </w:pPr>
      <w:r>
        <w:t>-  une opinion personnelle ou des ajouts d’arguments ou d’exemples extérieurs au corpus</w:t>
      </w:r>
    </w:p>
    <w:p w:rsidR="003A3FB9" w:rsidRDefault="003A3FB9" w:rsidP="003A3FB9">
      <w:pPr>
        <w:spacing w:before="240"/>
      </w:pPr>
      <w:r>
        <w:t>-  et ne présentent pas de plan organisé.</w:t>
      </w:r>
    </w:p>
    <w:p w:rsidR="003A3FB9" w:rsidRDefault="003A3FB9" w:rsidP="003A3FB9">
      <w:pPr>
        <w:pStyle w:val="Paragraphedeliste"/>
        <w:numPr>
          <w:ilvl w:val="0"/>
          <w:numId w:val="38"/>
        </w:numPr>
        <w:spacing w:before="240" w:after="160" w:line="259" w:lineRule="auto"/>
      </w:pPr>
      <w:r>
        <w:t>qui ne traitent pas les quatre documents dans la synthèse</w:t>
      </w:r>
    </w:p>
    <w:p w:rsidR="003A3FB9" w:rsidRDefault="003A3FB9" w:rsidP="003A3FB9">
      <w:pPr>
        <w:spacing w:before="240"/>
      </w:pPr>
      <w:r>
        <w:t>- qui commettent un contresens sur les documents 2, 3 et 4 (on acceptera des interprétations variées du document n°1)</w:t>
      </w:r>
    </w:p>
    <w:p w:rsidR="003A3FB9" w:rsidRDefault="003A3FB9" w:rsidP="003A3FB9">
      <w:pPr>
        <w:pStyle w:val="Paragraphedeliste"/>
        <w:numPr>
          <w:ilvl w:val="0"/>
          <w:numId w:val="38"/>
        </w:numPr>
        <w:spacing w:before="240" w:after="160" w:line="259" w:lineRule="auto"/>
      </w:pPr>
      <w:r>
        <w:t>qui présentent de graves lacunes de langue et d’orthographe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valorisera les copies</w:t>
      </w:r>
    </w:p>
    <w:p w:rsidR="003A3FB9" w:rsidRDefault="003A3FB9" w:rsidP="003A3FB9">
      <w:pPr>
        <w:spacing w:before="240"/>
      </w:pPr>
      <w:r>
        <w:t>- qui présentent une confrontation efficace des documents</w:t>
      </w:r>
    </w:p>
    <w:p w:rsidR="003A3FB9" w:rsidRDefault="003A3FB9" w:rsidP="003A3FB9">
      <w:pPr>
        <w:spacing w:before="240"/>
      </w:pPr>
      <w:r>
        <w:t>- qui présentent une aptitude à la reformulation</w:t>
      </w:r>
    </w:p>
    <w:p w:rsidR="003A3FB9" w:rsidRDefault="003A3FB9" w:rsidP="003A3FB9">
      <w:pPr>
        <w:spacing w:before="240"/>
      </w:pPr>
      <w:r>
        <w:t>- qui font l’effort de s’engager dans une interprétation de la photographie précise et cohérente avec la problématique</w:t>
      </w:r>
    </w:p>
    <w:p w:rsidR="003A3FB9" w:rsidRDefault="003A3FB9" w:rsidP="003A3FB9">
      <w:pPr>
        <w:spacing w:before="240"/>
      </w:pPr>
      <w:r>
        <w:t>- et sont rédigées dans un style correct et fluide</w:t>
      </w:r>
    </w:p>
    <w:p w:rsidR="003A3FB9" w:rsidRDefault="003A3FB9" w:rsidP="003A3FB9">
      <w:pPr>
        <w:spacing w:before="240"/>
      </w:pP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6803"/>
        <w:gridCol w:w="1134"/>
        <w:gridCol w:w="1134"/>
      </w:tblGrid>
      <w:tr w:rsidR="003A3FB9" w:rsidTr="00152A06">
        <w:tc>
          <w:tcPr>
            <w:tcW w:w="9071" w:type="dxa"/>
            <w:gridSpan w:val="3"/>
          </w:tcPr>
          <w:p w:rsidR="003A3FB9" w:rsidRDefault="003A3FB9" w:rsidP="003A3FB9">
            <w:pPr>
              <w:spacing w:before="240"/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</w:p>
        </w:tc>
      </w:tr>
      <w:tr w:rsidR="003A3FB9" w:rsidTr="00152A06">
        <w:tc>
          <w:tcPr>
            <w:tcW w:w="6803" w:type="dxa"/>
            <w:vAlign w:val="center"/>
          </w:tcPr>
          <w:p w:rsidR="003A3FB9" w:rsidRDefault="003A3FB9" w:rsidP="003A3FB9">
            <w:pPr>
              <w:ind w:left="240" w:right="-20"/>
              <w:jc w:val="center"/>
              <w:rPr>
                <w:rFonts w:ascii="Calibri" w:eastAsia="Calibri" w:hAnsi="Calibri" w:cs="Calibri"/>
                <w:b/>
                <w:bCs/>
                <w:color w:val="000009"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jc w:val="center"/>
            </w:pPr>
            <w:r>
              <w:t>OUI</w:t>
            </w: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jc w:val="center"/>
            </w:pPr>
            <w:r>
              <w:t>NON</w:t>
            </w: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Existence d’une problématique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Présence   d’une   introduction   avec   annonce succincte du plan et d’une conclusion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Existence d’un plan cohérent organisé en parties et sous-parties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Confrontation des documents correctement référencés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Rédaction correcte, claire et concise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 d’ajouts et d’interprétations personnels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 de contresens et d’omissions majeures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C56EEC">
              <w:rPr>
                <w:rFonts w:ascii="Calibri" w:eastAsia="Calibri" w:hAnsi="Calibri" w:cs="Calibri"/>
                <w:bCs/>
                <w:color w:val="000009"/>
                <w:spacing w:val="-1"/>
              </w:rPr>
              <w:t>Absence de paraphrase et de montage de citations  (aptitude  à  reformuler, interprétation…)</w:t>
            </w:r>
          </w:p>
        </w:tc>
        <w:tc>
          <w:tcPr>
            <w:tcW w:w="1134" w:type="dxa"/>
          </w:tcPr>
          <w:p w:rsidR="003A3FB9" w:rsidRPr="00C56EEC" w:rsidRDefault="003A3FB9" w:rsidP="003A3FB9"/>
        </w:tc>
        <w:tc>
          <w:tcPr>
            <w:tcW w:w="1134" w:type="dxa"/>
          </w:tcPr>
          <w:p w:rsidR="003A3FB9" w:rsidRPr="00C56EEC" w:rsidRDefault="003A3FB9" w:rsidP="003A3FB9"/>
        </w:tc>
      </w:tr>
    </w:tbl>
    <w:p w:rsidR="003A3FB9" w:rsidRDefault="003A3FB9" w:rsidP="003A3FB9">
      <w:pPr>
        <w:spacing w:before="240"/>
      </w:pPr>
    </w:p>
    <w:p w:rsidR="003A3FB9" w:rsidRDefault="003A3FB9" w:rsidP="003A3FB9">
      <w:pPr>
        <w:spacing w:before="240"/>
      </w:pPr>
    </w:p>
    <w:p w:rsidR="003A3FB9" w:rsidRDefault="003A3FB9" w:rsidP="003A3FB9">
      <w:pPr>
        <w:spacing w:before="240"/>
      </w:pPr>
    </w:p>
    <w:p w:rsidR="003A3FB9" w:rsidRDefault="003A3FB9" w:rsidP="003A3FB9">
      <w:pPr>
        <w:spacing w:before="240"/>
        <w:rPr>
          <w:b/>
          <w:bCs/>
        </w:rPr>
      </w:pPr>
      <w:r>
        <w:rPr>
          <w:b/>
          <w:bCs/>
        </w:rPr>
        <w:br w:type="page"/>
      </w:r>
    </w:p>
    <w:p w:rsidR="00D361CE" w:rsidRPr="00C40335" w:rsidRDefault="00D361CE" w:rsidP="003A3FB9">
      <w:pPr>
        <w:spacing w:before="240"/>
        <w:rPr>
          <w:b/>
          <w:bCs/>
        </w:rPr>
      </w:pPr>
      <w:r>
        <w:rPr>
          <w:b/>
          <w:bCs/>
        </w:rPr>
        <w:t xml:space="preserve">Deuxième </w:t>
      </w:r>
      <w:r w:rsidRPr="00C40335">
        <w:rPr>
          <w:b/>
          <w:bCs/>
        </w:rPr>
        <w:t xml:space="preserve">partie : </w:t>
      </w:r>
      <w:r>
        <w:rPr>
          <w:b/>
          <w:bCs/>
        </w:rPr>
        <w:t>Écriture personnelle</w:t>
      </w:r>
      <w:r w:rsidRPr="00C40335">
        <w:rPr>
          <w:b/>
          <w:bCs/>
        </w:rPr>
        <w:t xml:space="preserve"> (</w:t>
      </w:r>
      <w:r>
        <w:rPr>
          <w:b/>
          <w:bCs/>
        </w:rPr>
        <w:t>2</w:t>
      </w:r>
      <w:r w:rsidRPr="00C40335">
        <w:rPr>
          <w:b/>
          <w:bCs/>
        </w:rPr>
        <w:t>0 points)</w:t>
      </w:r>
    </w:p>
    <w:p w:rsidR="00D361CE" w:rsidRPr="00C40335" w:rsidRDefault="00D361CE" w:rsidP="003A3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90"/>
        </w:tabs>
        <w:autoSpaceDE w:val="0"/>
        <w:autoSpaceDN w:val="0"/>
        <w:adjustRightInd w:val="0"/>
        <w:spacing w:before="24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Proposition de corrigé</w:t>
      </w:r>
      <w:r w:rsidRPr="00C40335">
        <w:rPr>
          <w:b/>
          <w:bCs/>
          <w:sz w:val="22"/>
          <w:szCs w:val="22"/>
        </w:rPr>
        <w:t xml:space="preserve"> </w:t>
      </w:r>
      <w:r w:rsidRPr="00C40335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3A3FB9" w:rsidRDefault="003A3FB9" w:rsidP="003A3FB9">
      <w:pPr>
        <w:pStyle w:val="Titre1"/>
        <w:numPr>
          <w:ilvl w:val="0"/>
          <w:numId w:val="0"/>
        </w:numPr>
        <w:spacing w:before="240"/>
      </w:pPr>
      <w:r>
        <w:t>Écriture personnelle</w:t>
      </w:r>
    </w:p>
    <w:p w:rsidR="003A3FB9" w:rsidRDefault="003A3FB9" w:rsidP="003A3FB9">
      <w:pPr>
        <w:spacing w:before="240"/>
      </w:pPr>
      <w:r>
        <w:t>Problématique : Notre manière de communiquer est-elle radicalement révolutionnée par les outils numériques ?</w:t>
      </w:r>
    </w:p>
    <w:p w:rsidR="003A3FB9" w:rsidRDefault="003A3FB9" w:rsidP="003A3FB9">
      <w:pPr>
        <w:pStyle w:val="Paragraphedeliste"/>
        <w:numPr>
          <w:ilvl w:val="0"/>
          <w:numId w:val="40"/>
        </w:numPr>
        <w:spacing w:before="240" w:after="160" w:line="259" w:lineRule="auto"/>
      </w:pPr>
      <w:r>
        <w:t>Certes, ces nouveaux outils modifient notre manière de communiquer</w:t>
      </w:r>
    </w:p>
    <w:p w:rsidR="003A3FB9" w:rsidRDefault="003A3FB9" w:rsidP="003A3FB9">
      <w:pPr>
        <w:spacing w:before="240"/>
      </w:pPr>
      <w:r>
        <w:t>- Ils démultiplient les destinataires et le nombre d’échanges possibles. Exemple : Facebook - Twitter</w:t>
      </w:r>
    </w:p>
    <w:p w:rsidR="003A3FB9" w:rsidRDefault="003A3FB9" w:rsidP="003A3FB9">
      <w:pPr>
        <w:spacing w:before="240"/>
      </w:pPr>
      <w:r>
        <w:t>- Ils accroissent la vitesse des échanges et abolissent la distance. Exemple : Téléphone portable - mails</w:t>
      </w:r>
    </w:p>
    <w:p w:rsidR="003A3FB9" w:rsidRDefault="003A3FB9" w:rsidP="003A3FB9">
      <w:pPr>
        <w:spacing w:before="240"/>
      </w:pPr>
      <w:r>
        <w:t>- Ils modifient les codes du langage.</w:t>
      </w:r>
    </w:p>
    <w:p w:rsidR="003A3FB9" w:rsidRDefault="003A3FB9" w:rsidP="003A3FB9">
      <w:pPr>
        <w:spacing w:before="240"/>
      </w:pPr>
      <w:r>
        <w:t>Exemple : Document 3 vs codes de la lettre, ou de la politesse – Mme de Sévigné vs un mail – « L’honnête homme » vs une certaine grossièreté.</w:t>
      </w:r>
    </w:p>
    <w:p w:rsidR="003A3FB9" w:rsidRDefault="003A3FB9" w:rsidP="003A3FB9">
      <w:pPr>
        <w:spacing w:before="240"/>
      </w:pPr>
      <w:r>
        <w:t>- Ils favorisent une communication plus transversale, mais hiérarchique. Vers plus de démocratie ?</w:t>
      </w:r>
    </w:p>
    <w:p w:rsidR="003A3FB9" w:rsidRDefault="003A3FB9" w:rsidP="003A3FB9">
      <w:pPr>
        <w:spacing w:before="240"/>
      </w:pPr>
      <w:r>
        <w:t>Exemple : Entreprises comme Disney ou BBC : blogs internes – Accès à tous d’Internet.</w:t>
      </w:r>
    </w:p>
    <w:p w:rsidR="003A3FB9" w:rsidRDefault="003A3FB9" w:rsidP="003A3FB9">
      <w:pPr>
        <w:pStyle w:val="Paragraphedeliste"/>
        <w:numPr>
          <w:ilvl w:val="0"/>
          <w:numId w:val="40"/>
        </w:numPr>
        <w:spacing w:before="240" w:after="160" w:line="259" w:lineRule="auto"/>
      </w:pPr>
      <w:r>
        <w:t>Ces modifications peuvent être négatives</w:t>
      </w:r>
    </w:p>
    <w:p w:rsidR="003A3FB9" w:rsidRDefault="003A3FB9" w:rsidP="003A3FB9">
      <w:pPr>
        <w:spacing w:before="240"/>
      </w:pPr>
      <w:r>
        <w:t>- Ces nouveaux outils permettent d’avancer masqué et de mieux tromper.</w:t>
      </w:r>
    </w:p>
    <w:p w:rsidR="003A3FB9" w:rsidRDefault="003A3FB9" w:rsidP="003A3FB9">
      <w:pPr>
        <w:spacing w:before="240"/>
      </w:pPr>
      <w:r>
        <w:t>Exemple : Le SCAM amoureux Meetic. Cf. S.Tisseron « Un bal masqué » = Internet.</w:t>
      </w:r>
    </w:p>
    <w:p w:rsidR="003A3FB9" w:rsidRDefault="003A3FB9" w:rsidP="003A3FB9">
      <w:pPr>
        <w:spacing w:before="240"/>
      </w:pPr>
      <w:r>
        <w:t>- Ils accentuent le règne de l’amour-propre.</w:t>
      </w:r>
    </w:p>
    <w:p w:rsidR="003A3FB9" w:rsidRDefault="003A3FB9" w:rsidP="003A3FB9">
      <w:pPr>
        <w:spacing w:before="240"/>
      </w:pPr>
      <w:r>
        <w:t>Exemple : Document 4 + Étalage égotique de la vie de chacun sur les blogs ou sur les réseaux sociaux.</w:t>
      </w:r>
    </w:p>
    <w:p w:rsidR="003A3FB9" w:rsidRDefault="003A3FB9" w:rsidP="003A3FB9">
      <w:pPr>
        <w:spacing w:before="240"/>
      </w:pPr>
      <w:r>
        <w:t>- Et parfois, accentuent également la solitude.</w:t>
      </w:r>
    </w:p>
    <w:p w:rsidR="003A3FB9" w:rsidRDefault="003A3FB9" w:rsidP="003A3FB9">
      <w:pPr>
        <w:spacing w:before="240"/>
      </w:pPr>
      <w:r>
        <w:t>Exemple : Film The Social Network (M. Zuckerberg), tragédie, la solitude malgré les millions d’amis.</w:t>
      </w:r>
    </w:p>
    <w:p w:rsidR="003A3FB9" w:rsidRDefault="003A3FB9" w:rsidP="003A3FB9">
      <w:pPr>
        <w:spacing w:before="240"/>
      </w:pPr>
      <w:r>
        <w:t>- Et la constitution de lobbies, le goût du même.</w:t>
      </w:r>
    </w:p>
    <w:p w:rsidR="003A3FB9" w:rsidRDefault="003A3FB9" w:rsidP="003A3FB9">
      <w:pPr>
        <w:spacing w:before="240"/>
      </w:pPr>
      <w:r>
        <w:t>Exemple : Document 4 + Sites de rencontres réservés à des personnes jugées supérieures (Attractive</w:t>
      </w:r>
    </w:p>
    <w:p w:rsidR="003A3FB9" w:rsidRDefault="003A3FB9" w:rsidP="003A3FB9">
      <w:pPr>
        <w:spacing w:before="240"/>
      </w:pPr>
      <w:r>
        <w:t>World).</w:t>
      </w:r>
    </w:p>
    <w:p w:rsidR="003A3FB9" w:rsidRDefault="003A3FB9" w:rsidP="003A3FB9">
      <w:pPr>
        <w:pStyle w:val="Paragraphedeliste"/>
        <w:numPr>
          <w:ilvl w:val="0"/>
          <w:numId w:val="40"/>
        </w:numPr>
        <w:spacing w:before="240" w:after="160" w:line="259" w:lineRule="auto"/>
      </w:pPr>
      <w:r>
        <w:t>Toutefois, ces outils numériques ne changent pas radicalement la nature profonde des échanges. Ils ne sont qu’un miroir grossissant</w:t>
      </w:r>
    </w:p>
    <w:p w:rsidR="003A3FB9" w:rsidRDefault="003A3FB9" w:rsidP="003A3FB9">
      <w:pPr>
        <w:spacing w:before="240"/>
      </w:pPr>
      <w:r>
        <w:t>- Ils permettent parfois de vrais échanges et font reculer le poids des apparences.</w:t>
      </w:r>
    </w:p>
    <w:p w:rsidR="003A3FB9" w:rsidRDefault="003A3FB9" w:rsidP="003A3FB9">
      <w:pPr>
        <w:spacing w:before="240"/>
      </w:pPr>
      <w:r>
        <w:t>Exemple : Film de N. Ephron, Vous avez un message (cf. « Ils s’aiment sur Internet », découverte de vraies affinités car on oublie l’apparence).</w:t>
      </w:r>
    </w:p>
    <w:p w:rsidR="003A3FB9" w:rsidRDefault="003A3FB9" w:rsidP="003A3FB9">
      <w:pPr>
        <w:spacing w:before="240"/>
      </w:pPr>
      <w:r>
        <w:t>P. Lardillier explique que ces outils permettent de se connaître « de l’intérieur » et non d’être arrêtés par l’apparence.</w:t>
      </w:r>
    </w:p>
    <w:p w:rsidR="003A3FB9" w:rsidRDefault="003A3FB9" w:rsidP="003A3FB9">
      <w:pPr>
        <w:spacing w:before="240"/>
      </w:pPr>
      <w:r>
        <w:t>- Ils ne modifient pas profondément la nature humaine.</w:t>
      </w:r>
    </w:p>
    <w:p w:rsidR="003A3FB9" w:rsidRDefault="003A3FB9" w:rsidP="003A3FB9">
      <w:pPr>
        <w:spacing w:before="240"/>
      </w:pPr>
      <w:r>
        <w:t>Exemple : Critiques de Pascal : « amour-propre » – L’homme ne fait que s’entre-tromper et s’entre- flatter.</w:t>
      </w:r>
    </w:p>
    <w:p w:rsidR="003A3FB9" w:rsidRDefault="003A3FB9" w:rsidP="003A3FB9">
      <w:pPr>
        <w:spacing w:before="240"/>
      </w:pPr>
      <w:r>
        <w:t>Les Précieuses de Molière peuvent être comparées à certaines bloggeuses. La critique de l’hybris est constante à travers les siècles, et la démesure n’est pas provoquée par le numérique.</w:t>
      </w:r>
    </w:p>
    <w:p w:rsidR="003A3FB9" w:rsidRDefault="003A3FB9" w:rsidP="003A3FB9">
      <w:pPr>
        <w:spacing w:before="240"/>
      </w:pPr>
      <w:r>
        <w:t>- Ils ne sont que des outils à « gérer » au mieux, ce qui dépend de leur propriétaire. De même que La Rochefoucauld fait l’éloge du silence dans la conversation, de même il est peut-être judicieux de savoir garder raison et juste mesure dans l’exploitation des outils numériques.</w:t>
      </w:r>
    </w:p>
    <w:p w:rsidR="003A3FB9" w:rsidRDefault="003A3FB9" w:rsidP="003A3FB9">
      <w:pPr>
        <w:pStyle w:val="Titre1"/>
        <w:numPr>
          <w:ilvl w:val="0"/>
          <w:numId w:val="0"/>
        </w:numPr>
        <w:spacing w:before="240"/>
      </w:pPr>
      <w:r>
        <w:t>Consignes de correction pour l'écriture personnelle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accordera la moyenne aux copies comportant :</w:t>
      </w:r>
    </w:p>
    <w:p w:rsidR="003A3FB9" w:rsidRDefault="003A3FB9" w:rsidP="003A3FB9">
      <w:pPr>
        <w:spacing w:before="240"/>
      </w:pPr>
      <w:r>
        <w:t>- la présentation du sujet dans l’introduction (même si le sujet est simplement recopié)</w:t>
      </w:r>
    </w:p>
    <w:p w:rsidR="003A3FB9" w:rsidRDefault="003A3FB9" w:rsidP="003A3FB9">
      <w:pPr>
        <w:spacing w:before="240"/>
      </w:pPr>
      <w:r>
        <w:t>- dans le développement, la présence d’au moins deux parties argumentées</w:t>
      </w:r>
    </w:p>
    <w:p w:rsidR="003A3FB9" w:rsidRDefault="003A3FB9" w:rsidP="003A3FB9">
      <w:pPr>
        <w:spacing w:before="240"/>
      </w:pPr>
      <w:r>
        <w:t>- au moins deux références, empruntées au corpus ou personnelles</w:t>
      </w:r>
    </w:p>
    <w:p w:rsidR="003A3FB9" w:rsidRDefault="003A3FB9" w:rsidP="003A3FB9">
      <w:pPr>
        <w:spacing w:before="240"/>
      </w:pPr>
      <w:r>
        <w:t>- une prise de position personnelle clairement exprimée : l’utilisation de la première personne du singulier est possible, comme d’autres choix énonciatifs.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valorisera les copies présentant :</w:t>
      </w:r>
    </w:p>
    <w:p w:rsidR="003A3FB9" w:rsidRDefault="003A3FB9" w:rsidP="003A3FB9">
      <w:pPr>
        <w:spacing w:before="240"/>
      </w:pPr>
      <w:r>
        <w:t>- une hiérarchisation des arguments</w:t>
      </w:r>
    </w:p>
    <w:p w:rsidR="003A3FB9" w:rsidRDefault="003A3FB9" w:rsidP="003A3FB9">
      <w:pPr>
        <w:spacing w:before="240"/>
      </w:pPr>
      <w:r>
        <w:t>- une variété dans les références et les exemples, notamment ceux qui relèvent du travail fait dans l’année et des connaissances personnelles</w:t>
      </w:r>
    </w:p>
    <w:p w:rsidR="003A3FB9" w:rsidRDefault="003A3FB9" w:rsidP="003A3FB9">
      <w:pPr>
        <w:spacing w:before="240"/>
      </w:pPr>
      <w:r>
        <w:t>- une argumentation originale qui ne se limite pas à une simple reprise des arguments développés dans le corpus, et qui manifeste une culture personnelle</w:t>
      </w:r>
    </w:p>
    <w:p w:rsidR="003A3FB9" w:rsidRDefault="003A3FB9" w:rsidP="003A3FB9">
      <w:pPr>
        <w:spacing w:before="240"/>
      </w:pPr>
      <w:r>
        <w:t>- une réflexion centrée sur l’évolution des pratiques langagières, et non uniquement sur les outils numériques</w:t>
      </w:r>
    </w:p>
    <w:p w:rsidR="003A3FB9" w:rsidRDefault="003A3FB9" w:rsidP="003A3FB9">
      <w:pPr>
        <w:spacing w:before="240"/>
      </w:pPr>
      <w:r>
        <w:t>- une aptitude à nuancer l’argumentation (par exemple, par une concession)</w:t>
      </w:r>
    </w:p>
    <w:p w:rsidR="003A3FB9" w:rsidRDefault="003A3FB9" w:rsidP="003A3FB9">
      <w:pPr>
        <w:spacing w:before="240"/>
      </w:pPr>
      <w:r>
        <w:t xml:space="preserve"> - une qualité dans l’expression.</w:t>
      </w:r>
    </w:p>
    <w:p w:rsidR="003A3FB9" w:rsidRPr="00C56EEC" w:rsidRDefault="003A3FB9" w:rsidP="003A3FB9">
      <w:pPr>
        <w:spacing w:before="240"/>
        <w:rPr>
          <w:u w:val="single"/>
        </w:rPr>
      </w:pPr>
      <w:r w:rsidRPr="00C56EEC">
        <w:rPr>
          <w:u w:val="single"/>
        </w:rPr>
        <w:t>On pénalisera les copies qui</w:t>
      </w:r>
    </w:p>
    <w:p w:rsidR="003A3FB9" w:rsidRDefault="003A3FB9" w:rsidP="003A3FB9">
      <w:pPr>
        <w:spacing w:before="240"/>
      </w:pPr>
      <w:r>
        <w:t>- Ne répondent pas à la question posée</w:t>
      </w:r>
    </w:p>
    <w:p w:rsidR="003A3FB9" w:rsidRDefault="003A3FB9" w:rsidP="003A3FB9">
      <w:pPr>
        <w:spacing w:before="240"/>
      </w:pPr>
      <w:r>
        <w:t>- Ne prennent pas position</w:t>
      </w:r>
    </w:p>
    <w:p w:rsidR="003A3FB9" w:rsidRDefault="003A3FB9" w:rsidP="003A3FB9">
      <w:pPr>
        <w:spacing w:before="240"/>
      </w:pPr>
      <w:r>
        <w:t>- Se contentent de paraphraser les idées du corpus</w:t>
      </w:r>
    </w:p>
    <w:p w:rsidR="003A3FB9" w:rsidRDefault="003A3FB9" w:rsidP="003A3FB9">
      <w:pPr>
        <w:spacing w:before="240"/>
      </w:pPr>
      <w:r>
        <w:t>- Ne recourent à aucun exemple</w:t>
      </w:r>
    </w:p>
    <w:p w:rsidR="003A3FB9" w:rsidRDefault="003A3FB9" w:rsidP="003A3FB9">
      <w:pPr>
        <w:spacing w:before="240"/>
      </w:pPr>
      <w:r>
        <w:t>- Ne se réfèrent ni au corpus, ni au travail de l’année.</w:t>
      </w:r>
    </w:p>
    <w:p w:rsidR="003A3FB9" w:rsidRPr="001A251E" w:rsidRDefault="003A3FB9" w:rsidP="003A3FB9">
      <w:pPr>
        <w:spacing w:before="240"/>
        <w:rPr>
          <w:u w:val="single"/>
        </w:rPr>
      </w:pPr>
      <w:r w:rsidRPr="001A251E">
        <w:rPr>
          <w:u w:val="single"/>
        </w:rPr>
        <w:t>On ne pénalisera pas les copies qui présentent des points de vue qui ne sont pas ceux des correcteurs</w:t>
      </w:r>
    </w:p>
    <w:p w:rsidR="003A3FB9" w:rsidRDefault="003A3FB9" w:rsidP="003A3FB9">
      <w:pPr>
        <w:spacing w:before="240"/>
      </w:pPr>
      <w:r>
        <w:t>NB : les consignes du sujet  demandent aux candidats de s’appuyer sur « les documents du corpus, (leurs) lectures de l’année, et (leurs) connaissances personnelles ».  On  n’acceptera  donc  pas  comme  exemples  valides  les références à de simples expériences personnelles vécues dans leur vie personnelle ou professionnelle.</w:t>
      </w:r>
    </w:p>
    <w:p w:rsidR="003A3FB9" w:rsidRDefault="003A3FB9" w:rsidP="003A3FB9">
      <w:pPr>
        <w:spacing w:before="240"/>
      </w:pPr>
    </w:p>
    <w:tbl>
      <w:tblPr>
        <w:tblStyle w:val="Grilledutableau"/>
        <w:tblW w:w="9071" w:type="dxa"/>
        <w:tblLook w:val="04A0" w:firstRow="1" w:lastRow="0" w:firstColumn="1" w:lastColumn="0" w:noHBand="0" w:noVBand="1"/>
      </w:tblPr>
      <w:tblGrid>
        <w:gridCol w:w="6803"/>
        <w:gridCol w:w="1134"/>
        <w:gridCol w:w="1134"/>
      </w:tblGrid>
      <w:tr w:rsidR="003A3FB9" w:rsidTr="00152A06">
        <w:tc>
          <w:tcPr>
            <w:tcW w:w="9071" w:type="dxa"/>
            <w:gridSpan w:val="3"/>
          </w:tcPr>
          <w:p w:rsidR="003A3FB9" w:rsidRDefault="003A3FB9" w:rsidP="003A3FB9">
            <w:pPr>
              <w:spacing w:before="240"/>
            </w:pP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SY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color w:val="000009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9"/>
                <w:sz w:val="22"/>
                <w:szCs w:val="22"/>
              </w:rPr>
              <w:t>E</w:t>
            </w:r>
          </w:p>
        </w:tc>
      </w:tr>
      <w:tr w:rsidR="003A3FB9" w:rsidTr="00152A06">
        <w:tc>
          <w:tcPr>
            <w:tcW w:w="6803" w:type="dxa"/>
            <w:vAlign w:val="center"/>
          </w:tcPr>
          <w:p w:rsidR="003A3FB9" w:rsidRDefault="003A3FB9" w:rsidP="003A3FB9">
            <w:pPr>
              <w:spacing w:before="240"/>
              <w:ind w:left="240" w:right="-20"/>
              <w:jc w:val="center"/>
              <w:rPr>
                <w:rFonts w:ascii="Calibri" w:eastAsia="Calibri" w:hAnsi="Calibri" w:cs="Calibri"/>
                <w:b/>
                <w:bCs/>
                <w:color w:val="000009"/>
                <w:spacing w:val="-1"/>
              </w:rPr>
            </w:pP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spacing w:before="240"/>
              <w:jc w:val="center"/>
            </w:pPr>
            <w:r>
              <w:t>OUI</w:t>
            </w:r>
          </w:p>
        </w:tc>
        <w:tc>
          <w:tcPr>
            <w:tcW w:w="1134" w:type="dxa"/>
            <w:vAlign w:val="center"/>
          </w:tcPr>
          <w:p w:rsidR="003A3FB9" w:rsidRDefault="003A3FB9" w:rsidP="003A3FB9">
            <w:pPr>
              <w:spacing w:before="240"/>
              <w:jc w:val="center"/>
            </w:pPr>
            <w:r>
              <w:t>NON</w:t>
            </w: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Le candidat a traité la question et a ex- primé une opinion personnelle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L’organisation du texte est manifeste et cohérente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Le propos se fonde sur des arguments et des exemples pertinents et variés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La langue utilisée est correcte et claire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(</w:t>
            </w:r>
            <w:r w:rsidRPr="001A251E">
              <w:rPr>
                <w:rFonts w:ascii="Calibri" w:eastAsia="Calibri" w:hAnsi="Calibri" w:cs="Calibri"/>
                <w:bCs/>
                <w:color w:val="000009"/>
                <w:spacing w:val="-1"/>
              </w:rPr>
              <w:t>pénalisation possible jusqu’à</w:t>
            </w: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 xml:space="preserve"> -2pts/20)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  <w:tr w:rsidR="003A3FB9" w:rsidRPr="00C56EEC" w:rsidTr="00152A06">
        <w:tc>
          <w:tcPr>
            <w:tcW w:w="6803" w:type="dxa"/>
          </w:tcPr>
          <w:p w:rsidR="003A3FB9" w:rsidRPr="00C56EEC" w:rsidRDefault="003A3FB9" w:rsidP="003A3FB9">
            <w:pPr>
              <w:spacing w:before="240"/>
              <w:ind w:left="240" w:right="-20"/>
              <w:rPr>
                <w:rFonts w:ascii="Calibri" w:eastAsia="Calibri" w:hAnsi="Calibri" w:cs="Calibri"/>
                <w:bCs/>
                <w:color w:val="000009"/>
                <w:spacing w:val="-1"/>
              </w:rPr>
            </w:pPr>
            <w:r>
              <w:rPr>
                <w:rFonts w:ascii="Calibri" w:eastAsia="Calibri" w:hAnsi="Calibri" w:cs="Calibri"/>
                <w:bCs/>
                <w:color w:val="000009"/>
                <w:spacing w:val="-1"/>
              </w:rPr>
              <w:t>Le texte présente des éléments de valorisations</w:t>
            </w: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  <w:tc>
          <w:tcPr>
            <w:tcW w:w="1134" w:type="dxa"/>
          </w:tcPr>
          <w:p w:rsidR="003A3FB9" w:rsidRPr="00C56EEC" w:rsidRDefault="003A3FB9" w:rsidP="003A3FB9">
            <w:pPr>
              <w:spacing w:before="240"/>
            </w:pPr>
          </w:p>
        </w:tc>
      </w:tr>
    </w:tbl>
    <w:p w:rsidR="00D361CE" w:rsidRPr="00C40335" w:rsidRDefault="00D361CE" w:rsidP="003A3FB9">
      <w:pPr>
        <w:spacing w:before="240" w:after="100" w:afterAutospacing="1"/>
        <w:jc w:val="both"/>
        <w:rPr>
          <w:b/>
          <w:bCs/>
        </w:rPr>
      </w:pPr>
    </w:p>
    <w:sectPr w:rsidR="00D361CE" w:rsidRPr="00C40335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1A" w:rsidRDefault="00D03E1A">
      <w:r>
        <w:separator/>
      </w:r>
    </w:p>
  </w:endnote>
  <w:endnote w:type="continuationSeparator" w:id="0">
    <w:p w:rsidR="00D03E1A" w:rsidRDefault="00D0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2C" w:rsidRDefault="00B0772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0772C" w:rsidRDefault="00B0772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72C" w:rsidRDefault="00466F89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345B17">
      <w:rPr>
        <w:sz w:val="20"/>
      </w:rPr>
      <w:t xml:space="preserve">Corrigé </w:t>
    </w:r>
    <w:r w:rsidR="001268F8">
      <w:rPr>
        <w:sz w:val="20"/>
      </w:rPr>
      <w:t>BTS 201</w:t>
    </w:r>
    <w:r w:rsidR="007456B9">
      <w:rPr>
        <w:sz w:val="20"/>
      </w:rPr>
      <w:t>4</w:t>
    </w:r>
    <w:r w:rsidR="00B0772C">
      <w:rPr>
        <w:sz w:val="20"/>
      </w:rPr>
      <w:t xml:space="preserve"> – </w:t>
    </w:r>
    <w:r w:rsidR="001268F8">
      <w:rPr>
        <w:sz w:val="20"/>
      </w:rPr>
      <w:t xml:space="preserve">EPREUVE </w:t>
    </w:r>
    <w:r w:rsidR="00B0772C">
      <w:rPr>
        <w:sz w:val="20"/>
      </w:rPr>
      <w:t xml:space="preserve">1 - </w:t>
    </w:r>
    <w:r w:rsidR="001268F8">
      <w:rPr>
        <w:sz w:val="20"/>
      </w:rPr>
      <w:t>Culture générale et expression</w:t>
    </w:r>
    <w:r w:rsidR="00B0772C">
      <w:rPr>
        <w:sz w:val="20"/>
      </w:rPr>
      <w:t xml:space="preserve"> </w:t>
    </w:r>
    <w:r w:rsidR="00B0772C">
      <w:rPr>
        <w:sz w:val="20"/>
      </w:rPr>
      <w:tab/>
    </w:r>
    <w:r w:rsidR="00B0772C">
      <w:rPr>
        <w:sz w:val="20"/>
      </w:rPr>
      <w:tab/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PAGE </w:instrText>
    </w:r>
    <w:r w:rsidR="00B0772C">
      <w:rPr>
        <w:rStyle w:val="Numrodepage"/>
        <w:sz w:val="20"/>
      </w:rPr>
      <w:fldChar w:fldCharType="separate"/>
    </w:r>
    <w:r w:rsidR="00D03E1A">
      <w:rPr>
        <w:rStyle w:val="Numrodepage"/>
        <w:noProof/>
        <w:sz w:val="20"/>
      </w:rPr>
      <w:t>1</w:t>
    </w:r>
    <w:r w:rsidR="00B0772C">
      <w:rPr>
        <w:rStyle w:val="Numrodepage"/>
        <w:sz w:val="20"/>
      </w:rPr>
      <w:fldChar w:fldCharType="end"/>
    </w:r>
    <w:r w:rsidR="00B0772C">
      <w:rPr>
        <w:sz w:val="20"/>
      </w:rPr>
      <w:t>/</w:t>
    </w:r>
    <w:r w:rsidR="00B0772C">
      <w:rPr>
        <w:rStyle w:val="Numrodepage"/>
        <w:sz w:val="20"/>
      </w:rPr>
      <w:fldChar w:fldCharType="begin"/>
    </w:r>
    <w:r w:rsidR="00B0772C">
      <w:rPr>
        <w:rStyle w:val="Numrodepage"/>
        <w:sz w:val="20"/>
      </w:rPr>
      <w:instrText xml:space="preserve"> NUMPAGES </w:instrText>
    </w:r>
    <w:r w:rsidR="00B0772C">
      <w:rPr>
        <w:rStyle w:val="Numrodepage"/>
        <w:sz w:val="20"/>
      </w:rPr>
      <w:fldChar w:fldCharType="separate"/>
    </w:r>
    <w:r w:rsidR="00D03E1A">
      <w:rPr>
        <w:rStyle w:val="Numrodepage"/>
        <w:noProof/>
        <w:sz w:val="20"/>
      </w:rPr>
      <w:t>1</w:t>
    </w:r>
    <w:r w:rsidR="00B0772C"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1A" w:rsidRDefault="00D03E1A">
      <w:r>
        <w:separator/>
      </w:r>
    </w:p>
  </w:footnote>
  <w:footnote w:type="continuationSeparator" w:id="0">
    <w:p w:rsidR="00D03E1A" w:rsidRDefault="00D03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89" w:rsidRDefault="00752C4A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AD6DF5E" wp14:editId="3043F0D1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2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466F89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D03E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5pt;height:19.5pt;visibility:visible;mso-wrap-style:square" o:bullet="t">
        <v:imagedata r:id="rId1" o:title=""/>
      </v:shape>
    </w:pict>
  </w:numPicBullet>
  <w:abstractNum w:abstractNumId="0" w15:restartNumberingAfterBreak="0">
    <w:nsid w:val="06297A73"/>
    <w:multiLevelType w:val="hybridMultilevel"/>
    <w:tmpl w:val="C6EAA38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B08"/>
    <w:multiLevelType w:val="hybridMultilevel"/>
    <w:tmpl w:val="818A097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46B6"/>
    <w:multiLevelType w:val="hybridMultilevel"/>
    <w:tmpl w:val="DD9895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4D6"/>
    <w:multiLevelType w:val="hybridMultilevel"/>
    <w:tmpl w:val="1930AB1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56F0"/>
    <w:multiLevelType w:val="hybridMultilevel"/>
    <w:tmpl w:val="F928FB9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3021D"/>
    <w:multiLevelType w:val="hybridMultilevel"/>
    <w:tmpl w:val="942E55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F34E1"/>
    <w:multiLevelType w:val="hybridMultilevel"/>
    <w:tmpl w:val="A510CDA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16A23"/>
    <w:multiLevelType w:val="hybridMultilevel"/>
    <w:tmpl w:val="05CEEB32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B229D"/>
    <w:multiLevelType w:val="hybridMultilevel"/>
    <w:tmpl w:val="2954F43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B3BF0"/>
    <w:multiLevelType w:val="hybridMultilevel"/>
    <w:tmpl w:val="4C140638"/>
    <w:lvl w:ilvl="0" w:tplc="92542A6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730E"/>
    <w:multiLevelType w:val="hybridMultilevel"/>
    <w:tmpl w:val="A8069A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50D2"/>
    <w:multiLevelType w:val="hybridMultilevel"/>
    <w:tmpl w:val="36EAFCA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00357"/>
    <w:multiLevelType w:val="hybridMultilevel"/>
    <w:tmpl w:val="924C054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734E"/>
    <w:multiLevelType w:val="hybridMultilevel"/>
    <w:tmpl w:val="90D6F2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12FA5"/>
    <w:multiLevelType w:val="hybridMultilevel"/>
    <w:tmpl w:val="F1ACFD2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93D0C"/>
    <w:multiLevelType w:val="hybridMultilevel"/>
    <w:tmpl w:val="7AF444F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979F0"/>
    <w:multiLevelType w:val="hybridMultilevel"/>
    <w:tmpl w:val="6A9EC58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671B6"/>
    <w:multiLevelType w:val="hybridMultilevel"/>
    <w:tmpl w:val="230C08E8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1213C"/>
    <w:multiLevelType w:val="hybridMultilevel"/>
    <w:tmpl w:val="806AD48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F1DBA"/>
    <w:multiLevelType w:val="hybridMultilevel"/>
    <w:tmpl w:val="2F06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345F6"/>
    <w:multiLevelType w:val="hybridMultilevel"/>
    <w:tmpl w:val="5C3266F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A1C62"/>
    <w:multiLevelType w:val="hybridMultilevel"/>
    <w:tmpl w:val="8BB085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E6E48"/>
    <w:multiLevelType w:val="hybridMultilevel"/>
    <w:tmpl w:val="44D87DB6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F5D02"/>
    <w:multiLevelType w:val="multilevel"/>
    <w:tmpl w:val="CA18ABD2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 w15:restartNumberingAfterBreak="0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47CB6DF9"/>
    <w:multiLevelType w:val="hybridMultilevel"/>
    <w:tmpl w:val="5D2A83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536D4"/>
    <w:multiLevelType w:val="hybridMultilevel"/>
    <w:tmpl w:val="2A4A9E1C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D77F1"/>
    <w:multiLevelType w:val="hybridMultilevel"/>
    <w:tmpl w:val="9B801944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F931CB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0" w15:restartNumberingAfterBreak="0">
    <w:nsid w:val="633A634B"/>
    <w:multiLevelType w:val="hybridMultilevel"/>
    <w:tmpl w:val="218A1A5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5157"/>
    <w:multiLevelType w:val="hybridMultilevel"/>
    <w:tmpl w:val="1B8628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870F3"/>
    <w:multiLevelType w:val="hybridMultilevel"/>
    <w:tmpl w:val="D19E436C"/>
    <w:lvl w:ilvl="0" w:tplc="2466D96C">
      <w:numFmt w:val="bullet"/>
      <w:lvlText w:val="-"/>
      <w:lvlJc w:val="left"/>
      <w:pPr>
        <w:ind w:left="1429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8763695"/>
    <w:multiLevelType w:val="hybridMultilevel"/>
    <w:tmpl w:val="518CE54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67B16"/>
    <w:multiLevelType w:val="hybridMultilevel"/>
    <w:tmpl w:val="7ED05A50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85698"/>
    <w:multiLevelType w:val="hybridMultilevel"/>
    <w:tmpl w:val="8E10949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738D7"/>
    <w:multiLevelType w:val="hybridMultilevel"/>
    <w:tmpl w:val="A2B20F6E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27A42"/>
    <w:multiLevelType w:val="hybridMultilevel"/>
    <w:tmpl w:val="2952AEBA"/>
    <w:lvl w:ilvl="0" w:tplc="2466D96C">
      <w:numFmt w:val="bullet"/>
      <w:lvlText w:val="-"/>
      <w:lvlJc w:val="left"/>
      <w:pPr>
        <w:ind w:left="720" w:hanging="360"/>
      </w:pPr>
      <w:rPr>
        <w:rFonts w:ascii="Times-Bold" w:eastAsia="Times New Roman" w:hAnsi="Times-Bold" w:cs="Times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36D54"/>
    <w:multiLevelType w:val="hybridMultilevel"/>
    <w:tmpl w:val="D1146F7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7843B6"/>
    <w:multiLevelType w:val="hybridMultilevel"/>
    <w:tmpl w:val="BE462B7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9"/>
  </w:num>
  <w:num w:numId="4">
    <w:abstractNumId w:val="23"/>
  </w:num>
  <w:num w:numId="5">
    <w:abstractNumId w:val="31"/>
  </w:num>
  <w:num w:numId="6">
    <w:abstractNumId w:val="28"/>
  </w:num>
  <w:num w:numId="7">
    <w:abstractNumId w:val="13"/>
  </w:num>
  <w:num w:numId="8">
    <w:abstractNumId w:val="26"/>
  </w:num>
  <w:num w:numId="9">
    <w:abstractNumId w:val="20"/>
  </w:num>
  <w:num w:numId="10">
    <w:abstractNumId w:val="9"/>
  </w:num>
  <w:num w:numId="11">
    <w:abstractNumId w:val="1"/>
  </w:num>
  <w:num w:numId="12">
    <w:abstractNumId w:val="5"/>
  </w:num>
  <w:num w:numId="13">
    <w:abstractNumId w:val="32"/>
  </w:num>
  <w:num w:numId="14">
    <w:abstractNumId w:val="17"/>
  </w:num>
  <w:num w:numId="15">
    <w:abstractNumId w:val="6"/>
  </w:num>
  <w:num w:numId="16">
    <w:abstractNumId w:val="0"/>
  </w:num>
  <w:num w:numId="17">
    <w:abstractNumId w:val="4"/>
  </w:num>
  <w:num w:numId="18">
    <w:abstractNumId w:val="3"/>
  </w:num>
  <w:num w:numId="19">
    <w:abstractNumId w:val="35"/>
  </w:num>
  <w:num w:numId="20">
    <w:abstractNumId w:val="16"/>
  </w:num>
  <w:num w:numId="21">
    <w:abstractNumId w:val="27"/>
  </w:num>
  <w:num w:numId="22">
    <w:abstractNumId w:val="12"/>
  </w:num>
  <w:num w:numId="23">
    <w:abstractNumId w:val="34"/>
  </w:num>
  <w:num w:numId="24">
    <w:abstractNumId w:val="8"/>
  </w:num>
  <w:num w:numId="25">
    <w:abstractNumId w:val="11"/>
  </w:num>
  <w:num w:numId="26">
    <w:abstractNumId w:val="38"/>
  </w:num>
  <w:num w:numId="27">
    <w:abstractNumId w:val="19"/>
  </w:num>
  <w:num w:numId="28">
    <w:abstractNumId w:val="36"/>
  </w:num>
  <w:num w:numId="29">
    <w:abstractNumId w:val="37"/>
  </w:num>
  <w:num w:numId="30">
    <w:abstractNumId w:val="7"/>
  </w:num>
  <w:num w:numId="31">
    <w:abstractNumId w:val="22"/>
  </w:num>
  <w:num w:numId="32">
    <w:abstractNumId w:val="30"/>
  </w:num>
  <w:num w:numId="33">
    <w:abstractNumId w:val="39"/>
  </w:num>
  <w:num w:numId="34">
    <w:abstractNumId w:val="33"/>
  </w:num>
  <w:num w:numId="35">
    <w:abstractNumId w:val="14"/>
  </w:num>
  <w:num w:numId="36">
    <w:abstractNumId w:val="15"/>
  </w:num>
  <w:num w:numId="37">
    <w:abstractNumId w:val="21"/>
  </w:num>
  <w:num w:numId="38">
    <w:abstractNumId w:val="10"/>
  </w:num>
  <w:num w:numId="39">
    <w:abstractNumId w:val="2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1268F8"/>
    <w:rsid w:val="001618CA"/>
    <w:rsid w:val="002E646B"/>
    <w:rsid w:val="00345B17"/>
    <w:rsid w:val="003A3FB9"/>
    <w:rsid w:val="0045508B"/>
    <w:rsid w:val="00466F89"/>
    <w:rsid w:val="0049403B"/>
    <w:rsid w:val="00621870"/>
    <w:rsid w:val="00686D65"/>
    <w:rsid w:val="00704E17"/>
    <w:rsid w:val="007456B9"/>
    <w:rsid w:val="00752C4A"/>
    <w:rsid w:val="009261EF"/>
    <w:rsid w:val="00962042"/>
    <w:rsid w:val="009E37ED"/>
    <w:rsid w:val="00AA7295"/>
    <w:rsid w:val="00AF0782"/>
    <w:rsid w:val="00B0772C"/>
    <w:rsid w:val="00B753B4"/>
    <w:rsid w:val="00B921B2"/>
    <w:rsid w:val="00C14627"/>
    <w:rsid w:val="00C40335"/>
    <w:rsid w:val="00C7079A"/>
    <w:rsid w:val="00C75734"/>
    <w:rsid w:val="00C9445E"/>
    <w:rsid w:val="00CF042D"/>
    <w:rsid w:val="00D03E1A"/>
    <w:rsid w:val="00D26DCF"/>
    <w:rsid w:val="00D361CE"/>
    <w:rsid w:val="00D61D17"/>
    <w:rsid w:val="00DE545A"/>
    <w:rsid w:val="00DF0AE4"/>
    <w:rsid w:val="00F5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8B4828AD-D839-4F30-908C-0927FECF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3"/>
      </w:numPr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3"/>
      </w:numPr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3"/>
      </w:numPr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345B17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345B17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345B17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uiPriority w:val="39"/>
    <w:rsid w:val="00C75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character" w:customStyle="1" w:styleId="Titre7Car">
    <w:name w:val="Titre 7 Car"/>
    <w:basedOn w:val="Policepardfaut"/>
    <w:link w:val="Titre7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345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345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45B17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D36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992D-EC47-42BE-B72E-963B9395B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1516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9840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Sébastien Demay</cp:lastModifiedBy>
  <cp:revision>5</cp:revision>
  <cp:lastPrinted>2012-11-17T13:34:00Z</cp:lastPrinted>
  <dcterms:created xsi:type="dcterms:W3CDTF">2014-02-06T19:59:00Z</dcterms:created>
  <dcterms:modified xsi:type="dcterms:W3CDTF">2016-07-18T21:43:00Z</dcterms:modified>
</cp:coreProperties>
</file>