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290F" w:rsidRPr="0090290F" w:rsidRDefault="0090290F" w:rsidP="0090290F">
      <w:pPr>
        <w:pBdr>
          <w:top w:val="single" w:sz="4" w:space="1" w:color="auto"/>
          <w:left w:val="single" w:sz="4" w:space="4" w:color="auto"/>
          <w:bottom w:val="single" w:sz="4" w:space="1" w:color="auto"/>
          <w:right w:val="single" w:sz="4" w:space="4" w:color="auto"/>
        </w:pBdr>
        <w:suppressAutoHyphens w:val="0"/>
        <w:overflowPunct w:val="0"/>
        <w:autoSpaceDN w:val="0"/>
        <w:adjustRightInd w:val="0"/>
        <w:jc w:val="center"/>
        <w:textAlignment w:val="baseline"/>
        <w:rPr>
          <w:b/>
          <w:bCs/>
          <w:noProof/>
          <w:sz w:val="22"/>
          <w:szCs w:val="22"/>
          <w:lang w:eastAsia="fr-FR"/>
        </w:rPr>
      </w:pPr>
      <w:r>
        <w:rPr>
          <w:b/>
          <w:bCs/>
          <w:noProof/>
          <w:sz w:val="22"/>
          <w:szCs w:val="22"/>
          <w:lang w:eastAsia="fr-FR"/>
        </w:rPr>
        <w:t>DCG session 20</w:t>
      </w:r>
      <w:bookmarkStart w:id="0" w:name="_GoBack"/>
      <w:bookmarkEnd w:id="0"/>
      <w:r>
        <w:rPr>
          <w:b/>
          <w:bCs/>
          <w:noProof/>
          <w:sz w:val="22"/>
          <w:szCs w:val="22"/>
          <w:lang w:eastAsia="fr-FR"/>
        </w:rPr>
        <w:t>13</w:t>
      </w:r>
      <w:r>
        <w:rPr>
          <w:b/>
          <w:bCs/>
          <w:noProof/>
          <w:sz w:val="22"/>
          <w:szCs w:val="22"/>
          <w:lang w:eastAsia="fr-FR"/>
        </w:rPr>
        <w:tab/>
      </w:r>
      <w:r>
        <w:rPr>
          <w:b/>
          <w:bCs/>
          <w:noProof/>
          <w:sz w:val="22"/>
          <w:szCs w:val="22"/>
          <w:lang w:eastAsia="fr-FR"/>
        </w:rPr>
        <w:tab/>
        <w:t>UE10</w:t>
      </w:r>
      <w:r w:rsidRPr="0090290F">
        <w:rPr>
          <w:b/>
          <w:bCs/>
          <w:noProof/>
          <w:sz w:val="22"/>
          <w:szCs w:val="22"/>
          <w:lang w:eastAsia="fr-FR"/>
        </w:rPr>
        <w:t xml:space="preserve"> </w:t>
      </w:r>
      <w:r>
        <w:rPr>
          <w:b/>
          <w:bCs/>
          <w:noProof/>
          <w:sz w:val="22"/>
          <w:szCs w:val="22"/>
          <w:lang w:eastAsia="fr-FR"/>
        </w:rPr>
        <w:t>Comptabilité approfondie</w:t>
      </w:r>
      <w:r w:rsidRPr="0090290F">
        <w:rPr>
          <w:b/>
          <w:bCs/>
          <w:noProof/>
          <w:sz w:val="22"/>
          <w:szCs w:val="22"/>
          <w:lang w:eastAsia="fr-FR"/>
        </w:rPr>
        <w:tab/>
      </w:r>
      <w:r w:rsidRPr="0090290F">
        <w:rPr>
          <w:b/>
          <w:bCs/>
          <w:noProof/>
          <w:sz w:val="22"/>
          <w:szCs w:val="22"/>
          <w:lang w:eastAsia="fr-FR"/>
        </w:rPr>
        <w:tab/>
        <w:t>Corrigé indicatif</w:t>
      </w:r>
    </w:p>
    <w:p w:rsidR="0090290F" w:rsidRDefault="0090290F" w:rsidP="0090290F">
      <w:pPr>
        <w:pStyle w:val="Sansinterligne"/>
      </w:pPr>
    </w:p>
    <w:p w:rsidR="00071413" w:rsidRPr="0090290F" w:rsidRDefault="00071413" w:rsidP="0090290F">
      <w:pPr>
        <w:pBdr>
          <w:top w:val="single" w:sz="4" w:space="9" w:color="000000"/>
          <w:left w:val="single" w:sz="4" w:space="1" w:color="auto"/>
          <w:bottom w:val="single" w:sz="4" w:space="14" w:color="000000"/>
          <w:right w:val="single" w:sz="4" w:space="0" w:color="000000"/>
        </w:pBdr>
        <w:shd w:val="clear" w:color="auto" w:fill="BFBFBF"/>
        <w:ind w:left="53"/>
        <w:jc w:val="center"/>
        <w:rPr>
          <w:b/>
          <w:bCs/>
          <w:color w:val="000000"/>
          <w:spacing w:val="14"/>
          <w:sz w:val="26"/>
          <w:szCs w:val="26"/>
        </w:rPr>
      </w:pPr>
      <w:r w:rsidRPr="0090290F">
        <w:rPr>
          <w:b/>
          <w:bCs/>
          <w:color w:val="000000"/>
          <w:spacing w:val="14"/>
          <w:sz w:val="26"/>
          <w:szCs w:val="26"/>
        </w:rPr>
        <w:t>Dossier 1 </w:t>
      </w:r>
      <w:r w:rsidR="00F5168E" w:rsidRPr="0090290F">
        <w:rPr>
          <w:b/>
          <w:bCs/>
          <w:color w:val="000000"/>
          <w:spacing w:val="14"/>
          <w:sz w:val="26"/>
          <w:szCs w:val="26"/>
        </w:rPr>
        <w:t>-</w:t>
      </w:r>
      <w:r w:rsidRPr="0090290F">
        <w:rPr>
          <w:b/>
          <w:bCs/>
          <w:color w:val="000000"/>
          <w:spacing w:val="14"/>
          <w:sz w:val="26"/>
          <w:szCs w:val="26"/>
        </w:rPr>
        <w:t xml:space="preserve"> Augmentation de capital</w:t>
      </w:r>
    </w:p>
    <w:p w:rsidR="00F5168E" w:rsidRPr="00513407" w:rsidRDefault="00F5168E" w:rsidP="00071413">
      <w:pPr>
        <w:jc w:val="both"/>
        <w:rPr>
          <w:b/>
          <w:sz w:val="22"/>
          <w:szCs w:val="22"/>
        </w:rPr>
      </w:pPr>
    </w:p>
    <w:p w:rsidR="00071413" w:rsidRPr="00513407" w:rsidRDefault="00071413" w:rsidP="00071413">
      <w:pPr>
        <w:jc w:val="both"/>
        <w:rPr>
          <w:b/>
          <w:sz w:val="22"/>
          <w:szCs w:val="22"/>
        </w:rPr>
      </w:pPr>
      <w:r w:rsidRPr="00513407">
        <w:rPr>
          <w:b/>
          <w:sz w:val="22"/>
          <w:szCs w:val="22"/>
        </w:rPr>
        <w:t>1. Indiquer les critères de fixation du prix d’émission.</w:t>
      </w:r>
    </w:p>
    <w:p w:rsidR="00071413" w:rsidRPr="00513407" w:rsidRDefault="00071413" w:rsidP="00071413">
      <w:pPr>
        <w:jc w:val="both"/>
        <w:rPr>
          <w:sz w:val="22"/>
          <w:szCs w:val="22"/>
        </w:rPr>
      </w:pPr>
      <w:r w:rsidRPr="00513407">
        <w:rPr>
          <w:sz w:val="22"/>
          <w:szCs w:val="22"/>
        </w:rPr>
        <w:t>Le prix d’émission est situé entre la valeu</w:t>
      </w:r>
      <w:r w:rsidR="00F13973">
        <w:rPr>
          <w:sz w:val="22"/>
          <w:szCs w:val="22"/>
        </w:rPr>
        <w:t>r nominale et la valeur réelle (ou : valeur mathématique, valeur intrinsèque, valeur de marché)</w:t>
      </w:r>
    </w:p>
    <w:p w:rsidR="00071413" w:rsidRPr="00513407" w:rsidRDefault="00071413" w:rsidP="00071413">
      <w:pPr>
        <w:jc w:val="both"/>
        <w:rPr>
          <w:sz w:val="22"/>
          <w:szCs w:val="22"/>
        </w:rPr>
      </w:pPr>
    </w:p>
    <w:p w:rsidR="00071413" w:rsidRPr="00513407" w:rsidRDefault="00071413" w:rsidP="00071413">
      <w:pPr>
        <w:jc w:val="both"/>
        <w:rPr>
          <w:b/>
          <w:sz w:val="22"/>
          <w:szCs w:val="22"/>
        </w:rPr>
      </w:pPr>
      <w:r w:rsidRPr="00513407">
        <w:rPr>
          <w:b/>
          <w:sz w:val="22"/>
          <w:szCs w:val="22"/>
        </w:rPr>
        <w:t>2. Préciser l’utilité de la prime d’émission et rappeler son mode de calcul.</w:t>
      </w:r>
    </w:p>
    <w:p w:rsidR="00071413" w:rsidRPr="00513407" w:rsidRDefault="00071413" w:rsidP="00071413">
      <w:pPr>
        <w:jc w:val="both"/>
        <w:rPr>
          <w:b/>
          <w:sz w:val="22"/>
          <w:szCs w:val="22"/>
        </w:rPr>
      </w:pPr>
      <w:r w:rsidRPr="00513407">
        <w:rPr>
          <w:sz w:val="22"/>
          <w:szCs w:val="22"/>
        </w:rPr>
        <w:t xml:space="preserve">La prime d’émission représente les droits que les souscripteurs acquièrent sur les réserves ou les plus-values latentes. La différence entre le prix d’émission et la valeur nominale constitue la prime d’émission.  </w:t>
      </w:r>
    </w:p>
    <w:p w:rsidR="00071413" w:rsidRPr="00513407" w:rsidRDefault="00071413" w:rsidP="00071413">
      <w:pPr>
        <w:jc w:val="both"/>
        <w:rPr>
          <w:sz w:val="22"/>
          <w:szCs w:val="22"/>
        </w:rPr>
      </w:pPr>
    </w:p>
    <w:p w:rsidR="00071413" w:rsidRPr="00513407" w:rsidRDefault="00071413" w:rsidP="00071413">
      <w:pPr>
        <w:jc w:val="both"/>
        <w:rPr>
          <w:b/>
          <w:sz w:val="22"/>
          <w:szCs w:val="22"/>
        </w:rPr>
      </w:pPr>
      <w:r w:rsidRPr="00513407">
        <w:rPr>
          <w:b/>
          <w:sz w:val="22"/>
          <w:szCs w:val="22"/>
        </w:rPr>
        <w:t>3. Enregistrer les écritures de recueil des fonds et de la réalisation de l’augmentation du capital en</w:t>
      </w:r>
      <w:r w:rsidR="00F5168E" w:rsidRPr="00513407">
        <w:rPr>
          <w:b/>
          <w:sz w:val="22"/>
          <w:szCs w:val="22"/>
        </w:rPr>
        <w:t xml:space="preserve"> </w:t>
      </w:r>
      <w:r w:rsidRPr="00513407">
        <w:rPr>
          <w:b/>
          <w:sz w:val="22"/>
          <w:szCs w:val="22"/>
        </w:rPr>
        <w:t>numéraire.</w:t>
      </w:r>
    </w:p>
    <w:p w:rsidR="00071413" w:rsidRPr="00513407" w:rsidRDefault="00071413" w:rsidP="00F5168E">
      <w:pPr>
        <w:pStyle w:val="Sansinterligne"/>
        <w:jc w:val="center"/>
        <w:rPr>
          <w:rFonts w:ascii="Times New Roman" w:hAnsi="Times New Roman"/>
        </w:rPr>
      </w:pPr>
      <w:r w:rsidRPr="00513407">
        <w:rPr>
          <w:rFonts w:ascii="Times New Roman" w:hAnsi="Times New Roman"/>
        </w:rPr>
        <w:t>Du 01/10/2012 au 30/10/2012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F5168E">
        <w:trPr>
          <w:jc w:val="center"/>
        </w:trPr>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512</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4563</w:t>
            </w: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Banque</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Associés-Versements reçus sur augmentation de capital</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Recueil des fonds</w:t>
            </w:r>
            <w:r w:rsidR="00833953">
              <w:rPr>
                <w:rFonts w:ascii="Times New Roman" w:hAnsi="Times New Roman"/>
              </w:rPr>
              <w:t xml:space="preserve"> (150 000 + 30 000)</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180 000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180 000</w:t>
            </w:r>
          </w:p>
          <w:p w:rsidR="00071413" w:rsidRPr="00513407" w:rsidRDefault="00071413" w:rsidP="00071413">
            <w:pPr>
              <w:pStyle w:val="Sansinterligne"/>
              <w:widowControl w:val="0"/>
              <w:suppressAutoHyphens/>
              <w:autoSpaceDE w:val="0"/>
              <w:rPr>
                <w:rFonts w:ascii="Times New Roman" w:hAnsi="Times New Roman"/>
              </w:rPr>
            </w:pPr>
          </w:p>
        </w:tc>
      </w:tr>
    </w:tbl>
    <w:p w:rsidR="00071413" w:rsidRPr="00513407" w:rsidRDefault="00071413" w:rsidP="00071413">
      <w:pPr>
        <w:pStyle w:val="Sansinterligne"/>
        <w:rPr>
          <w:rFonts w:ascii="Times New Roman" w:hAnsi="Times New Roman"/>
        </w:rPr>
      </w:pPr>
      <w:r w:rsidRPr="00513407">
        <w:rPr>
          <w:rFonts w:ascii="Times New Roman" w:hAnsi="Times New Roman"/>
        </w:rPr>
        <w:t>Nominal ½ : 3 000*50</w:t>
      </w:r>
      <w:r w:rsidR="00833953">
        <w:rPr>
          <w:rFonts w:ascii="Times New Roman" w:hAnsi="Times New Roman"/>
        </w:rPr>
        <w:t xml:space="preserve"> </w:t>
      </w:r>
      <w:r w:rsidRPr="00513407">
        <w:rPr>
          <w:rFonts w:ascii="Times New Roman" w:hAnsi="Times New Roman"/>
        </w:rPr>
        <w:t>= 150 000€</w:t>
      </w:r>
    </w:p>
    <w:p w:rsidR="00071413" w:rsidRPr="00513407" w:rsidRDefault="00071413" w:rsidP="00071413">
      <w:pPr>
        <w:pStyle w:val="Sansinterligne"/>
        <w:rPr>
          <w:rFonts w:ascii="Times New Roman" w:hAnsi="Times New Roman"/>
        </w:rPr>
      </w:pPr>
      <w:r w:rsidRPr="00513407">
        <w:rPr>
          <w:rFonts w:ascii="Times New Roman" w:hAnsi="Times New Roman"/>
        </w:rPr>
        <w:t>Prime d’émission : 3 000*10= 30</w:t>
      </w:r>
      <w:r w:rsidR="00833953">
        <w:rPr>
          <w:rFonts w:ascii="Times New Roman" w:hAnsi="Times New Roman"/>
        </w:rPr>
        <w:t> </w:t>
      </w:r>
      <w:r w:rsidRPr="00513407">
        <w:rPr>
          <w:rFonts w:ascii="Times New Roman" w:hAnsi="Times New Roman"/>
        </w:rPr>
        <w:t>000</w:t>
      </w:r>
      <w:r w:rsidR="00833953">
        <w:rPr>
          <w:rFonts w:ascii="Times New Roman" w:hAnsi="Times New Roman"/>
        </w:rPr>
        <w:t xml:space="preserve"> </w:t>
      </w:r>
      <w:r w:rsidRPr="00513407">
        <w:rPr>
          <w:rFonts w:ascii="Times New Roman" w:hAnsi="Times New Roman"/>
        </w:rPr>
        <w:t>€</w:t>
      </w:r>
      <w:r w:rsidR="00833953">
        <w:rPr>
          <w:rFonts w:ascii="Times New Roman" w:hAnsi="Times New Roman"/>
        </w:rPr>
        <w:t>, libérée en totalité</w:t>
      </w:r>
    </w:p>
    <w:p w:rsidR="00071413" w:rsidRPr="00513407" w:rsidRDefault="00071413" w:rsidP="00071413">
      <w:pPr>
        <w:pStyle w:val="Sansinterligne"/>
        <w:rPr>
          <w:rFonts w:ascii="Times New Roman" w:hAnsi="Times New Roman"/>
        </w:rPr>
      </w:pPr>
    </w:p>
    <w:p w:rsidR="00071413" w:rsidRPr="00513407" w:rsidRDefault="00071413" w:rsidP="00F5168E">
      <w:pPr>
        <w:pStyle w:val="Sansinterligne"/>
        <w:jc w:val="center"/>
        <w:rPr>
          <w:rFonts w:ascii="Times New Roman" w:hAnsi="Times New Roman"/>
        </w:rPr>
      </w:pPr>
      <w:r w:rsidRPr="00513407">
        <w:rPr>
          <w:rFonts w:ascii="Times New Roman" w:hAnsi="Times New Roman"/>
        </w:rPr>
        <w:t>30/10/2012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F5168E">
        <w:trPr>
          <w:jc w:val="center"/>
        </w:trPr>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109</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4563</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1011</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1013</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1041</w:t>
            </w: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Associés - Capital souscrit, non appelé</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Associés – Versement reçus sur augmentation de capital</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Capital souscrit, non appelé</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Capital souscrit, appelé, versé</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Prime d’émission</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Réalisation de l’augmentation de capital</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150 000</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180 000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150 000</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150 000</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30 000</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p>
        </w:tc>
      </w:tr>
    </w:tbl>
    <w:p w:rsidR="00071413" w:rsidRPr="00513407" w:rsidRDefault="00071413" w:rsidP="00513407">
      <w:pPr>
        <w:pStyle w:val="Sansinterligne"/>
        <w:jc w:val="both"/>
        <w:rPr>
          <w:rFonts w:ascii="Times New Roman" w:hAnsi="Times New Roman"/>
        </w:rPr>
      </w:pPr>
      <w:r w:rsidRPr="00513407">
        <w:rPr>
          <w:rFonts w:ascii="Times New Roman" w:hAnsi="Times New Roman"/>
        </w:rPr>
        <w:t>Associés – Capital souscrit, non appelé : 100*1/2= 50</w:t>
      </w:r>
      <w:r w:rsidR="00317CC9">
        <w:rPr>
          <w:rFonts w:ascii="Times New Roman" w:hAnsi="Times New Roman"/>
        </w:rPr>
        <w:t xml:space="preserve"> </w:t>
      </w:r>
      <w:r w:rsidRPr="00513407">
        <w:rPr>
          <w:rFonts w:ascii="Times New Roman" w:hAnsi="Times New Roman"/>
        </w:rPr>
        <w:t>€, 50</w:t>
      </w:r>
      <w:r w:rsidR="00317CC9">
        <w:rPr>
          <w:rFonts w:ascii="Times New Roman" w:hAnsi="Times New Roman"/>
        </w:rPr>
        <w:t xml:space="preserve"> </w:t>
      </w:r>
      <w:r w:rsidRPr="00513407">
        <w:rPr>
          <w:rFonts w:ascii="Times New Roman" w:hAnsi="Times New Roman"/>
        </w:rPr>
        <w:t>€</w:t>
      </w:r>
      <w:r w:rsidR="00CE173E">
        <w:rPr>
          <w:rFonts w:ascii="Times New Roman" w:hAnsi="Times New Roman"/>
        </w:rPr>
        <w:t xml:space="preserve"> </w:t>
      </w:r>
      <w:r w:rsidRPr="00513407">
        <w:rPr>
          <w:rFonts w:ascii="Times New Roman" w:hAnsi="Times New Roman"/>
        </w:rPr>
        <w:t>*</w:t>
      </w:r>
      <w:r w:rsidR="00CE173E">
        <w:rPr>
          <w:rFonts w:ascii="Times New Roman" w:hAnsi="Times New Roman"/>
        </w:rPr>
        <w:t xml:space="preserve"> </w:t>
      </w:r>
      <w:r w:rsidRPr="00513407">
        <w:rPr>
          <w:rFonts w:ascii="Times New Roman" w:hAnsi="Times New Roman"/>
        </w:rPr>
        <w:t>3 000= 150</w:t>
      </w:r>
      <w:r w:rsidR="00AE2515">
        <w:rPr>
          <w:rFonts w:ascii="Times New Roman" w:hAnsi="Times New Roman"/>
        </w:rPr>
        <w:t> </w:t>
      </w:r>
      <w:r w:rsidRPr="00513407">
        <w:rPr>
          <w:rFonts w:ascii="Times New Roman" w:hAnsi="Times New Roman"/>
        </w:rPr>
        <w:t>000</w:t>
      </w:r>
      <w:r w:rsidR="00AE2515">
        <w:rPr>
          <w:rFonts w:ascii="Times New Roman" w:hAnsi="Times New Roman"/>
        </w:rPr>
        <w:t xml:space="preserve"> </w:t>
      </w:r>
      <w:r w:rsidRPr="00513407">
        <w:rPr>
          <w:rFonts w:ascii="Times New Roman" w:hAnsi="Times New Roman"/>
        </w:rPr>
        <w:t>€</w:t>
      </w:r>
    </w:p>
    <w:p w:rsidR="00071413" w:rsidRPr="00513407" w:rsidRDefault="00071413" w:rsidP="00513407">
      <w:pPr>
        <w:pStyle w:val="Sansinterligne"/>
        <w:jc w:val="both"/>
        <w:rPr>
          <w:rFonts w:ascii="Times New Roman" w:hAnsi="Times New Roman"/>
        </w:rPr>
      </w:pPr>
      <w:r w:rsidRPr="00513407">
        <w:rPr>
          <w:rFonts w:ascii="Times New Roman" w:hAnsi="Times New Roman"/>
        </w:rPr>
        <w:t>Capital souscrit, appelé, versé : 50</w:t>
      </w:r>
      <w:r w:rsidR="00AE2515">
        <w:rPr>
          <w:rFonts w:ascii="Times New Roman" w:hAnsi="Times New Roman"/>
        </w:rPr>
        <w:t xml:space="preserve"> </w:t>
      </w:r>
      <w:r w:rsidRPr="00513407">
        <w:rPr>
          <w:rFonts w:ascii="Times New Roman" w:hAnsi="Times New Roman"/>
        </w:rPr>
        <w:t>€</w:t>
      </w:r>
      <w:r w:rsidR="00317CC9">
        <w:rPr>
          <w:rFonts w:ascii="Times New Roman" w:hAnsi="Times New Roman"/>
        </w:rPr>
        <w:t xml:space="preserve"> </w:t>
      </w:r>
      <w:r w:rsidRPr="00513407">
        <w:rPr>
          <w:rFonts w:ascii="Times New Roman" w:hAnsi="Times New Roman"/>
        </w:rPr>
        <w:t>*3</w:t>
      </w:r>
      <w:r w:rsidR="00CE173E">
        <w:rPr>
          <w:rFonts w:ascii="Times New Roman" w:hAnsi="Times New Roman"/>
        </w:rPr>
        <w:t> </w:t>
      </w:r>
      <w:r w:rsidRPr="00513407">
        <w:rPr>
          <w:rFonts w:ascii="Times New Roman" w:hAnsi="Times New Roman"/>
        </w:rPr>
        <w:t>000</w:t>
      </w:r>
      <w:r w:rsidR="00CE173E">
        <w:rPr>
          <w:rFonts w:ascii="Times New Roman" w:hAnsi="Times New Roman"/>
        </w:rPr>
        <w:t xml:space="preserve"> </w:t>
      </w:r>
      <w:r w:rsidRPr="00513407">
        <w:rPr>
          <w:rFonts w:ascii="Times New Roman" w:hAnsi="Times New Roman"/>
        </w:rPr>
        <w:t>= 150</w:t>
      </w:r>
      <w:r w:rsidR="00AE2515">
        <w:rPr>
          <w:rFonts w:ascii="Times New Roman" w:hAnsi="Times New Roman"/>
        </w:rPr>
        <w:t> </w:t>
      </w:r>
      <w:r w:rsidRPr="00513407">
        <w:rPr>
          <w:rFonts w:ascii="Times New Roman" w:hAnsi="Times New Roman"/>
        </w:rPr>
        <w:t>000</w:t>
      </w:r>
      <w:r w:rsidR="00AE2515">
        <w:rPr>
          <w:rFonts w:ascii="Times New Roman" w:hAnsi="Times New Roman"/>
        </w:rPr>
        <w:t xml:space="preserve"> </w:t>
      </w:r>
      <w:r w:rsidRPr="00513407">
        <w:rPr>
          <w:rFonts w:ascii="Times New Roman" w:hAnsi="Times New Roman"/>
        </w:rPr>
        <w:t>€</w:t>
      </w:r>
    </w:p>
    <w:p w:rsidR="00071413" w:rsidRPr="00513407" w:rsidRDefault="00071413" w:rsidP="00513407">
      <w:pPr>
        <w:pStyle w:val="Sansinterligne"/>
        <w:jc w:val="both"/>
        <w:rPr>
          <w:rFonts w:ascii="Times New Roman" w:hAnsi="Times New Roman"/>
        </w:rPr>
      </w:pPr>
      <w:r w:rsidRPr="00513407">
        <w:rPr>
          <w:rFonts w:ascii="Times New Roman" w:hAnsi="Times New Roman"/>
        </w:rPr>
        <w:t>Prime d’émission : 10</w:t>
      </w:r>
      <w:r w:rsidR="00E83B5B">
        <w:rPr>
          <w:rFonts w:ascii="Times New Roman" w:hAnsi="Times New Roman"/>
        </w:rPr>
        <w:t xml:space="preserve"> </w:t>
      </w:r>
      <w:r w:rsidRPr="00513407">
        <w:rPr>
          <w:rFonts w:ascii="Times New Roman" w:hAnsi="Times New Roman"/>
        </w:rPr>
        <w:t>€</w:t>
      </w:r>
      <w:r w:rsidR="00E83B5B">
        <w:rPr>
          <w:rFonts w:ascii="Times New Roman" w:hAnsi="Times New Roman"/>
        </w:rPr>
        <w:t xml:space="preserve"> </w:t>
      </w:r>
      <w:r w:rsidRPr="00513407">
        <w:rPr>
          <w:rFonts w:ascii="Times New Roman" w:hAnsi="Times New Roman"/>
        </w:rPr>
        <w:t>*3 000= 30</w:t>
      </w:r>
      <w:r w:rsidR="00AE2515">
        <w:rPr>
          <w:rFonts w:ascii="Times New Roman" w:hAnsi="Times New Roman"/>
        </w:rPr>
        <w:t> </w:t>
      </w:r>
      <w:r w:rsidRPr="00513407">
        <w:rPr>
          <w:rFonts w:ascii="Times New Roman" w:hAnsi="Times New Roman"/>
        </w:rPr>
        <w:t>000</w:t>
      </w:r>
      <w:r w:rsidR="00AE2515">
        <w:rPr>
          <w:rFonts w:ascii="Times New Roman" w:hAnsi="Times New Roman"/>
        </w:rPr>
        <w:t xml:space="preserve"> </w:t>
      </w:r>
      <w:r w:rsidRPr="00513407">
        <w:rPr>
          <w:rFonts w:ascii="Times New Roman" w:hAnsi="Times New Roman"/>
        </w:rPr>
        <w:t>€</w:t>
      </w:r>
    </w:p>
    <w:p w:rsidR="00071413" w:rsidRPr="00513407" w:rsidRDefault="00071413" w:rsidP="00513407">
      <w:pPr>
        <w:pStyle w:val="Sansinterligne"/>
        <w:jc w:val="both"/>
        <w:rPr>
          <w:rFonts w:ascii="Times New Roman" w:hAnsi="Times New Roman"/>
        </w:rPr>
      </w:pPr>
    </w:p>
    <w:p w:rsidR="00071413" w:rsidRPr="00513407" w:rsidRDefault="00071413" w:rsidP="00513407">
      <w:pPr>
        <w:jc w:val="both"/>
        <w:rPr>
          <w:b/>
          <w:sz w:val="22"/>
          <w:szCs w:val="22"/>
        </w:rPr>
      </w:pPr>
      <w:r w:rsidRPr="00513407">
        <w:rPr>
          <w:b/>
          <w:sz w:val="22"/>
          <w:szCs w:val="22"/>
        </w:rPr>
        <w:t>4. Quel est le moyen juridique dont dispo</w:t>
      </w:r>
      <w:r w:rsidR="00857EE8" w:rsidRPr="00513407">
        <w:rPr>
          <w:b/>
          <w:sz w:val="22"/>
          <w:szCs w:val="22"/>
        </w:rPr>
        <w:t>sent</w:t>
      </w:r>
      <w:r w:rsidRPr="00513407">
        <w:rPr>
          <w:b/>
          <w:sz w:val="22"/>
          <w:szCs w:val="22"/>
        </w:rPr>
        <w:t xml:space="preserve"> les anciens actionnaires de la SA SORGUES pour</w:t>
      </w:r>
      <w:r w:rsidR="00AE2515">
        <w:rPr>
          <w:b/>
          <w:sz w:val="22"/>
          <w:szCs w:val="22"/>
        </w:rPr>
        <w:t xml:space="preserve"> c</w:t>
      </w:r>
      <w:r w:rsidRPr="00513407">
        <w:rPr>
          <w:b/>
          <w:sz w:val="22"/>
          <w:szCs w:val="22"/>
        </w:rPr>
        <w:t>onserver leur pourcentage de contr</w:t>
      </w:r>
      <w:r w:rsidR="00857EE8" w:rsidRPr="00513407">
        <w:rPr>
          <w:b/>
          <w:sz w:val="22"/>
          <w:szCs w:val="22"/>
        </w:rPr>
        <w:t>ôle ?</w:t>
      </w:r>
    </w:p>
    <w:p w:rsidR="00071413" w:rsidRDefault="00071413" w:rsidP="00513407">
      <w:pPr>
        <w:pStyle w:val="Sansinterligne"/>
        <w:jc w:val="both"/>
        <w:rPr>
          <w:rFonts w:ascii="Times New Roman" w:hAnsi="Times New Roman"/>
        </w:rPr>
      </w:pPr>
      <w:r w:rsidRPr="00513407">
        <w:rPr>
          <w:rFonts w:ascii="Times New Roman" w:hAnsi="Times New Roman"/>
        </w:rPr>
        <w:t>Les anciens actionnaires bénéficient d’un droit préférentiel de souscription. En exerçant ce droit</w:t>
      </w:r>
      <w:r w:rsidR="00CE1EF4">
        <w:rPr>
          <w:rFonts w:ascii="Times New Roman" w:hAnsi="Times New Roman"/>
        </w:rPr>
        <w:t>,</w:t>
      </w:r>
      <w:r w:rsidRPr="00513407">
        <w:rPr>
          <w:rFonts w:ascii="Times New Roman" w:hAnsi="Times New Roman"/>
        </w:rPr>
        <w:t xml:space="preserve"> ils conservent leur pourcentage de contrôle. </w:t>
      </w:r>
    </w:p>
    <w:p w:rsidR="00CE1EF4" w:rsidRPr="00513407" w:rsidRDefault="00CE1EF4" w:rsidP="00513407">
      <w:pPr>
        <w:pStyle w:val="Sansinterligne"/>
        <w:jc w:val="both"/>
        <w:rPr>
          <w:rFonts w:ascii="Times New Roman" w:hAnsi="Times New Roman"/>
        </w:rPr>
      </w:pPr>
      <w:r>
        <w:rPr>
          <w:rFonts w:ascii="Times New Roman" w:hAnsi="Times New Roman"/>
        </w:rPr>
        <w:t>Accepter : possibilité pour l’entreprise de n’émettre que des actions de préférence (sans droit de vote).</w:t>
      </w:r>
    </w:p>
    <w:p w:rsidR="00071413" w:rsidRPr="00513407" w:rsidRDefault="00071413" w:rsidP="00513407">
      <w:pPr>
        <w:pStyle w:val="Sansinterligne"/>
        <w:jc w:val="both"/>
        <w:rPr>
          <w:rFonts w:ascii="Times New Roman" w:hAnsi="Times New Roman"/>
        </w:rPr>
      </w:pPr>
    </w:p>
    <w:p w:rsidR="00071413" w:rsidRDefault="00423F1B" w:rsidP="00513407">
      <w:pPr>
        <w:spacing w:after="80"/>
        <w:jc w:val="both"/>
        <w:rPr>
          <w:b/>
          <w:sz w:val="22"/>
          <w:szCs w:val="22"/>
        </w:rPr>
      </w:pPr>
      <w:r>
        <w:rPr>
          <w:b/>
          <w:sz w:val="22"/>
          <w:szCs w:val="22"/>
        </w:rPr>
        <w:t>5. Enregistrer l’écriture</w:t>
      </w:r>
      <w:r w:rsidR="00857EE8" w:rsidRPr="00513407">
        <w:rPr>
          <w:b/>
          <w:sz w:val="22"/>
          <w:szCs w:val="22"/>
        </w:rPr>
        <w:t xml:space="preserve"> des frais d’augmentation de capital.</w:t>
      </w:r>
    </w:p>
    <w:p w:rsidR="00C94626" w:rsidRPr="00C94626" w:rsidRDefault="00C94626" w:rsidP="00513407">
      <w:pPr>
        <w:spacing w:after="80"/>
        <w:jc w:val="both"/>
        <w:rPr>
          <w:sz w:val="22"/>
          <w:szCs w:val="22"/>
        </w:rPr>
      </w:pPr>
      <w:r>
        <w:rPr>
          <w:sz w:val="22"/>
          <w:szCs w:val="22"/>
        </w:rPr>
        <w:t>La méthode préférentielle consiste à imputer sur la prime d’émission le montant net d’IS des frais.</w:t>
      </w:r>
    </w:p>
    <w:p w:rsidR="00071413" w:rsidRPr="00513407" w:rsidRDefault="00071413" w:rsidP="00F5168E">
      <w:pPr>
        <w:pStyle w:val="Sansinterligne"/>
        <w:jc w:val="center"/>
        <w:rPr>
          <w:rFonts w:ascii="Times New Roman" w:hAnsi="Times New Roman"/>
        </w:rPr>
      </w:pPr>
      <w:r w:rsidRPr="00513407">
        <w:rPr>
          <w:rFonts w:ascii="Times New Roman" w:hAnsi="Times New Roman"/>
        </w:rPr>
        <w:t>30/10/2012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F5168E">
        <w:trPr>
          <w:trHeight w:val="1089"/>
          <w:jc w:val="center"/>
        </w:trPr>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1041</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695</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512</w:t>
            </w:r>
          </w:p>
          <w:p w:rsidR="00071413" w:rsidRPr="00513407" w:rsidRDefault="00071413" w:rsidP="00071413">
            <w:pPr>
              <w:pStyle w:val="Sansinterligne"/>
              <w:widowControl w:val="0"/>
              <w:suppressAutoHyphens/>
              <w:autoSpaceDE w:val="0"/>
              <w:rPr>
                <w:rFonts w:ascii="Times New Roman" w:hAnsi="Times New Roman"/>
              </w:rPr>
            </w:pP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Primes d’émission</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Impôts sur les bénéfices</w:t>
            </w:r>
            <w:r w:rsidR="00176761">
              <w:rPr>
                <w:rFonts w:ascii="Times New Roman" w:hAnsi="Times New Roman"/>
              </w:rPr>
              <w:t xml:space="preserve"> (1/3 * 15 000 €)</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Banque</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Frais d’augmentation de capital</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10 000</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5 000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15 000</w:t>
            </w:r>
          </w:p>
        </w:tc>
      </w:tr>
    </w:tbl>
    <w:p w:rsidR="00634168" w:rsidRPr="00513407" w:rsidRDefault="00634168" w:rsidP="00857EE8">
      <w:pPr>
        <w:jc w:val="both"/>
        <w:rPr>
          <w:b/>
          <w:sz w:val="22"/>
          <w:szCs w:val="22"/>
        </w:rPr>
      </w:pPr>
    </w:p>
    <w:p w:rsidR="00857EE8" w:rsidRPr="00513407" w:rsidRDefault="00B01FEF" w:rsidP="00513407">
      <w:pPr>
        <w:spacing w:after="80"/>
        <w:jc w:val="both"/>
        <w:rPr>
          <w:b/>
          <w:sz w:val="22"/>
          <w:szCs w:val="22"/>
        </w:rPr>
      </w:pPr>
      <w:r>
        <w:rPr>
          <w:b/>
          <w:sz w:val="22"/>
          <w:szCs w:val="22"/>
        </w:rPr>
        <w:br w:type="page"/>
      </w:r>
      <w:r w:rsidR="00857EE8" w:rsidRPr="00513407">
        <w:rPr>
          <w:b/>
          <w:sz w:val="22"/>
          <w:szCs w:val="22"/>
        </w:rPr>
        <w:lastRenderedPageBreak/>
        <w:t>6. Enregistrer l’appel du conseil d’administration.</w:t>
      </w:r>
    </w:p>
    <w:p w:rsidR="00071413" w:rsidRPr="00513407" w:rsidRDefault="00071413" w:rsidP="00F5168E">
      <w:pPr>
        <w:pStyle w:val="Sansinterligne"/>
        <w:jc w:val="center"/>
        <w:rPr>
          <w:rFonts w:ascii="Times New Roman" w:hAnsi="Times New Roman"/>
        </w:rPr>
      </w:pPr>
      <w:r w:rsidRPr="00513407">
        <w:rPr>
          <w:rFonts w:ascii="Times New Roman" w:hAnsi="Times New Roman"/>
        </w:rPr>
        <w:t>02/05/2013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071413">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45621</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109</w:t>
            </w:r>
          </w:p>
          <w:p w:rsidR="00071413" w:rsidRPr="00513407" w:rsidRDefault="00071413" w:rsidP="00071413">
            <w:pPr>
              <w:pStyle w:val="Sansinterligne"/>
              <w:widowControl w:val="0"/>
              <w:suppressAutoHyphens/>
              <w:autoSpaceDE w:val="0"/>
              <w:rPr>
                <w:rFonts w:ascii="Times New Roman" w:hAnsi="Times New Roman"/>
              </w:rPr>
            </w:pP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Actionnaires – Capital souscrit, appelé, non versé</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Actionnaires – Capital souscrit, non appelé</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Appel du conseil d’administration</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75 000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75 000</w:t>
            </w:r>
          </w:p>
          <w:p w:rsidR="00071413" w:rsidRPr="00513407" w:rsidRDefault="00071413" w:rsidP="00071413">
            <w:pPr>
              <w:pStyle w:val="Sansinterligne"/>
              <w:widowControl w:val="0"/>
              <w:suppressAutoHyphens/>
              <w:autoSpaceDE w:val="0"/>
              <w:rPr>
                <w:rFonts w:ascii="Times New Roman" w:hAnsi="Times New Roman"/>
              </w:rPr>
            </w:pPr>
          </w:p>
        </w:tc>
      </w:tr>
    </w:tbl>
    <w:p w:rsidR="00071413" w:rsidRPr="00513407" w:rsidRDefault="00071413" w:rsidP="00071413">
      <w:pPr>
        <w:pStyle w:val="Sansinterligne"/>
        <w:rPr>
          <w:rFonts w:ascii="Times New Roman" w:hAnsi="Times New Roman"/>
        </w:rPr>
      </w:pPr>
      <w:r w:rsidRPr="00513407">
        <w:rPr>
          <w:rFonts w:ascii="Times New Roman" w:hAnsi="Times New Roman"/>
        </w:rPr>
        <w:t>¼*100</w:t>
      </w:r>
      <w:r w:rsidR="004C4824">
        <w:rPr>
          <w:rFonts w:ascii="Times New Roman" w:hAnsi="Times New Roman"/>
        </w:rPr>
        <w:t xml:space="preserve"> € </w:t>
      </w:r>
      <w:r w:rsidRPr="00513407">
        <w:rPr>
          <w:rFonts w:ascii="Times New Roman" w:hAnsi="Times New Roman"/>
        </w:rPr>
        <w:t>*3</w:t>
      </w:r>
      <w:r w:rsidR="00E83B5B">
        <w:rPr>
          <w:rFonts w:ascii="Times New Roman" w:hAnsi="Times New Roman"/>
        </w:rPr>
        <w:t> </w:t>
      </w:r>
      <w:r w:rsidRPr="00513407">
        <w:rPr>
          <w:rFonts w:ascii="Times New Roman" w:hAnsi="Times New Roman"/>
        </w:rPr>
        <w:t>000</w:t>
      </w:r>
      <w:r w:rsidR="00E83B5B">
        <w:rPr>
          <w:rFonts w:ascii="Times New Roman" w:hAnsi="Times New Roman"/>
        </w:rPr>
        <w:t xml:space="preserve"> </w:t>
      </w:r>
      <w:r w:rsidRPr="00513407">
        <w:rPr>
          <w:rFonts w:ascii="Times New Roman" w:hAnsi="Times New Roman"/>
        </w:rPr>
        <w:t>=</w:t>
      </w:r>
      <w:r w:rsidR="00E83B5B">
        <w:rPr>
          <w:rFonts w:ascii="Times New Roman" w:hAnsi="Times New Roman"/>
        </w:rPr>
        <w:t xml:space="preserve"> 75 000 (ou 150 000 /2)</w:t>
      </w:r>
    </w:p>
    <w:p w:rsidR="00071413" w:rsidRPr="00513407" w:rsidRDefault="00071413" w:rsidP="00071413">
      <w:pPr>
        <w:pStyle w:val="Sansinterligne"/>
        <w:rPr>
          <w:rFonts w:ascii="Times New Roman" w:hAnsi="Times New Roman"/>
        </w:rPr>
      </w:pPr>
    </w:p>
    <w:p w:rsidR="00071413" w:rsidRPr="00513407" w:rsidRDefault="00071413" w:rsidP="00F5168E">
      <w:pPr>
        <w:pStyle w:val="Sansinterligne"/>
        <w:jc w:val="center"/>
        <w:rPr>
          <w:rFonts w:ascii="Times New Roman" w:hAnsi="Times New Roman"/>
        </w:rPr>
      </w:pPr>
      <w:r w:rsidRPr="00513407">
        <w:rPr>
          <w:rFonts w:ascii="Times New Roman" w:hAnsi="Times New Roman"/>
        </w:rPr>
        <w:t>02/05/2013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071413">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1011</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1012</w:t>
            </w:r>
          </w:p>
          <w:p w:rsidR="00071413" w:rsidRPr="00513407" w:rsidRDefault="00071413" w:rsidP="00071413">
            <w:pPr>
              <w:pStyle w:val="Sansinterligne"/>
              <w:widowControl w:val="0"/>
              <w:suppressAutoHyphens/>
              <w:autoSpaceDE w:val="0"/>
              <w:rPr>
                <w:rFonts w:ascii="Times New Roman" w:hAnsi="Times New Roman"/>
              </w:rPr>
            </w:pP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Capital souscrit, non appelé</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Capital souscrit, appelé, non versé</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Reclassement du capital</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75 000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75 000</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p>
        </w:tc>
      </w:tr>
    </w:tbl>
    <w:p w:rsidR="00071413" w:rsidRPr="00513407" w:rsidRDefault="00071413" w:rsidP="00071413">
      <w:pPr>
        <w:pStyle w:val="Sansinterligne"/>
        <w:rPr>
          <w:rFonts w:ascii="Times New Roman" w:hAnsi="Times New Roman"/>
        </w:rPr>
      </w:pPr>
    </w:p>
    <w:p w:rsidR="00857EE8" w:rsidRPr="00513407" w:rsidRDefault="00857EE8" w:rsidP="00857EE8">
      <w:pPr>
        <w:jc w:val="both"/>
        <w:rPr>
          <w:b/>
          <w:sz w:val="22"/>
          <w:szCs w:val="22"/>
        </w:rPr>
      </w:pPr>
      <w:r w:rsidRPr="00513407">
        <w:rPr>
          <w:b/>
          <w:sz w:val="22"/>
          <w:szCs w:val="22"/>
        </w:rPr>
        <w:t>7. Enregistrer les versements des actionnaires en considérant le versement anticipé de Monsieur</w:t>
      </w:r>
    </w:p>
    <w:p w:rsidR="00857EE8" w:rsidRPr="00513407" w:rsidRDefault="00857EE8" w:rsidP="00513407">
      <w:pPr>
        <w:spacing w:after="80"/>
        <w:jc w:val="both"/>
        <w:rPr>
          <w:b/>
          <w:sz w:val="22"/>
          <w:szCs w:val="22"/>
        </w:rPr>
      </w:pPr>
      <w:r w:rsidRPr="00513407">
        <w:rPr>
          <w:b/>
          <w:sz w:val="22"/>
          <w:szCs w:val="22"/>
        </w:rPr>
        <w:t xml:space="preserve">    Bruno.</w:t>
      </w:r>
    </w:p>
    <w:p w:rsidR="00071413" w:rsidRPr="00513407" w:rsidRDefault="00071413" w:rsidP="00F5168E">
      <w:pPr>
        <w:pStyle w:val="Sansinterligne"/>
        <w:jc w:val="center"/>
        <w:rPr>
          <w:rFonts w:ascii="Times New Roman" w:hAnsi="Times New Roman"/>
          <w:b/>
        </w:rPr>
      </w:pPr>
      <w:r w:rsidRPr="00513407">
        <w:rPr>
          <w:rFonts w:ascii="Times New Roman" w:hAnsi="Times New Roman"/>
        </w:rPr>
        <w:t>15/05/2013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071413">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512</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4564</w:t>
            </w:r>
          </w:p>
          <w:p w:rsidR="00071413" w:rsidRPr="00513407" w:rsidRDefault="00071413" w:rsidP="00071413">
            <w:pPr>
              <w:pStyle w:val="Sansinterligne"/>
              <w:widowControl w:val="0"/>
              <w:suppressAutoHyphens/>
              <w:autoSpaceDE w:val="0"/>
              <w:rPr>
                <w:rFonts w:ascii="Times New Roman" w:hAnsi="Times New Roman"/>
              </w:rPr>
            </w:pP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Banque</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Associés - Versements anticipés</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Versement anticipé</w:t>
            </w:r>
            <w:r w:rsidR="00103188">
              <w:rPr>
                <w:rFonts w:ascii="Times New Roman" w:hAnsi="Times New Roman"/>
              </w:rPr>
              <w:t xml:space="preserve"> de Monsieur Bruno</w:t>
            </w:r>
            <w:r w:rsidR="004C4824">
              <w:rPr>
                <w:rFonts w:ascii="Times New Roman" w:hAnsi="Times New Roman"/>
              </w:rPr>
              <w:t xml:space="preserve"> (200 actions)</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10 000</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p>
        </w:tc>
      </w:tr>
    </w:tbl>
    <w:p w:rsidR="00071413" w:rsidRPr="00513407" w:rsidRDefault="00317CC9" w:rsidP="00071413">
      <w:pPr>
        <w:rPr>
          <w:sz w:val="22"/>
          <w:szCs w:val="22"/>
        </w:rPr>
      </w:pPr>
      <w:r>
        <w:rPr>
          <w:sz w:val="22"/>
          <w:szCs w:val="22"/>
        </w:rPr>
        <w:t xml:space="preserve">Solde du compte de Monsieur Bruno : </w:t>
      </w:r>
      <w:r w:rsidR="00071413" w:rsidRPr="00513407">
        <w:rPr>
          <w:sz w:val="22"/>
          <w:szCs w:val="22"/>
        </w:rPr>
        <w:t>½*100</w:t>
      </w:r>
      <w:r w:rsidR="004C4824">
        <w:rPr>
          <w:sz w:val="22"/>
          <w:szCs w:val="22"/>
        </w:rPr>
        <w:t xml:space="preserve"> </w:t>
      </w:r>
      <w:r w:rsidR="00071413" w:rsidRPr="00513407">
        <w:rPr>
          <w:sz w:val="22"/>
          <w:szCs w:val="22"/>
        </w:rPr>
        <w:t>€</w:t>
      </w:r>
      <w:r w:rsidR="004C4824">
        <w:rPr>
          <w:sz w:val="22"/>
          <w:szCs w:val="22"/>
        </w:rPr>
        <w:t xml:space="preserve"> </w:t>
      </w:r>
      <w:r w:rsidR="00071413" w:rsidRPr="00513407">
        <w:rPr>
          <w:sz w:val="22"/>
          <w:szCs w:val="22"/>
        </w:rPr>
        <w:t>*</w:t>
      </w:r>
      <w:r w:rsidR="004C4824">
        <w:rPr>
          <w:sz w:val="22"/>
          <w:szCs w:val="22"/>
        </w:rPr>
        <w:t xml:space="preserve"> </w:t>
      </w:r>
      <w:r w:rsidR="00071413" w:rsidRPr="00513407">
        <w:rPr>
          <w:sz w:val="22"/>
          <w:szCs w:val="22"/>
        </w:rPr>
        <w:t>200= 10</w:t>
      </w:r>
      <w:r w:rsidR="004C4824">
        <w:rPr>
          <w:sz w:val="22"/>
          <w:szCs w:val="22"/>
        </w:rPr>
        <w:t> </w:t>
      </w:r>
      <w:r w:rsidR="00071413" w:rsidRPr="00513407">
        <w:rPr>
          <w:sz w:val="22"/>
          <w:szCs w:val="22"/>
        </w:rPr>
        <w:t>000</w:t>
      </w:r>
      <w:r w:rsidR="004C4824">
        <w:rPr>
          <w:sz w:val="22"/>
          <w:szCs w:val="22"/>
        </w:rPr>
        <w:t xml:space="preserve"> </w:t>
      </w:r>
      <w:r w:rsidR="00071413" w:rsidRPr="00513407">
        <w:rPr>
          <w:sz w:val="22"/>
          <w:szCs w:val="22"/>
        </w:rPr>
        <w:t>€</w:t>
      </w:r>
    </w:p>
    <w:p w:rsidR="00071413" w:rsidRPr="00513407" w:rsidRDefault="00071413" w:rsidP="00F5168E">
      <w:pPr>
        <w:pStyle w:val="Sansinterligne"/>
        <w:jc w:val="center"/>
        <w:rPr>
          <w:rFonts w:ascii="Times New Roman" w:hAnsi="Times New Roman"/>
        </w:rPr>
      </w:pPr>
      <w:r w:rsidRPr="00513407">
        <w:rPr>
          <w:rFonts w:ascii="Times New Roman" w:hAnsi="Times New Roman"/>
        </w:rPr>
        <w:t>31/05/2013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071413">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512</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4564</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45621</w:t>
            </w:r>
          </w:p>
          <w:p w:rsidR="00071413" w:rsidRPr="00513407" w:rsidRDefault="00071413" w:rsidP="00071413">
            <w:pPr>
              <w:pStyle w:val="Sansinterligne"/>
              <w:widowControl w:val="0"/>
              <w:suppressAutoHyphens/>
              <w:autoSpaceDE w:val="0"/>
              <w:rPr>
                <w:rFonts w:ascii="Times New Roman" w:hAnsi="Times New Roman"/>
              </w:rPr>
            </w:pP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Banque</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Associés - Versements anticipés</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Actionnaires – Capital souscrit, appelé, non versé</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Versement des actionnaires autres que Monsieur B</w:t>
            </w:r>
            <w:r w:rsidR="00857EE8" w:rsidRPr="00513407">
              <w:rPr>
                <w:rFonts w:ascii="Times New Roman" w:hAnsi="Times New Roman"/>
              </w:rPr>
              <w:t>runo</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70 000</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5 000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75 000</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p>
        </w:tc>
      </w:tr>
    </w:tbl>
    <w:p w:rsidR="00071413" w:rsidRPr="00513407" w:rsidRDefault="00071413" w:rsidP="00071413">
      <w:pPr>
        <w:pStyle w:val="Sansinterligne"/>
        <w:rPr>
          <w:rFonts w:ascii="Times New Roman" w:hAnsi="Times New Roman"/>
        </w:rPr>
      </w:pPr>
      <w:r w:rsidRPr="00513407">
        <w:rPr>
          <w:rFonts w:ascii="Times New Roman" w:hAnsi="Times New Roman"/>
        </w:rPr>
        <w:t>Banque : ¼*100</w:t>
      </w:r>
      <w:r w:rsidR="00317CC9">
        <w:rPr>
          <w:rFonts w:ascii="Times New Roman" w:hAnsi="Times New Roman"/>
        </w:rPr>
        <w:t xml:space="preserve"> </w:t>
      </w:r>
      <w:r w:rsidRPr="00513407">
        <w:rPr>
          <w:rFonts w:ascii="Times New Roman" w:hAnsi="Times New Roman"/>
        </w:rPr>
        <w:t>€</w:t>
      </w:r>
      <w:r w:rsidR="00317CC9">
        <w:rPr>
          <w:rFonts w:ascii="Times New Roman" w:hAnsi="Times New Roman"/>
        </w:rPr>
        <w:t xml:space="preserve"> </w:t>
      </w:r>
      <w:r w:rsidRPr="00513407">
        <w:rPr>
          <w:rFonts w:ascii="Times New Roman" w:hAnsi="Times New Roman"/>
        </w:rPr>
        <w:t>*</w:t>
      </w:r>
      <w:r w:rsidR="00317CC9">
        <w:rPr>
          <w:rFonts w:ascii="Times New Roman" w:hAnsi="Times New Roman"/>
        </w:rPr>
        <w:t xml:space="preserve"> </w:t>
      </w:r>
      <w:r w:rsidRPr="00513407">
        <w:rPr>
          <w:rFonts w:ascii="Times New Roman" w:hAnsi="Times New Roman"/>
        </w:rPr>
        <w:t>2 800= 70</w:t>
      </w:r>
      <w:r w:rsidR="00317CC9">
        <w:rPr>
          <w:rFonts w:ascii="Times New Roman" w:hAnsi="Times New Roman"/>
        </w:rPr>
        <w:t> </w:t>
      </w:r>
      <w:r w:rsidRPr="00513407">
        <w:rPr>
          <w:rFonts w:ascii="Times New Roman" w:hAnsi="Times New Roman"/>
        </w:rPr>
        <w:t>000</w:t>
      </w:r>
      <w:r w:rsidR="00317CC9">
        <w:rPr>
          <w:rFonts w:ascii="Times New Roman" w:hAnsi="Times New Roman"/>
        </w:rPr>
        <w:t xml:space="preserve"> </w:t>
      </w:r>
      <w:r w:rsidRPr="00513407">
        <w:rPr>
          <w:rFonts w:ascii="Times New Roman" w:hAnsi="Times New Roman"/>
        </w:rPr>
        <w:t>€</w:t>
      </w:r>
    </w:p>
    <w:p w:rsidR="00071413" w:rsidRPr="00513407" w:rsidRDefault="00071413" w:rsidP="00071413">
      <w:pPr>
        <w:pStyle w:val="Sansinterligne"/>
        <w:rPr>
          <w:rFonts w:ascii="Times New Roman" w:hAnsi="Times New Roman"/>
        </w:rPr>
      </w:pPr>
      <w:r w:rsidRPr="00513407">
        <w:rPr>
          <w:rFonts w:ascii="Times New Roman" w:hAnsi="Times New Roman"/>
        </w:rPr>
        <w:t>Associés - Versements anticipés= ¼</w:t>
      </w:r>
      <w:r w:rsidR="00317CC9">
        <w:rPr>
          <w:rFonts w:ascii="Times New Roman" w:hAnsi="Times New Roman"/>
        </w:rPr>
        <w:t xml:space="preserve"> </w:t>
      </w:r>
      <w:r w:rsidRPr="00513407">
        <w:rPr>
          <w:rFonts w:ascii="Times New Roman" w:hAnsi="Times New Roman"/>
        </w:rPr>
        <w:t>*100</w:t>
      </w:r>
      <w:r w:rsidR="00317CC9">
        <w:rPr>
          <w:rFonts w:ascii="Times New Roman" w:hAnsi="Times New Roman"/>
        </w:rPr>
        <w:t xml:space="preserve"> </w:t>
      </w:r>
      <w:r w:rsidRPr="00513407">
        <w:rPr>
          <w:rFonts w:ascii="Times New Roman" w:hAnsi="Times New Roman"/>
        </w:rPr>
        <w:t>€</w:t>
      </w:r>
      <w:r w:rsidR="00317CC9">
        <w:rPr>
          <w:rFonts w:ascii="Times New Roman" w:hAnsi="Times New Roman"/>
        </w:rPr>
        <w:t xml:space="preserve"> </w:t>
      </w:r>
      <w:r w:rsidRPr="00513407">
        <w:rPr>
          <w:rFonts w:ascii="Times New Roman" w:hAnsi="Times New Roman"/>
        </w:rPr>
        <w:t>*</w:t>
      </w:r>
      <w:r w:rsidR="00317CC9">
        <w:rPr>
          <w:rFonts w:ascii="Times New Roman" w:hAnsi="Times New Roman"/>
        </w:rPr>
        <w:t xml:space="preserve"> </w:t>
      </w:r>
      <w:r w:rsidRPr="00513407">
        <w:rPr>
          <w:rFonts w:ascii="Times New Roman" w:hAnsi="Times New Roman"/>
        </w:rPr>
        <w:t>200</w:t>
      </w:r>
      <w:r w:rsidR="00317CC9">
        <w:rPr>
          <w:rFonts w:ascii="Times New Roman" w:hAnsi="Times New Roman"/>
        </w:rPr>
        <w:t xml:space="preserve"> </w:t>
      </w:r>
      <w:r w:rsidRPr="00513407">
        <w:rPr>
          <w:rFonts w:ascii="Times New Roman" w:hAnsi="Times New Roman"/>
        </w:rPr>
        <w:t>= 5</w:t>
      </w:r>
      <w:r w:rsidR="00317CC9">
        <w:rPr>
          <w:rFonts w:ascii="Times New Roman" w:hAnsi="Times New Roman"/>
        </w:rPr>
        <w:t> </w:t>
      </w:r>
      <w:r w:rsidRPr="00513407">
        <w:rPr>
          <w:rFonts w:ascii="Times New Roman" w:hAnsi="Times New Roman"/>
        </w:rPr>
        <w:t>000</w:t>
      </w:r>
      <w:r w:rsidR="00317CC9">
        <w:rPr>
          <w:rFonts w:ascii="Times New Roman" w:hAnsi="Times New Roman"/>
        </w:rPr>
        <w:t xml:space="preserve"> </w:t>
      </w:r>
      <w:r w:rsidRPr="00513407">
        <w:rPr>
          <w:rFonts w:ascii="Times New Roman" w:hAnsi="Times New Roman"/>
        </w:rPr>
        <w:t>€</w:t>
      </w:r>
    </w:p>
    <w:p w:rsidR="00071413" w:rsidRPr="00513407" w:rsidRDefault="00071413" w:rsidP="00071413">
      <w:pPr>
        <w:pStyle w:val="Sansinterligne"/>
        <w:rPr>
          <w:rFonts w:ascii="Times New Roman" w:hAnsi="Times New Roman"/>
        </w:rPr>
      </w:pPr>
    </w:p>
    <w:p w:rsidR="00071413" w:rsidRPr="00513407" w:rsidRDefault="00071413" w:rsidP="00F5168E">
      <w:pPr>
        <w:pStyle w:val="Sansinterligne"/>
        <w:jc w:val="center"/>
        <w:rPr>
          <w:rFonts w:ascii="Times New Roman" w:hAnsi="Times New Roman"/>
        </w:rPr>
      </w:pPr>
      <w:r w:rsidRPr="00513407">
        <w:rPr>
          <w:rFonts w:ascii="Times New Roman" w:hAnsi="Times New Roman"/>
        </w:rPr>
        <w:t>31/05/2013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276"/>
        <w:gridCol w:w="1307"/>
      </w:tblGrid>
      <w:tr w:rsidR="00071413" w:rsidRPr="00513407" w:rsidTr="00071413">
        <w:tc>
          <w:tcPr>
            <w:tcW w:w="959"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1012</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1013</w:t>
            </w:r>
          </w:p>
        </w:tc>
        <w:tc>
          <w:tcPr>
            <w:tcW w:w="5670"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Capital souscrit, appelé, non versé</w:t>
            </w: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 xml:space="preserve">             Capital souscrit, appelé, versé</w:t>
            </w:r>
          </w:p>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Reclassement du capital</w:t>
            </w:r>
          </w:p>
        </w:tc>
        <w:tc>
          <w:tcPr>
            <w:tcW w:w="1276" w:type="dxa"/>
          </w:tcPr>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75 000</w:t>
            </w:r>
          </w:p>
        </w:tc>
        <w:tc>
          <w:tcPr>
            <w:tcW w:w="1307" w:type="dxa"/>
          </w:tcPr>
          <w:p w:rsidR="00071413" w:rsidRPr="00513407" w:rsidRDefault="00071413" w:rsidP="00071413">
            <w:pPr>
              <w:pStyle w:val="Sansinterligne"/>
              <w:widowControl w:val="0"/>
              <w:suppressAutoHyphens/>
              <w:autoSpaceDE w:val="0"/>
              <w:rPr>
                <w:rFonts w:ascii="Times New Roman" w:hAnsi="Times New Roman"/>
              </w:rPr>
            </w:pPr>
          </w:p>
          <w:p w:rsidR="00071413" w:rsidRPr="00513407" w:rsidRDefault="00071413" w:rsidP="00071413">
            <w:pPr>
              <w:pStyle w:val="Sansinterligne"/>
              <w:widowControl w:val="0"/>
              <w:suppressAutoHyphens/>
              <w:autoSpaceDE w:val="0"/>
              <w:rPr>
                <w:rFonts w:ascii="Times New Roman" w:hAnsi="Times New Roman"/>
              </w:rPr>
            </w:pPr>
            <w:r w:rsidRPr="00513407">
              <w:rPr>
                <w:rFonts w:ascii="Times New Roman" w:hAnsi="Times New Roman"/>
              </w:rPr>
              <w:t>75 000</w:t>
            </w:r>
          </w:p>
          <w:p w:rsidR="00071413" w:rsidRPr="00513407" w:rsidRDefault="00071413" w:rsidP="00071413">
            <w:pPr>
              <w:pStyle w:val="Sansinterligne"/>
              <w:widowControl w:val="0"/>
              <w:suppressAutoHyphens/>
              <w:autoSpaceDE w:val="0"/>
              <w:rPr>
                <w:rFonts w:ascii="Times New Roman" w:hAnsi="Times New Roman"/>
              </w:rPr>
            </w:pPr>
          </w:p>
        </w:tc>
      </w:tr>
    </w:tbl>
    <w:p w:rsidR="00071413" w:rsidRPr="00513407" w:rsidRDefault="00071413" w:rsidP="00071413"/>
    <w:p w:rsidR="000236F1" w:rsidRPr="00513407" w:rsidRDefault="000236F1" w:rsidP="00513407">
      <w:pPr>
        <w:shd w:val="clear" w:color="auto" w:fill="FFFFFF"/>
        <w:rPr>
          <w:b/>
          <w:bCs/>
          <w:color w:val="000000"/>
          <w:spacing w:val="14"/>
        </w:rPr>
      </w:pPr>
    </w:p>
    <w:p w:rsidR="009503F3" w:rsidRPr="00513407" w:rsidRDefault="009503F3" w:rsidP="006C5C83">
      <w:pPr>
        <w:pBdr>
          <w:top w:val="single" w:sz="4" w:space="9" w:color="000000"/>
          <w:left w:val="single" w:sz="4" w:space="1" w:color="auto"/>
          <w:bottom w:val="single" w:sz="4" w:space="14" w:color="000000"/>
          <w:right w:val="single" w:sz="4" w:space="0" w:color="000000"/>
        </w:pBdr>
        <w:shd w:val="clear" w:color="auto" w:fill="BFBFBF"/>
        <w:ind w:left="53"/>
        <w:jc w:val="center"/>
        <w:rPr>
          <w:b/>
          <w:bCs/>
          <w:color w:val="000000"/>
          <w:spacing w:val="14"/>
          <w:sz w:val="26"/>
          <w:szCs w:val="26"/>
        </w:rPr>
      </w:pPr>
      <w:r w:rsidRPr="00513407">
        <w:rPr>
          <w:b/>
          <w:bCs/>
          <w:color w:val="000000"/>
          <w:spacing w:val="14"/>
          <w:sz w:val="26"/>
          <w:szCs w:val="26"/>
        </w:rPr>
        <w:t xml:space="preserve">DOSSIER </w:t>
      </w:r>
      <w:r w:rsidR="00857EE8" w:rsidRPr="00513407">
        <w:rPr>
          <w:b/>
          <w:bCs/>
          <w:color w:val="000000"/>
          <w:spacing w:val="14"/>
          <w:sz w:val="26"/>
          <w:szCs w:val="26"/>
        </w:rPr>
        <w:t>2</w:t>
      </w:r>
      <w:r w:rsidRPr="00513407">
        <w:rPr>
          <w:b/>
          <w:bCs/>
          <w:color w:val="000000"/>
          <w:spacing w:val="14"/>
          <w:sz w:val="26"/>
          <w:szCs w:val="26"/>
        </w:rPr>
        <w:t xml:space="preserve"> – IMMOBILISATIONS INCORPORELLES</w:t>
      </w:r>
    </w:p>
    <w:p w:rsidR="00857EE8" w:rsidRPr="00513407" w:rsidRDefault="00857EE8" w:rsidP="006C5C83">
      <w:pPr>
        <w:ind w:left="504" w:right="72"/>
        <w:jc w:val="both"/>
        <w:rPr>
          <w:b/>
          <w:sz w:val="22"/>
          <w:szCs w:val="22"/>
        </w:rPr>
      </w:pPr>
    </w:p>
    <w:p w:rsidR="00DD19D0" w:rsidRDefault="00DD19D0" w:rsidP="000A4B1F">
      <w:pPr>
        <w:numPr>
          <w:ilvl w:val="0"/>
          <w:numId w:val="11"/>
        </w:numPr>
        <w:ind w:right="72"/>
        <w:jc w:val="both"/>
        <w:rPr>
          <w:b/>
          <w:bCs/>
          <w:sz w:val="22"/>
          <w:szCs w:val="22"/>
        </w:rPr>
      </w:pPr>
      <w:r w:rsidRPr="00513407">
        <w:rPr>
          <w:b/>
          <w:bCs/>
          <w:sz w:val="22"/>
          <w:szCs w:val="22"/>
        </w:rPr>
        <w:t>L'entreprise SPPR souhaite distribuer des dividendes en 2013 à la suite de l’affectation du résultat 2012. Est-elle totalement libre de le faire ? (justifier votre réponse)</w:t>
      </w:r>
    </w:p>
    <w:p w:rsidR="000A4B1F" w:rsidRPr="00513407" w:rsidRDefault="000A4B1F" w:rsidP="000A4B1F">
      <w:pPr>
        <w:ind w:right="72"/>
        <w:jc w:val="both"/>
        <w:rPr>
          <w:b/>
          <w:sz w:val="22"/>
          <w:szCs w:val="22"/>
        </w:rPr>
      </w:pPr>
    </w:p>
    <w:p w:rsidR="00175431" w:rsidRPr="00513407" w:rsidRDefault="00E036BE" w:rsidP="00513407">
      <w:pPr>
        <w:ind w:right="72"/>
        <w:jc w:val="both"/>
        <w:rPr>
          <w:sz w:val="22"/>
          <w:szCs w:val="22"/>
        </w:rPr>
      </w:pPr>
      <w:r w:rsidRPr="00513407">
        <w:rPr>
          <w:sz w:val="22"/>
          <w:szCs w:val="22"/>
        </w:rPr>
        <w:t>Actuellement le poste frais d’établissement n’est pas totalement amorti. Comme il ne s’agit pas de frais de constitution (interdisant la distribution tant qu’ils ne sont pas totalement amortis), l’entreprise peut distribuer des dividendes à condition que le montant de</w:t>
      </w:r>
      <w:r w:rsidR="00BD0254" w:rsidRPr="00513407">
        <w:rPr>
          <w:sz w:val="22"/>
          <w:szCs w:val="22"/>
        </w:rPr>
        <w:t xml:space="preserve"> se</w:t>
      </w:r>
      <w:r w:rsidRPr="00513407">
        <w:rPr>
          <w:sz w:val="22"/>
          <w:szCs w:val="22"/>
        </w:rPr>
        <w:t>s réserves libres soit au moins égal au montant des fr</w:t>
      </w:r>
      <w:r w:rsidR="006E1A55" w:rsidRPr="00513407">
        <w:rPr>
          <w:sz w:val="22"/>
          <w:szCs w:val="22"/>
        </w:rPr>
        <w:t>ais non amortis (accepter également la même analyse à partir des frais de développement non amortis).</w:t>
      </w:r>
    </w:p>
    <w:p w:rsidR="00175431" w:rsidRPr="00513407" w:rsidRDefault="00175431" w:rsidP="00513407">
      <w:pPr>
        <w:ind w:right="72"/>
        <w:jc w:val="both"/>
        <w:rPr>
          <w:b/>
          <w:sz w:val="22"/>
          <w:szCs w:val="22"/>
        </w:rPr>
      </w:pPr>
    </w:p>
    <w:p w:rsidR="00175431" w:rsidRPr="00513407" w:rsidRDefault="00F25219" w:rsidP="00294676">
      <w:pPr>
        <w:ind w:right="74"/>
        <w:jc w:val="both"/>
        <w:rPr>
          <w:b/>
          <w:bCs/>
          <w:sz w:val="22"/>
          <w:szCs w:val="22"/>
          <w:u w:val="single"/>
        </w:rPr>
      </w:pPr>
      <w:r>
        <w:rPr>
          <w:b/>
          <w:bCs/>
          <w:sz w:val="22"/>
          <w:szCs w:val="22"/>
        </w:rPr>
        <w:br w:type="page"/>
      </w:r>
      <w:r w:rsidR="00513407">
        <w:rPr>
          <w:b/>
          <w:bCs/>
          <w:sz w:val="22"/>
          <w:szCs w:val="22"/>
        </w:rPr>
        <w:lastRenderedPageBreak/>
        <w:t xml:space="preserve">2. </w:t>
      </w:r>
      <w:r w:rsidR="00175431" w:rsidRPr="00513407">
        <w:rPr>
          <w:b/>
          <w:bCs/>
          <w:sz w:val="22"/>
          <w:szCs w:val="22"/>
        </w:rPr>
        <w:t xml:space="preserve">Enregistrer dans le journal de la société l’écriture </w:t>
      </w:r>
      <w:r w:rsidR="005E57BC">
        <w:rPr>
          <w:b/>
          <w:bCs/>
          <w:sz w:val="22"/>
          <w:szCs w:val="22"/>
        </w:rPr>
        <w:t xml:space="preserve">à l’inventaire </w:t>
      </w:r>
      <w:r w:rsidR="00175431" w:rsidRPr="00513407">
        <w:rPr>
          <w:b/>
          <w:bCs/>
          <w:sz w:val="22"/>
          <w:szCs w:val="22"/>
        </w:rPr>
        <w:t>2012 concernant les frais d’augmentation de capital</w:t>
      </w:r>
      <w:r w:rsidR="00A737F5" w:rsidRPr="00513407">
        <w:rPr>
          <w:b/>
          <w:bCs/>
          <w:sz w:val="22"/>
          <w:szCs w:val="22"/>
        </w:rPr>
        <w:t>.</w:t>
      </w:r>
    </w:p>
    <w:p w:rsidR="00175431" w:rsidRPr="00294676" w:rsidRDefault="00175431" w:rsidP="00513407">
      <w:pPr>
        <w:ind w:right="72"/>
        <w:jc w:val="both"/>
        <w:rPr>
          <w:b/>
          <w:bCs/>
          <w:sz w:val="8"/>
          <w:szCs w:val="8"/>
          <w:u w:val="single"/>
        </w:rPr>
      </w:pPr>
    </w:p>
    <w:tbl>
      <w:tblPr>
        <w:tblW w:w="10570" w:type="dxa"/>
        <w:jc w:val="center"/>
        <w:tblLayout w:type="fixed"/>
        <w:tblCellMar>
          <w:left w:w="0" w:type="dxa"/>
          <w:right w:w="0" w:type="dxa"/>
        </w:tblCellMar>
        <w:tblLook w:val="0000" w:firstRow="0" w:lastRow="0" w:firstColumn="0" w:lastColumn="0" w:noHBand="0" w:noVBand="0"/>
      </w:tblPr>
      <w:tblGrid>
        <w:gridCol w:w="1317"/>
        <w:gridCol w:w="4856"/>
        <w:gridCol w:w="2194"/>
        <w:gridCol w:w="2203"/>
      </w:tblGrid>
      <w:tr w:rsidR="00E036BE" w:rsidRPr="00513407" w:rsidTr="00E73D42">
        <w:tblPrEx>
          <w:tblCellMar>
            <w:top w:w="0" w:type="dxa"/>
            <w:left w:w="0" w:type="dxa"/>
            <w:bottom w:w="0" w:type="dxa"/>
            <w:right w:w="0" w:type="dxa"/>
          </w:tblCellMar>
        </w:tblPrEx>
        <w:trPr>
          <w:trHeight w:hRule="exact" w:val="622"/>
          <w:jc w:val="center"/>
        </w:trPr>
        <w:tc>
          <w:tcPr>
            <w:tcW w:w="1317" w:type="dxa"/>
            <w:tcBorders>
              <w:top w:val="single" w:sz="2" w:space="0" w:color="auto"/>
              <w:left w:val="single" w:sz="2" w:space="0" w:color="auto"/>
              <w:bottom w:val="single" w:sz="2" w:space="0" w:color="auto"/>
              <w:right w:val="single" w:sz="2" w:space="0" w:color="auto"/>
            </w:tcBorders>
            <w:vAlign w:val="center"/>
          </w:tcPr>
          <w:p w:rsidR="00E036BE" w:rsidRPr="00513407" w:rsidRDefault="00E036BE" w:rsidP="00513407">
            <w:pPr>
              <w:jc w:val="center"/>
              <w:rPr>
                <w:b/>
                <w:bCs/>
                <w:sz w:val="22"/>
                <w:szCs w:val="22"/>
                <w:lang w:val="en-US"/>
              </w:rPr>
            </w:pPr>
            <w:r w:rsidRPr="00513407">
              <w:rPr>
                <w:b/>
                <w:bCs/>
                <w:sz w:val="22"/>
                <w:szCs w:val="22"/>
                <w:lang w:val="en-US"/>
              </w:rPr>
              <w:t>N° de</w:t>
            </w:r>
          </w:p>
          <w:p w:rsidR="00E036BE" w:rsidRPr="00513407" w:rsidRDefault="00E036BE" w:rsidP="00513407">
            <w:pPr>
              <w:jc w:val="center"/>
              <w:rPr>
                <w:b/>
                <w:bCs/>
                <w:sz w:val="22"/>
                <w:szCs w:val="22"/>
                <w:lang w:val="en-US"/>
              </w:rPr>
            </w:pPr>
            <w:r w:rsidRPr="00513407">
              <w:rPr>
                <w:b/>
                <w:bCs/>
                <w:sz w:val="22"/>
                <w:szCs w:val="22"/>
                <w:lang w:val="en-US"/>
              </w:rPr>
              <w:t>compte</w:t>
            </w:r>
          </w:p>
        </w:tc>
        <w:tc>
          <w:tcPr>
            <w:tcW w:w="4856" w:type="dxa"/>
            <w:tcBorders>
              <w:top w:val="single" w:sz="2" w:space="0" w:color="auto"/>
              <w:left w:val="single" w:sz="2" w:space="0" w:color="auto"/>
              <w:bottom w:val="single" w:sz="2" w:space="0" w:color="auto"/>
              <w:right w:val="single" w:sz="2" w:space="0" w:color="auto"/>
            </w:tcBorders>
            <w:vAlign w:val="center"/>
          </w:tcPr>
          <w:p w:rsidR="00E036BE" w:rsidRPr="00513407" w:rsidRDefault="00BD0254" w:rsidP="00513407">
            <w:pPr>
              <w:spacing w:before="108" w:after="108"/>
              <w:jc w:val="center"/>
              <w:rPr>
                <w:b/>
                <w:bCs/>
                <w:sz w:val="22"/>
                <w:szCs w:val="22"/>
                <w:lang w:val="en-US"/>
              </w:rPr>
            </w:pPr>
            <w:r w:rsidRPr="00513407">
              <w:rPr>
                <w:b/>
                <w:bCs/>
                <w:sz w:val="22"/>
                <w:szCs w:val="22"/>
                <w:lang w:val="en-US"/>
              </w:rPr>
              <w:t>31/12/2012</w:t>
            </w:r>
          </w:p>
          <w:p w:rsidR="00E036BE" w:rsidRPr="00513407" w:rsidRDefault="00E036BE" w:rsidP="00513407">
            <w:pPr>
              <w:spacing w:before="108" w:after="108"/>
              <w:ind w:left="1948"/>
              <w:jc w:val="center"/>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vAlign w:val="center"/>
          </w:tcPr>
          <w:p w:rsidR="00E036BE" w:rsidRPr="00513407" w:rsidRDefault="00E036BE" w:rsidP="00513407">
            <w:pPr>
              <w:spacing w:before="108" w:after="108"/>
              <w:jc w:val="center"/>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vAlign w:val="center"/>
          </w:tcPr>
          <w:p w:rsidR="00E036BE" w:rsidRPr="00513407" w:rsidRDefault="00E036BE" w:rsidP="00513407">
            <w:pPr>
              <w:spacing w:before="108" w:after="108"/>
              <w:jc w:val="center"/>
              <w:rPr>
                <w:b/>
                <w:bCs/>
                <w:sz w:val="22"/>
                <w:szCs w:val="22"/>
                <w:lang w:val="en-US"/>
              </w:rPr>
            </w:pPr>
            <w:r w:rsidRPr="00513407">
              <w:rPr>
                <w:b/>
                <w:bCs/>
                <w:sz w:val="22"/>
                <w:szCs w:val="22"/>
                <w:lang w:val="en-US"/>
              </w:rPr>
              <w:t>Crédit</w:t>
            </w:r>
          </w:p>
        </w:tc>
      </w:tr>
      <w:tr w:rsidR="00E036BE" w:rsidRPr="00513407" w:rsidTr="00E73D42">
        <w:tblPrEx>
          <w:tblCellMar>
            <w:top w:w="0" w:type="dxa"/>
            <w:left w:w="0" w:type="dxa"/>
            <w:bottom w:w="0" w:type="dxa"/>
            <w:right w:w="0" w:type="dxa"/>
          </w:tblCellMar>
        </w:tblPrEx>
        <w:trPr>
          <w:trHeight w:hRule="exact" w:val="254"/>
          <w:jc w:val="center"/>
        </w:trPr>
        <w:tc>
          <w:tcPr>
            <w:tcW w:w="1317" w:type="dxa"/>
            <w:tcBorders>
              <w:top w:val="single" w:sz="2" w:space="0" w:color="auto"/>
              <w:left w:val="single" w:sz="2" w:space="0" w:color="auto"/>
              <w:right w:val="single" w:sz="4" w:space="0" w:color="auto"/>
            </w:tcBorders>
            <w:vAlign w:val="center"/>
          </w:tcPr>
          <w:p w:rsidR="00E036BE" w:rsidRPr="00513407" w:rsidRDefault="00BD0254" w:rsidP="00C15D3D">
            <w:pPr>
              <w:jc w:val="center"/>
              <w:rPr>
                <w:sz w:val="22"/>
                <w:szCs w:val="22"/>
                <w:lang w:val="en-US"/>
              </w:rPr>
            </w:pPr>
            <w:r w:rsidRPr="00513407">
              <w:rPr>
                <w:sz w:val="22"/>
                <w:szCs w:val="22"/>
                <w:lang w:val="en-US"/>
              </w:rPr>
              <w:t>6811</w:t>
            </w:r>
            <w:r w:rsidR="00CB4DEE" w:rsidRPr="00513407">
              <w:rPr>
                <w:sz w:val="22"/>
                <w:szCs w:val="22"/>
                <w:lang w:val="en-US"/>
              </w:rPr>
              <w:t>1</w:t>
            </w:r>
          </w:p>
        </w:tc>
        <w:tc>
          <w:tcPr>
            <w:tcW w:w="4856" w:type="dxa"/>
            <w:tcBorders>
              <w:top w:val="single" w:sz="2" w:space="0" w:color="auto"/>
              <w:left w:val="single" w:sz="4" w:space="0" w:color="auto"/>
              <w:right w:val="single" w:sz="4" w:space="0" w:color="auto"/>
            </w:tcBorders>
            <w:vAlign w:val="center"/>
          </w:tcPr>
          <w:p w:rsidR="00E036BE" w:rsidRPr="00513407" w:rsidRDefault="00BD0254" w:rsidP="00513407">
            <w:pPr>
              <w:jc w:val="center"/>
              <w:rPr>
                <w:sz w:val="22"/>
                <w:szCs w:val="22"/>
              </w:rPr>
            </w:pPr>
            <w:r w:rsidRPr="00513407">
              <w:rPr>
                <w:sz w:val="22"/>
                <w:szCs w:val="22"/>
              </w:rPr>
              <w:t>Dotations aux amortissements</w:t>
            </w:r>
            <w:r w:rsidR="00CB4DEE" w:rsidRPr="00513407">
              <w:rPr>
                <w:sz w:val="22"/>
                <w:szCs w:val="22"/>
              </w:rPr>
              <w:t>-Immo Incorporelles</w:t>
            </w:r>
          </w:p>
        </w:tc>
        <w:tc>
          <w:tcPr>
            <w:tcW w:w="2194" w:type="dxa"/>
            <w:tcBorders>
              <w:top w:val="single" w:sz="2" w:space="0" w:color="auto"/>
              <w:left w:val="single" w:sz="4" w:space="0" w:color="auto"/>
              <w:right w:val="single" w:sz="4" w:space="0" w:color="auto"/>
            </w:tcBorders>
            <w:vAlign w:val="center"/>
          </w:tcPr>
          <w:p w:rsidR="00E036BE" w:rsidRPr="00513407" w:rsidRDefault="00BD0254" w:rsidP="00513407">
            <w:pPr>
              <w:ind w:left="720" w:right="557"/>
              <w:jc w:val="center"/>
              <w:rPr>
                <w:sz w:val="22"/>
                <w:szCs w:val="22"/>
                <w:lang w:val="en-US"/>
              </w:rPr>
            </w:pPr>
            <w:r w:rsidRPr="00513407">
              <w:rPr>
                <w:sz w:val="22"/>
                <w:szCs w:val="22"/>
                <w:lang w:val="en-US"/>
              </w:rPr>
              <w:t>1 200</w:t>
            </w:r>
            <w:r w:rsidR="00355D33" w:rsidRPr="00513407">
              <w:rPr>
                <w:sz w:val="22"/>
                <w:szCs w:val="22"/>
                <w:lang w:val="en-US"/>
              </w:rPr>
              <w:t>,</w:t>
            </w:r>
            <w:r w:rsidR="00E036BE" w:rsidRPr="00513407">
              <w:rPr>
                <w:sz w:val="22"/>
                <w:szCs w:val="22"/>
                <w:lang w:val="en-US"/>
              </w:rPr>
              <w:t>00</w:t>
            </w:r>
          </w:p>
        </w:tc>
        <w:tc>
          <w:tcPr>
            <w:tcW w:w="2203" w:type="dxa"/>
            <w:tcBorders>
              <w:top w:val="single" w:sz="2" w:space="0" w:color="auto"/>
              <w:left w:val="single" w:sz="4" w:space="0" w:color="auto"/>
              <w:right w:val="single" w:sz="2" w:space="0" w:color="auto"/>
            </w:tcBorders>
            <w:vAlign w:val="center"/>
          </w:tcPr>
          <w:p w:rsidR="00E036BE" w:rsidRPr="00513407" w:rsidRDefault="00E036BE" w:rsidP="00513407">
            <w:pPr>
              <w:ind w:left="720"/>
              <w:jc w:val="center"/>
              <w:rPr>
                <w:sz w:val="22"/>
                <w:szCs w:val="22"/>
                <w:lang w:val="en-US"/>
              </w:rPr>
            </w:pPr>
          </w:p>
        </w:tc>
      </w:tr>
      <w:tr w:rsidR="00E036BE" w:rsidRPr="00513407" w:rsidTr="00E73D42">
        <w:tblPrEx>
          <w:tblCellMar>
            <w:top w:w="0" w:type="dxa"/>
            <w:left w:w="0" w:type="dxa"/>
            <w:bottom w:w="0" w:type="dxa"/>
            <w:right w:w="0" w:type="dxa"/>
          </w:tblCellMar>
        </w:tblPrEx>
        <w:trPr>
          <w:trHeight w:hRule="exact" w:val="543"/>
          <w:jc w:val="center"/>
        </w:trPr>
        <w:tc>
          <w:tcPr>
            <w:tcW w:w="1317" w:type="dxa"/>
            <w:tcBorders>
              <w:left w:val="single" w:sz="2" w:space="0" w:color="auto"/>
              <w:right w:val="single" w:sz="4" w:space="0" w:color="auto"/>
            </w:tcBorders>
            <w:vAlign w:val="center"/>
          </w:tcPr>
          <w:p w:rsidR="00E036BE" w:rsidRPr="00513407" w:rsidRDefault="00BD0254" w:rsidP="00C15D3D">
            <w:pPr>
              <w:jc w:val="center"/>
              <w:rPr>
                <w:sz w:val="22"/>
                <w:szCs w:val="22"/>
                <w:lang w:val="en-US"/>
              </w:rPr>
            </w:pPr>
            <w:r w:rsidRPr="00513407">
              <w:rPr>
                <w:sz w:val="22"/>
                <w:szCs w:val="22"/>
                <w:lang w:val="en-US"/>
              </w:rPr>
              <w:t>28013</w:t>
            </w:r>
          </w:p>
        </w:tc>
        <w:tc>
          <w:tcPr>
            <w:tcW w:w="4856" w:type="dxa"/>
            <w:tcBorders>
              <w:left w:val="single" w:sz="4" w:space="0" w:color="auto"/>
              <w:right w:val="single" w:sz="4" w:space="0" w:color="auto"/>
            </w:tcBorders>
            <w:vAlign w:val="center"/>
          </w:tcPr>
          <w:p w:rsidR="00E036BE" w:rsidRPr="00513407" w:rsidRDefault="00C15D3D" w:rsidP="00513407">
            <w:pPr>
              <w:jc w:val="center"/>
              <w:rPr>
                <w:sz w:val="22"/>
                <w:szCs w:val="22"/>
              </w:rPr>
            </w:pPr>
            <w:r>
              <w:rPr>
                <w:sz w:val="22"/>
                <w:szCs w:val="22"/>
              </w:rPr>
              <w:t xml:space="preserve">Amt </w:t>
            </w:r>
            <w:r w:rsidR="00BD0254" w:rsidRPr="00513407">
              <w:rPr>
                <w:sz w:val="22"/>
                <w:szCs w:val="22"/>
              </w:rPr>
              <w:t>des frais d’augmentation de capital</w:t>
            </w:r>
          </w:p>
        </w:tc>
        <w:tc>
          <w:tcPr>
            <w:tcW w:w="2194" w:type="dxa"/>
            <w:tcBorders>
              <w:left w:val="single" w:sz="4" w:space="0" w:color="auto"/>
              <w:right w:val="single" w:sz="4" w:space="0" w:color="auto"/>
            </w:tcBorders>
            <w:vAlign w:val="center"/>
          </w:tcPr>
          <w:p w:rsidR="00E036BE" w:rsidRPr="00513407" w:rsidRDefault="00E036BE" w:rsidP="00513407">
            <w:pPr>
              <w:ind w:left="720"/>
              <w:jc w:val="center"/>
              <w:rPr>
                <w:sz w:val="22"/>
                <w:szCs w:val="22"/>
              </w:rPr>
            </w:pPr>
          </w:p>
        </w:tc>
        <w:tc>
          <w:tcPr>
            <w:tcW w:w="2203" w:type="dxa"/>
            <w:tcBorders>
              <w:left w:val="single" w:sz="4" w:space="0" w:color="auto"/>
              <w:right w:val="single" w:sz="2" w:space="0" w:color="auto"/>
            </w:tcBorders>
            <w:vAlign w:val="center"/>
          </w:tcPr>
          <w:p w:rsidR="00E036BE" w:rsidRPr="00513407" w:rsidRDefault="00BD0254" w:rsidP="00513407">
            <w:pPr>
              <w:ind w:left="720" w:right="620"/>
              <w:jc w:val="center"/>
              <w:rPr>
                <w:sz w:val="22"/>
                <w:szCs w:val="22"/>
                <w:lang w:val="en-US"/>
              </w:rPr>
            </w:pPr>
            <w:r w:rsidRPr="00513407">
              <w:rPr>
                <w:sz w:val="22"/>
                <w:szCs w:val="22"/>
                <w:lang w:val="en-US"/>
              </w:rPr>
              <w:t>1 200</w:t>
            </w:r>
            <w:r w:rsidR="00355D33" w:rsidRPr="00513407">
              <w:rPr>
                <w:sz w:val="22"/>
                <w:szCs w:val="22"/>
                <w:lang w:val="en-US"/>
              </w:rPr>
              <w:t>,</w:t>
            </w:r>
            <w:r w:rsidR="00E036BE" w:rsidRPr="00513407">
              <w:rPr>
                <w:sz w:val="22"/>
                <w:szCs w:val="22"/>
                <w:lang w:val="en-US"/>
              </w:rPr>
              <w:t>00</w:t>
            </w:r>
          </w:p>
        </w:tc>
      </w:tr>
      <w:tr w:rsidR="00E036BE" w:rsidRPr="00513407" w:rsidTr="00E73D42">
        <w:tblPrEx>
          <w:tblCellMar>
            <w:top w:w="0" w:type="dxa"/>
            <w:left w:w="0" w:type="dxa"/>
            <w:bottom w:w="0" w:type="dxa"/>
            <w:right w:w="0" w:type="dxa"/>
          </w:tblCellMar>
        </w:tblPrEx>
        <w:trPr>
          <w:trHeight w:hRule="exact" w:val="250"/>
          <w:jc w:val="center"/>
        </w:trPr>
        <w:tc>
          <w:tcPr>
            <w:tcW w:w="1317" w:type="dxa"/>
            <w:tcBorders>
              <w:left w:val="single" w:sz="2" w:space="0" w:color="auto"/>
              <w:right w:val="single" w:sz="4" w:space="0" w:color="auto"/>
            </w:tcBorders>
            <w:vAlign w:val="center"/>
          </w:tcPr>
          <w:p w:rsidR="00E036BE" w:rsidRPr="00513407" w:rsidRDefault="00E036BE" w:rsidP="00513407">
            <w:pPr>
              <w:ind w:left="720"/>
              <w:rPr>
                <w:sz w:val="22"/>
                <w:szCs w:val="22"/>
                <w:lang w:val="en-US"/>
              </w:rPr>
            </w:pPr>
          </w:p>
        </w:tc>
        <w:tc>
          <w:tcPr>
            <w:tcW w:w="4856" w:type="dxa"/>
            <w:tcBorders>
              <w:left w:val="single" w:sz="4" w:space="0" w:color="auto"/>
              <w:right w:val="single" w:sz="4" w:space="0" w:color="auto"/>
            </w:tcBorders>
            <w:vAlign w:val="center"/>
          </w:tcPr>
          <w:p w:rsidR="00E036BE" w:rsidRPr="00513407" w:rsidRDefault="00BD0254" w:rsidP="00513407">
            <w:pPr>
              <w:ind w:left="360"/>
              <w:jc w:val="center"/>
              <w:rPr>
                <w:sz w:val="22"/>
                <w:szCs w:val="22"/>
              </w:rPr>
            </w:pPr>
            <w:r w:rsidRPr="00513407">
              <w:rPr>
                <w:sz w:val="22"/>
                <w:szCs w:val="22"/>
              </w:rPr>
              <w:t>6</w:t>
            </w:r>
            <w:r w:rsidR="00536924">
              <w:rPr>
                <w:sz w:val="22"/>
                <w:szCs w:val="22"/>
              </w:rPr>
              <w:t> </w:t>
            </w:r>
            <w:r w:rsidRPr="00513407">
              <w:rPr>
                <w:sz w:val="22"/>
                <w:szCs w:val="22"/>
              </w:rPr>
              <w:t>000</w:t>
            </w:r>
            <w:r w:rsidR="00536924">
              <w:rPr>
                <w:sz w:val="22"/>
                <w:szCs w:val="22"/>
              </w:rPr>
              <w:t xml:space="preserve"> €</w:t>
            </w:r>
            <w:r w:rsidRPr="00513407">
              <w:rPr>
                <w:sz w:val="22"/>
                <w:szCs w:val="22"/>
              </w:rPr>
              <w:t xml:space="preserve"> /5</w:t>
            </w:r>
            <w:r w:rsidR="00693235">
              <w:rPr>
                <w:sz w:val="22"/>
                <w:szCs w:val="22"/>
              </w:rPr>
              <w:t xml:space="preserve"> </w:t>
            </w:r>
            <w:r w:rsidR="00536924">
              <w:rPr>
                <w:sz w:val="22"/>
                <w:szCs w:val="22"/>
              </w:rPr>
              <w:t xml:space="preserve">ans </w:t>
            </w:r>
            <w:r w:rsidR="00693235">
              <w:rPr>
                <w:sz w:val="22"/>
                <w:szCs w:val="22"/>
              </w:rPr>
              <w:t>(sans prorata)</w:t>
            </w:r>
          </w:p>
          <w:p w:rsidR="00E036BE" w:rsidRPr="00513407" w:rsidRDefault="00E036BE" w:rsidP="00513407">
            <w:pPr>
              <w:jc w:val="center"/>
              <w:rPr>
                <w:sz w:val="22"/>
                <w:szCs w:val="22"/>
              </w:rPr>
            </w:pPr>
          </w:p>
        </w:tc>
        <w:tc>
          <w:tcPr>
            <w:tcW w:w="2194" w:type="dxa"/>
            <w:tcBorders>
              <w:left w:val="single" w:sz="4" w:space="0" w:color="auto"/>
              <w:right w:val="single" w:sz="4" w:space="0" w:color="auto"/>
            </w:tcBorders>
            <w:vAlign w:val="center"/>
          </w:tcPr>
          <w:p w:rsidR="00E036BE" w:rsidRPr="00513407" w:rsidRDefault="00E036BE" w:rsidP="00513407">
            <w:pPr>
              <w:ind w:left="720"/>
              <w:jc w:val="center"/>
              <w:rPr>
                <w:sz w:val="22"/>
                <w:szCs w:val="22"/>
              </w:rPr>
            </w:pPr>
          </w:p>
        </w:tc>
        <w:tc>
          <w:tcPr>
            <w:tcW w:w="2203" w:type="dxa"/>
            <w:tcBorders>
              <w:left w:val="single" w:sz="4" w:space="0" w:color="auto"/>
              <w:right w:val="single" w:sz="2" w:space="0" w:color="auto"/>
            </w:tcBorders>
            <w:vAlign w:val="center"/>
          </w:tcPr>
          <w:p w:rsidR="00E036BE" w:rsidRPr="00513407" w:rsidRDefault="00E036BE" w:rsidP="00513407">
            <w:pPr>
              <w:ind w:left="720" w:right="620"/>
              <w:jc w:val="center"/>
              <w:rPr>
                <w:sz w:val="22"/>
                <w:szCs w:val="22"/>
              </w:rPr>
            </w:pPr>
          </w:p>
        </w:tc>
      </w:tr>
      <w:tr w:rsidR="00E036BE" w:rsidRPr="00513407" w:rsidTr="00E73D42">
        <w:tblPrEx>
          <w:tblCellMar>
            <w:top w:w="0" w:type="dxa"/>
            <w:left w:w="0" w:type="dxa"/>
            <w:bottom w:w="0" w:type="dxa"/>
            <w:right w:w="0" w:type="dxa"/>
          </w:tblCellMar>
        </w:tblPrEx>
        <w:trPr>
          <w:trHeight w:hRule="exact" w:val="243"/>
          <w:jc w:val="center"/>
        </w:trPr>
        <w:tc>
          <w:tcPr>
            <w:tcW w:w="1317" w:type="dxa"/>
            <w:tcBorders>
              <w:left w:val="single" w:sz="2" w:space="0" w:color="auto"/>
              <w:bottom w:val="single" w:sz="4" w:space="0" w:color="auto"/>
              <w:right w:val="single" w:sz="4" w:space="0" w:color="auto"/>
            </w:tcBorders>
            <w:vAlign w:val="center"/>
          </w:tcPr>
          <w:p w:rsidR="00E036BE" w:rsidRPr="00513407" w:rsidRDefault="00E036BE" w:rsidP="00513407">
            <w:pPr>
              <w:ind w:left="720"/>
              <w:rPr>
                <w:sz w:val="22"/>
                <w:szCs w:val="22"/>
              </w:rPr>
            </w:pPr>
          </w:p>
        </w:tc>
        <w:tc>
          <w:tcPr>
            <w:tcW w:w="4856" w:type="dxa"/>
            <w:tcBorders>
              <w:left w:val="single" w:sz="4" w:space="0" w:color="auto"/>
              <w:bottom w:val="single" w:sz="4" w:space="0" w:color="auto"/>
              <w:right w:val="single" w:sz="4" w:space="0" w:color="auto"/>
            </w:tcBorders>
            <w:vAlign w:val="center"/>
          </w:tcPr>
          <w:p w:rsidR="00E036BE" w:rsidRPr="00513407" w:rsidRDefault="00BD0254" w:rsidP="0013140D">
            <w:pPr>
              <w:jc w:val="center"/>
              <w:rPr>
                <w:b/>
                <w:sz w:val="20"/>
                <w:szCs w:val="20"/>
              </w:rPr>
            </w:pPr>
            <w:r w:rsidRPr="00513407">
              <w:rPr>
                <w:b/>
                <w:sz w:val="20"/>
                <w:szCs w:val="20"/>
              </w:rPr>
              <w:t>Amortissem</w:t>
            </w:r>
            <w:r w:rsidR="00513407" w:rsidRPr="00513407">
              <w:rPr>
                <w:b/>
                <w:sz w:val="20"/>
                <w:szCs w:val="20"/>
              </w:rPr>
              <w:t xml:space="preserve">ent des frais d’augmentation de </w:t>
            </w:r>
            <w:r w:rsidRPr="00513407">
              <w:rPr>
                <w:b/>
                <w:sz w:val="20"/>
                <w:szCs w:val="20"/>
              </w:rPr>
              <w:t>capital</w:t>
            </w:r>
          </w:p>
        </w:tc>
        <w:tc>
          <w:tcPr>
            <w:tcW w:w="2194" w:type="dxa"/>
            <w:tcBorders>
              <w:left w:val="single" w:sz="4" w:space="0" w:color="auto"/>
              <w:bottom w:val="single" w:sz="4" w:space="0" w:color="auto"/>
              <w:right w:val="single" w:sz="4" w:space="0" w:color="auto"/>
            </w:tcBorders>
            <w:vAlign w:val="center"/>
          </w:tcPr>
          <w:p w:rsidR="00E036BE" w:rsidRPr="00513407" w:rsidRDefault="00E036BE" w:rsidP="00513407">
            <w:pPr>
              <w:ind w:left="720"/>
              <w:jc w:val="center"/>
              <w:rPr>
                <w:sz w:val="22"/>
                <w:szCs w:val="22"/>
              </w:rPr>
            </w:pPr>
          </w:p>
        </w:tc>
        <w:tc>
          <w:tcPr>
            <w:tcW w:w="2203" w:type="dxa"/>
            <w:tcBorders>
              <w:left w:val="single" w:sz="4" w:space="0" w:color="auto"/>
              <w:bottom w:val="single" w:sz="4" w:space="0" w:color="auto"/>
              <w:right w:val="single" w:sz="2" w:space="0" w:color="auto"/>
            </w:tcBorders>
            <w:vAlign w:val="center"/>
          </w:tcPr>
          <w:p w:rsidR="00E036BE" w:rsidRPr="00513407" w:rsidRDefault="00E036BE" w:rsidP="00513407">
            <w:pPr>
              <w:ind w:left="720" w:right="620"/>
              <w:jc w:val="center"/>
              <w:rPr>
                <w:sz w:val="22"/>
                <w:szCs w:val="22"/>
              </w:rPr>
            </w:pPr>
          </w:p>
        </w:tc>
      </w:tr>
    </w:tbl>
    <w:p w:rsidR="00E036BE" w:rsidRPr="00513407" w:rsidRDefault="00E036BE" w:rsidP="00175431">
      <w:pPr>
        <w:ind w:left="504" w:right="72"/>
        <w:jc w:val="both"/>
        <w:rPr>
          <w:b/>
          <w:bCs/>
          <w:sz w:val="22"/>
          <w:szCs w:val="22"/>
          <w:u w:val="single"/>
        </w:rPr>
      </w:pPr>
    </w:p>
    <w:p w:rsidR="00175431" w:rsidRPr="00513407" w:rsidRDefault="00E50F47" w:rsidP="00E50F47">
      <w:pPr>
        <w:ind w:right="72"/>
        <w:jc w:val="both"/>
        <w:rPr>
          <w:b/>
          <w:bCs/>
          <w:sz w:val="22"/>
          <w:szCs w:val="22"/>
        </w:rPr>
      </w:pPr>
      <w:r>
        <w:rPr>
          <w:b/>
          <w:bCs/>
          <w:sz w:val="22"/>
          <w:szCs w:val="22"/>
        </w:rPr>
        <w:t xml:space="preserve">3. </w:t>
      </w:r>
      <w:r w:rsidR="00175431" w:rsidRPr="00513407">
        <w:rPr>
          <w:b/>
          <w:bCs/>
          <w:sz w:val="22"/>
          <w:szCs w:val="22"/>
        </w:rPr>
        <w:t xml:space="preserve">Indiquer quelle est la méthode préférentielle quant au traitement comptable des frais d’augmentation de capital. En supposant que l’entreprise </w:t>
      </w:r>
      <w:r w:rsidR="001D57B5">
        <w:rPr>
          <w:b/>
          <w:bCs/>
          <w:sz w:val="22"/>
          <w:szCs w:val="22"/>
        </w:rPr>
        <w:t xml:space="preserve">SPPR </w:t>
      </w:r>
      <w:r w:rsidR="00175431" w:rsidRPr="00513407">
        <w:rPr>
          <w:b/>
          <w:bCs/>
          <w:sz w:val="22"/>
          <w:szCs w:val="22"/>
        </w:rPr>
        <w:t>souhaite désormais appliquer cette méthode préférentielle, qualifie</w:t>
      </w:r>
      <w:r w:rsidR="006E6247" w:rsidRPr="00513407">
        <w:rPr>
          <w:b/>
          <w:bCs/>
          <w:sz w:val="22"/>
          <w:szCs w:val="22"/>
        </w:rPr>
        <w:t>r</w:t>
      </w:r>
      <w:r w:rsidR="00175431" w:rsidRPr="00513407">
        <w:rPr>
          <w:b/>
          <w:bCs/>
          <w:sz w:val="22"/>
          <w:szCs w:val="22"/>
        </w:rPr>
        <w:t xml:space="preserve"> </w:t>
      </w:r>
      <w:r w:rsidR="00A737F5" w:rsidRPr="00513407">
        <w:rPr>
          <w:b/>
          <w:bCs/>
          <w:sz w:val="22"/>
          <w:szCs w:val="22"/>
        </w:rPr>
        <w:t xml:space="preserve">le </w:t>
      </w:r>
      <w:r w:rsidR="00175431" w:rsidRPr="00513407">
        <w:rPr>
          <w:b/>
          <w:bCs/>
          <w:sz w:val="22"/>
          <w:szCs w:val="22"/>
        </w:rPr>
        <w:t xml:space="preserve"> type de changement comptable </w:t>
      </w:r>
      <w:r w:rsidR="00A737F5" w:rsidRPr="00513407">
        <w:rPr>
          <w:b/>
          <w:bCs/>
          <w:sz w:val="22"/>
          <w:szCs w:val="22"/>
        </w:rPr>
        <w:t xml:space="preserve">dont </w:t>
      </w:r>
      <w:r w:rsidR="00175431" w:rsidRPr="00513407">
        <w:rPr>
          <w:b/>
          <w:bCs/>
          <w:sz w:val="22"/>
          <w:szCs w:val="22"/>
        </w:rPr>
        <w:t>il s’agit et indiquer quelles sont les deux causes qui justifient un changement de ce type (aucune écriture n’est demandée).</w:t>
      </w:r>
    </w:p>
    <w:p w:rsidR="0090290F" w:rsidRDefault="0090290F" w:rsidP="00E50F47">
      <w:pPr>
        <w:ind w:right="72"/>
        <w:jc w:val="both"/>
        <w:rPr>
          <w:bCs/>
          <w:sz w:val="22"/>
          <w:szCs w:val="22"/>
        </w:rPr>
      </w:pPr>
    </w:p>
    <w:p w:rsidR="00BD0254" w:rsidRPr="00513407" w:rsidRDefault="00BD0254" w:rsidP="00E50F47">
      <w:pPr>
        <w:ind w:right="72"/>
        <w:jc w:val="both"/>
        <w:rPr>
          <w:bCs/>
          <w:sz w:val="22"/>
          <w:szCs w:val="22"/>
        </w:rPr>
      </w:pPr>
      <w:r w:rsidRPr="00513407">
        <w:rPr>
          <w:bCs/>
          <w:sz w:val="22"/>
          <w:szCs w:val="22"/>
        </w:rPr>
        <w:t>Concernant ces frais, la méthode préférentielle consiste en</w:t>
      </w:r>
      <w:r w:rsidRPr="00513407">
        <w:rPr>
          <w:b/>
          <w:bCs/>
          <w:sz w:val="22"/>
          <w:szCs w:val="22"/>
        </w:rPr>
        <w:t xml:space="preserve"> l’imputation de ces frais sur la prime d’émission</w:t>
      </w:r>
      <w:r w:rsidRPr="00513407">
        <w:rPr>
          <w:bCs/>
          <w:sz w:val="22"/>
          <w:szCs w:val="22"/>
        </w:rPr>
        <w:t xml:space="preserve"> (l’éventuel reliquat en charge).</w:t>
      </w:r>
    </w:p>
    <w:p w:rsidR="0090290F" w:rsidRDefault="0090290F" w:rsidP="00E50F47">
      <w:pPr>
        <w:ind w:right="72"/>
        <w:jc w:val="both"/>
        <w:rPr>
          <w:bCs/>
          <w:sz w:val="22"/>
          <w:szCs w:val="22"/>
        </w:rPr>
      </w:pPr>
    </w:p>
    <w:p w:rsidR="00BD0254" w:rsidRPr="00513407" w:rsidRDefault="00BD0254" w:rsidP="00E50F47">
      <w:pPr>
        <w:ind w:right="72"/>
        <w:jc w:val="both"/>
        <w:rPr>
          <w:bCs/>
          <w:sz w:val="22"/>
          <w:szCs w:val="22"/>
        </w:rPr>
      </w:pPr>
      <w:r w:rsidRPr="00513407">
        <w:rPr>
          <w:bCs/>
          <w:sz w:val="22"/>
          <w:szCs w:val="22"/>
        </w:rPr>
        <w:t xml:space="preserve">Ce changement comptable à l’initiative de l’entreprise est un </w:t>
      </w:r>
      <w:r w:rsidRPr="00513407">
        <w:rPr>
          <w:b/>
          <w:bCs/>
          <w:sz w:val="22"/>
          <w:szCs w:val="22"/>
        </w:rPr>
        <w:t>changement de méthodes comptables stricto sensu</w:t>
      </w:r>
      <w:r w:rsidRPr="00513407">
        <w:rPr>
          <w:bCs/>
          <w:sz w:val="22"/>
          <w:szCs w:val="22"/>
        </w:rPr>
        <w:t>.</w:t>
      </w:r>
    </w:p>
    <w:p w:rsidR="00BD0254" w:rsidRPr="00513407" w:rsidRDefault="00BD0254" w:rsidP="00F11738">
      <w:pPr>
        <w:spacing w:after="80"/>
        <w:ind w:right="74"/>
        <w:jc w:val="both"/>
        <w:rPr>
          <w:bCs/>
          <w:sz w:val="22"/>
          <w:szCs w:val="22"/>
        </w:rPr>
      </w:pPr>
      <w:r w:rsidRPr="00513407">
        <w:rPr>
          <w:bCs/>
          <w:sz w:val="22"/>
          <w:szCs w:val="22"/>
        </w:rPr>
        <w:t xml:space="preserve">Deux raisons </w:t>
      </w:r>
      <w:r w:rsidR="009570F3" w:rsidRPr="00513407">
        <w:rPr>
          <w:bCs/>
          <w:sz w:val="22"/>
          <w:szCs w:val="22"/>
        </w:rPr>
        <w:t xml:space="preserve">peuvent être à l’origine de ce changement : </w:t>
      </w:r>
    </w:p>
    <w:p w:rsidR="009570F3" w:rsidRPr="00513407" w:rsidRDefault="009570F3" w:rsidP="00E11745">
      <w:pPr>
        <w:numPr>
          <w:ilvl w:val="0"/>
          <w:numId w:val="2"/>
        </w:numPr>
        <w:ind w:right="72"/>
        <w:jc w:val="both"/>
        <w:rPr>
          <w:bCs/>
          <w:sz w:val="22"/>
          <w:szCs w:val="22"/>
        </w:rPr>
      </w:pPr>
      <w:r w:rsidRPr="00513407">
        <w:rPr>
          <w:bCs/>
          <w:sz w:val="22"/>
          <w:szCs w:val="22"/>
        </w:rPr>
        <w:t xml:space="preserve">un </w:t>
      </w:r>
      <w:r w:rsidRPr="00513407">
        <w:rPr>
          <w:b/>
          <w:bCs/>
          <w:sz w:val="22"/>
          <w:szCs w:val="22"/>
        </w:rPr>
        <w:t>changement exceptionnel est intervenu dans la situation</w:t>
      </w:r>
      <w:r w:rsidR="00E50F47">
        <w:rPr>
          <w:bCs/>
          <w:sz w:val="22"/>
          <w:szCs w:val="22"/>
        </w:rPr>
        <w:t xml:space="preserve"> de l’entreprise </w:t>
      </w:r>
      <w:r w:rsidR="00BC43BF">
        <w:rPr>
          <w:bCs/>
          <w:sz w:val="22"/>
          <w:szCs w:val="22"/>
        </w:rPr>
        <w:t xml:space="preserve"> et  la recherche d’une meilleure information </w:t>
      </w:r>
      <w:r w:rsidR="00E50F47">
        <w:rPr>
          <w:bCs/>
          <w:sz w:val="22"/>
          <w:szCs w:val="22"/>
        </w:rPr>
        <w:t>;</w:t>
      </w:r>
    </w:p>
    <w:p w:rsidR="009570F3" w:rsidRPr="003A4691" w:rsidRDefault="009570F3" w:rsidP="00E11745">
      <w:pPr>
        <w:numPr>
          <w:ilvl w:val="0"/>
          <w:numId w:val="2"/>
        </w:numPr>
        <w:ind w:right="72"/>
        <w:jc w:val="both"/>
        <w:rPr>
          <w:b/>
          <w:bCs/>
          <w:sz w:val="22"/>
          <w:szCs w:val="22"/>
        </w:rPr>
      </w:pPr>
      <w:r w:rsidRPr="00513407">
        <w:rPr>
          <w:bCs/>
          <w:sz w:val="22"/>
          <w:szCs w:val="22"/>
        </w:rPr>
        <w:t xml:space="preserve">l’entreprise </w:t>
      </w:r>
      <w:r w:rsidRPr="00513407">
        <w:rPr>
          <w:b/>
          <w:bCs/>
          <w:sz w:val="22"/>
          <w:szCs w:val="22"/>
        </w:rPr>
        <w:t>recherche une meilleure information</w:t>
      </w:r>
      <w:r w:rsidR="003A4691">
        <w:rPr>
          <w:bCs/>
          <w:sz w:val="22"/>
          <w:szCs w:val="22"/>
        </w:rPr>
        <w:t xml:space="preserve"> par l’</w:t>
      </w:r>
      <w:r w:rsidRPr="00513407">
        <w:rPr>
          <w:bCs/>
          <w:sz w:val="22"/>
          <w:szCs w:val="22"/>
        </w:rPr>
        <w:t xml:space="preserve">application </w:t>
      </w:r>
      <w:r w:rsidR="003A4691">
        <w:rPr>
          <w:b/>
          <w:bCs/>
          <w:sz w:val="22"/>
          <w:szCs w:val="22"/>
        </w:rPr>
        <w:t>d’une méthode préférentielle</w:t>
      </w:r>
      <w:r w:rsidRPr="003A4691">
        <w:rPr>
          <w:b/>
          <w:bCs/>
          <w:sz w:val="22"/>
          <w:szCs w:val="22"/>
        </w:rPr>
        <w:t xml:space="preserve">. </w:t>
      </w:r>
    </w:p>
    <w:p w:rsidR="00BD0254" w:rsidRPr="00513407" w:rsidRDefault="00BD0254" w:rsidP="00E50F47">
      <w:pPr>
        <w:ind w:right="72"/>
        <w:jc w:val="both"/>
        <w:rPr>
          <w:bCs/>
          <w:sz w:val="22"/>
          <w:szCs w:val="22"/>
        </w:rPr>
      </w:pPr>
    </w:p>
    <w:p w:rsidR="009570F3" w:rsidRPr="00513407" w:rsidRDefault="00E50F47" w:rsidP="00E50F47">
      <w:pPr>
        <w:spacing w:line="252" w:lineRule="exact"/>
        <w:ind w:right="72"/>
        <w:jc w:val="both"/>
        <w:rPr>
          <w:b/>
          <w:sz w:val="22"/>
          <w:szCs w:val="22"/>
        </w:rPr>
      </w:pPr>
      <w:r>
        <w:rPr>
          <w:b/>
          <w:bCs/>
          <w:sz w:val="22"/>
          <w:szCs w:val="22"/>
        </w:rPr>
        <w:t xml:space="preserve">4. </w:t>
      </w:r>
      <w:r w:rsidR="009570F3" w:rsidRPr="00513407">
        <w:rPr>
          <w:b/>
          <w:bCs/>
          <w:sz w:val="22"/>
          <w:szCs w:val="22"/>
        </w:rPr>
        <w:t xml:space="preserve">Rappeler les conditions </w:t>
      </w:r>
      <w:r w:rsidR="00A737F5" w:rsidRPr="00513407">
        <w:rPr>
          <w:b/>
          <w:bCs/>
          <w:sz w:val="22"/>
          <w:szCs w:val="22"/>
        </w:rPr>
        <w:t xml:space="preserve">nécessaires </w:t>
      </w:r>
      <w:r w:rsidR="009570F3" w:rsidRPr="00513407">
        <w:rPr>
          <w:b/>
          <w:bCs/>
          <w:sz w:val="22"/>
          <w:szCs w:val="22"/>
        </w:rPr>
        <w:t xml:space="preserve">pour que les coûts de développement d'un projet puissent être inscrits à l'actif. </w:t>
      </w:r>
    </w:p>
    <w:p w:rsidR="0090290F" w:rsidRDefault="0090290F" w:rsidP="00E50F47">
      <w:pPr>
        <w:ind w:right="74"/>
        <w:jc w:val="both"/>
        <w:rPr>
          <w:bCs/>
          <w:sz w:val="22"/>
          <w:szCs w:val="22"/>
        </w:rPr>
      </w:pPr>
    </w:p>
    <w:p w:rsidR="009570F3" w:rsidRPr="00F11738" w:rsidRDefault="009570F3" w:rsidP="00E50F47">
      <w:pPr>
        <w:ind w:right="74"/>
        <w:jc w:val="both"/>
        <w:rPr>
          <w:bCs/>
          <w:sz w:val="22"/>
          <w:szCs w:val="22"/>
        </w:rPr>
      </w:pPr>
      <w:r w:rsidRPr="00F11738">
        <w:rPr>
          <w:bCs/>
          <w:sz w:val="22"/>
          <w:szCs w:val="22"/>
        </w:rPr>
        <w:t>D’après l’article 311-3-2 du PCG</w:t>
      </w:r>
    </w:p>
    <w:p w:rsidR="009570F3" w:rsidRPr="00513407" w:rsidRDefault="009570F3" w:rsidP="00F11738">
      <w:pPr>
        <w:pStyle w:val="NormalWeb"/>
        <w:spacing w:before="0" w:beforeAutospacing="0" w:after="80" w:afterAutospacing="0"/>
        <w:jc w:val="both"/>
        <w:rPr>
          <w:sz w:val="22"/>
          <w:szCs w:val="22"/>
        </w:rPr>
      </w:pPr>
      <w:r w:rsidRPr="00513407">
        <w:rPr>
          <w:sz w:val="22"/>
          <w:szCs w:val="22"/>
        </w:rPr>
        <w:t xml:space="preserve">Les coûts de développement peuvent être comptabilisés à l’actif s’ils se rapportent à des </w:t>
      </w:r>
      <w:r w:rsidRPr="00513407">
        <w:rPr>
          <w:b/>
          <w:sz w:val="22"/>
          <w:szCs w:val="22"/>
        </w:rPr>
        <w:t>projets nettement individualisés</w:t>
      </w:r>
      <w:r w:rsidRPr="00513407">
        <w:rPr>
          <w:sz w:val="22"/>
          <w:szCs w:val="22"/>
        </w:rPr>
        <w:t xml:space="preserve">, ayant de </w:t>
      </w:r>
      <w:r w:rsidRPr="00513407">
        <w:rPr>
          <w:b/>
          <w:sz w:val="22"/>
          <w:szCs w:val="22"/>
        </w:rPr>
        <w:t>sérieuses chances de réussite technique et de rentabilité commerciale</w:t>
      </w:r>
      <w:r w:rsidRPr="00513407">
        <w:rPr>
          <w:sz w:val="22"/>
          <w:szCs w:val="22"/>
        </w:rPr>
        <w:t xml:space="preserve">. </w:t>
      </w:r>
    </w:p>
    <w:p w:rsidR="00175431" w:rsidRDefault="006C5C83" w:rsidP="0090290F">
      <w:pPr>
        <w:pStyle w:val="NormalWeb"/>
        <w:spacing w:before="0" w:beforeAutospacing="0"/>
        <w:ind w:left="284" w:hanging="284"/>
        <w:jc w:val="both"/>
        <w:rPr>
          <w:b/>
          <w:sz w:val="22"/>
          <w:szCs w:val="22"/>
        </w:rPr>
      </w:pPr>
      <w:r w:rsidRPr="00513407">
        <w:rPr>
          <w:sz w:val="22"/>
          <w:szCs w:val="22"/>
        </w:rPr>
        <w:br w:type="page"/>
      </w:r>
      <w:r w:rsidR="00E50F47">
        <w:rPr>
          <w:b/>
          <w:sz w:val="22"/>
          <w:szCs w:val="22"/>
        </w:rPr>
        <w:lastRenderedPageBreak/>
        <w:t xml:space="preserve">5. </w:t>
      </w:r>
      <w:r w:rsidR="00175431" w:rsidRPr="00513407">
        <w:rPr>
          <w:b/>
          <w:sz w:val="22"/>
          <w:szCs w:val="22"/>
        </w:rPr>
        <w:t>Comptabiliser toutes les écritures liées à ce projet du 30/06/2012 au 31/12/2012 (les écritures de comptabilisation en charges de l’ensemble des frais de recherche et développement ont été correctement enregistrées).</w:t>
      </w:r>
    </w:p>
    <w:p w:rsidR="00322DAD" w:rsidRDefault="00322DAD" w:rsidP="00E50F47">
      <w:pPr>
        <w:jc w:val="both"/>
        <w:rPr>
          <w:b/>
          <w:sz w:val="22"/>
          <w:szCs w:val="22"/>
        </w:rPr>
      </w:pPr>
    </w:p>
    <w:p w:rsidR="00322DAD" w:rsidRDefault="00322DAD" w:rsidP="00E50F47">
      <w:pPr>
        <w:jc w:val="both"/>
        <w:rPr>
          <w:sz w:val="22"/>
          <w:szCs w:val="22"/>
        </w:rPr>
      </w:pPr>
      <w:r>
        <w:rPr>
          <w:sz w:val="22"/>
          <w:szCs w:val="22"/>
        </w:rPr>
        <w:t>D’après la méthode préférentielle, les frais de développement sont activés si les conditions détaillées à la réponse 4 sont réunies : inscription en compte 203.</w:t>
      </w:r>
    </w:p>
    <w:p w:rsidR="00EA43BB" w:rsidRDefault="00EA43BB" w:rsidP="00EA43BB">
      <w:pPr>
        <w:jc w:val="both"/>
        <w:rPr>
          <w:sz w:val="22"/>
          <w:szCs w:val="22"/>
        </w:rPr>
      </w:pPr>
      <w:r>
        <w:rPr>
          <w:sz w:val="22"/>
          <w:szCs w:val="22"/>
        </w:rPr>
        <w:t>Les frais de recherche sont inscrits obligatoirement en charges</w:t>
      </w:r>
      <w:r w:rsidR="00C177B3">
        <w:rPr>
          <w:sz w:val="22"/>
          <w:szCs w:val="22"/>
        </w:rPr>
        <w:t xml:space="preserve"> (157</w:t>
      </w:r>
      <w:r>
        <w:rPr>
          <w:sz w:val="22"/>
          <w:szCs w:val="22"/>
        </w:rPr>
        <w:t> 000 €).</w:t>
      </w:r>
    </w:p>
    <w:p w:rsidR="00EA43BB" w:rsidRDefault="00EA43BB" w:rsidP="00E50F47">
      <w:pPr>
        <w:jc w:val="both"/>
        <w:rPr>
          <w:sz w:val="22"/>
          <w:szCs w:val="22"/>
        </w:rPr>
      </w:pPr>
    </w:p>
    <w:p w:rsidR="00EA43BB" w:rsidRPr="00A61A2E" w:rsidRDefault="00EA43BB" w:rsidP="00E50F47">
      <w:pPr>
        <w:jc w:val="both"/>
        <w:rPr>
          <w:sz w:val="22"/>
          <w:szCs w:val="22"/>
        </w:rPr>
      </w:pPr>
      <w:r>
        <w:rPr>
          <w:sz w:val="22"/>
          <w:szCs w:val="22"/>
        </w:rPr>
        <w:t xml:space="preserve">Les amortissements dérogatoires (6 600 €) ne sont pas des charges d’exploitation et sont exclus du montant inscrit en immobilisation : </w:t>
      </w:r>
      <w:r w:rsidR="00A61A2E">
        <w:rPr>
          <w:sz w:val="22"/>
          <w:szCs w:val="22"/>
        </w:rPr>
        <w:t xml:space="preserve">243 000 - 6 600 = </w:t>
      </w:r>
      <w:r w:rsidR="00A61A2E" w:rsidRPr="00A61A2E">
        <w:rPr>
          <w:sz w:val="22"/>
          <w:szCs w:val="22"/>
        </w:rPr>
        <w:t>236</w:t>
      </w:r>
      <w:r w:rsidR="00A61A2E">
        <w:rPr>
          <w:sz w:val="22"/>
          <w:szCs w:val="22"/>
        </w:rPr>
        <w:t> </w:t>
      </w:r>
      <w:r w:rsidR="00A61A2E" w:rsidRPr="00A61A2E">
        <w:rPr>
          <w:sz w:val="22"/>
          <w:szCs w:val="22"/>
        </w:rPr>
        <w:t>400</w:t>
      </w:r>
      <w:r w:rsidR="00A61A2E">
        <w:rPr>
          <w:sz w:val="22"/>
          <w:szCs w:val="22"/>
        </w:rPr>
        <w:t xml:space="preserve"> €</w:t>
      </w:r>
    </w:p>
    <w:p w:rsidR="00EA43BB" w:rsidRPr="00322DAD" w:rsidRDefault="00EA43BB" w:rsidP="00E50F47">
      <w:pPr>
        <w:jc w:val="both"/>
        <w:rPr>
          <w:sz w:val="22"/>
          <w:szCs w:val="22"/>
        </w:rPr>
      </w:pPr>
    </w:p>
    <w:p w:rsidR="009570F3" w:rsidRPr="00513407" w:rsidRDefault="009570F3" w:rsidP="009570F3">
      <w:pPr>
        <w:jc w:val="both"/>
        <w:rPr>
          <w:b/>
          <w:sz w:val="22"/>
          <w:szCs w:val="22"/>
        </w:rPr>
      </w:pP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9570F3"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ind w:left="226"/>
              <w:rPr>
                <w:b/>
                <w:bCs/>
                <w:sz w:val="22"/>
                <w:szCs w:val="22"/>
                <w:lang w:val="en-US"/>
              </w:rPr>
            </w:pPr>
            <w:r w:rsidRPr="00513407">
              <w:rPr>
                <w:b/>
                <w:bCs/>
                <w:sz w:val="22"/>
                <w:szCs w:val="22"/>
                <w:lang w:val="en-US"/>
              </w:rPr>
              <w:t>N° de</w:t>
            </w:r>
          </w:p>
          <w:p w:rsidR="009570F3" w:rsidRPr="00513407" w:rsidRDefault="009570F3"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spacing w:before="108" w:after="108"/>
              <w:ind w:left="1948"/>
              <w:rPr>
                <w:b/>
                <w:bCs/>
                <w:sz w:val="22"/>
                <w:szCs w:val="22"/>
                <w:lang w:val="en-US"/>
              </w:rPr>
            </w:pPr>
            <w:r w:rsidRPr="00513407">
              <w:rPr>
                <w:b/>
                <w:bCs/>
                <w:sz w:val="22"/>
                <w:szCs w:val="22"/>
                <w:lang w:val="en-US"/>
              </w:rPr>
              <w:t>30/06/2012</w:t>
            </w:r>
          </w:p>
          <w:p w:rsidR="009570F3" w:rsidRPr="00513407" w:rsidRDefault="009570F3"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spacing w:before="108" w:after="108"/>
              <w:ind w:left="748"/>
              <w:rPr>
                <w:b/>
                <w:bCs/>
                <w:sz w:val="22"/>
                <w:szCs w:val="22"/>
                <w:lang w:val="en-US"/>
              </w:rPr>
            </w:pPr>
            <w:r w:rsidRPr="00513407">
              <w:rPr>
                <w:b/>
                <w:bCs/>
                <w:sz w:val="22"/>
                <w:szCs w:val="22"/>
                <w:lang w:val="en-US"/>
              </w:rPr>
              <w:t>Crédit</w:t>
            </w:r>
          </w:p>
        </w:tc>
      </w:tr>
      <w:tr w:rsidR="009570F3" w:rsidRPr="00513407" w:rsidTr="00072C20">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9570F3" w:rsidRPr="00513407" w:rsidRDefault="009570F3" w:rsidP="00C15D3D">
            <w:pPr>
              <w:ind w:left="62"/>
              <w:jc w:val="center"/>
              <w:rPr>
                <w:sz w:val="22"/>
                <w:szCs w:val="22"/>
                <w:lang w:val="en-US"/>
              </w:rPr>
            </w:pPr>
            <w:r w:rsidRPr="00513407">
              <w:rPr>
                <w:sz w:val="22"/>
                <w:szCs w:val="22"/>
                <w:lang w:val="en-US"/>
              </w:rPr>
              <w:t>203</w:t>
            </w:r>
          </w:p>
        </w:tc>
        <w:tc>
          <w:tcPr>
            <w:tcW w:w="5102" w:type="dxa"/>
            <w:tcBorders>
              <w:top w:val="single" w:sz="2" w:space="0" w:color="auto"/>
              <w:left w:val="single" w:sz="2" w:space="0" w:color="auto"/>
              <w:bottom w:val="nil"/>
              <w:right w:val="single" w:sz="2" w:space="0" w:color="auto"/>
            </w:tcBorders>
          </w:tcPr>
          <w:p w:rsidR="009570F3" w:rsidRPr="00513407" w:rsidRDefault="009570F3" w:rsidP="00072C20">
            <w:pPr>
              <w:rPr>
                <w:sz w:val="22"/>
                <w:szCs w:val="22"/>
              </w:rPr>
            </w:pPr>
            <w:r w:rsidRPr="00513407">
              <w:rPr>
                <w:sz w:val="22"/>
                <w:szCs w:val="22"/>
              </w:rPr>
              <w:t>Frais de recherche et développement</w:t>
            </w:r>
          </w:p>
        </w:tc>
        <w:tc>
          <w:tcPr>
            <w:tcW w:w="2194" w:type="dxa"/>
            <w:tcBorders>
              <w:top w:val="single" w:sz="2" w:space="0" w:color="auto"/>
              <w:left w:val="single" w:sz="2" w:space="0" w:color="auto"/>
              <w:bottom w:val="nil"/>
              <w:right w:val="single" w:sz="2" w:space="0" w:color="auto"/>
            </w:tcBorders>
          </w:tcPr>
          <w:p w:rsidR="009570F3" w:rsidRPr="00513407" w:rsidRDefault="00355D33" w:rsidP="00072C20">
            <w:pPr>
              <w:ind w:right="557"/>
              <w:jc w:val="right"/>
              <w:rPr>
                <w:sz w:val="22"/>
                <w:szCs w:val="22"/>
                <w:lang w:val="en-US"/>
              </w:rPr>
            </w:pPr>
            <w:r w:rsidRPr="00513407">
              <w:rPr>
                <w:sz w:val="22"/>
                <w:szCs w:val="22"/>
                <w:lang w:val="en-US"/>
              </w:rPr>
              <w:t>236 400,</w:t>
            </w:r>
            <w:r w:rsidR="009570F3"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9570F3" w:rsidRPr="00513407" w:rsidRDefault="009570F3" w:rsidP="00072C20">
            <w:pPr>
              <w:rPr>
                <w:sz w:val="22"/>
                <w:szCs w:val="22"/>
                <w:lang w:val="en-US"/>
              </w:rPr>
            </w:pPr>
          </w:p>
        </w:tc>
      </w:tr>
      <w:tr w:rsidR="009570F3" w:rsidRPr="00513407" w:rsidTr="009570F3">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9570F3" w:rsidRPr="00513407" w:rsidRDefault="009570F3" w:rsidP="00C15D3D">
            <w:pPr>
              <w:jc w:val="center"/>
              <w:rPr>
                <w:sz w:val="22"/>
                <w:szCs w:val="22"/>
                <w:lang w:val="en-US"/>
              </w:rPr>
            </w:pPr>
            <w:r w:rsidRPr="00513407">
              <w:rPr>
                <w:sz w:val="22"/>
                <w:szCs w:val="22"/>
                <w:lang w:val="en-US"/>
              </w:rPr>
              <w:t>721</w:t>
            </w:r>
          </w:p>
        </w:tc>
        <w:tc>
          <w:tcPr>
            <w:tcW w:w="5102" w:type="dxa"/>
            <w:tcBorders>
              <w:top w:val="nil"/>
              <w:left w:val="single" w:sz="2" w:space="0" w:color="auto"/>
              <w:right w:val="single" w:sz="2" w:space="0" w:color="auto"/>
            </w:tcBorders>
          </w:tcPr>
          <w:p w:rsidR="009570F3" w:rsidRPr="00513407" w:rsidRDefault="009570F3" w:rsidP="00072C20">
            <w:pPr>
              <w:jc w:val="center"/>
              <w:rPr>
                <w:sz w:val="22"/>
                <w:szCs w:val="22"/>
              </w:rPr>
            </w:pPr>
            <w:r w:rsidRPr="00513407">
              <w:rPr>
                <w:sz w:val="22"/>
                <w:szCs w:val="22"/>
              </w:rPr>
              <w:t>Production immobilisée (immo incorporelles)</w:t>
            </w:r>
          </w:p>
        </w:tc>
        <w:tc>
          <w:tcPr>
            <w:tcW w:w="2194" w:type="dxa"/>
            <w:tcBorders>
              <w:top w:val="nil"/>
              <w:left w:val="single" w:sz="2" w:space="0" w:color="auto"/>
              <w:right w:val="single" w:sz="2" w:space="0" w:color="auto"/>
            </w:tcBorders>
          </w:tcPr>
          <w:p w:rsidR="009570F3" w:rsidRPr="00513407" w:rsidRDefault="009570F3" w:rsidP="00072C20">
            <w:pPr>
              <w:rPr>
                <w:sz w:val="22"/>
                <w:szCs w:val="22"/>
              </w:rPr>
            </w:pPr>
          </w:p>
        </w:tc>
        <w:tc>
          <w:tcPr>
            <w:tcW w:w="2203" w:type="dxa"/>
            <w:tcBorders>
              <w:top w:val="nil"/>
              <w:left w:val="single" w:sz="2" w:space="0" w:color="auto"/>
              <w:right w:val="single" w:sz="2" w:space="0" w:color="auto"/>
            </w:tcBorders>
          </w:tcPr>
          <w:p w:rsidR="009570F3" w:rsidRPr="00513407" w:rsidRDefault="00355D33" w:rsidP="00072C20">
            <w:pPr>
              <w:ind w:right="620"/>
              <w:jc w:val="right"/>
              <w:rPr>
                <w:sz w:val="22"/>
                <w:szCs w:val="22"/>
                <w:lang w:val="en-US"/>
              </w:rPr>
            </w:pPr>
            <w:r w:rsidRPr="00513407">
              <w:rPr>
                <w:sz w:val="22"/>
                <w:szCs w:val="22"/>
                <w:lang w:val="en-US"/>
              </w:rPr>
              <w:t>236 400,</w:t>
            </w:r>
            <w:r w:rsidR="009570F3" w:rsidRPr="00513407">
              <w:rPr>
                <w:sz w:val="22"/>
                <w:szCs w:val="22"/>
                <w:lang w:val="en-US"/>
              </w:rPr>
              <w:t>00</w:t>
            </w:r>
          </w:p>
        </w:tc>
      </w:tr>
      <w:tr w:rsidR="009570F3" w:rsidRPr="00513407" w:rsidTr="00072C20">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9570F3" w:rsidRPr="00513407" w:rsidRDefault="009570F3" w:rsidP="00072C20">
            <w:pPr>
              <w:jc w:val="right"/>
              <w:rPr>
                <w:sz w:val="22"/>
                <w:szCs w:val="22"/>
              </w:rPr>
            </w:pPr>
          </w:p>
        </w:tc>
        <w:tc>
          <w:tcPr>
            <w:tcW w:w="5102" w:type="dxa"/>
            <w:tcBorders>
              <w:left w:val="single" w:sz="2" w:space="0" w:color="auto"/>
              <w:bottom w:val="nil"/>
              <w:right w:val="single" w:sz="2" w:space="0" w:color="auto"/>
            </w:tcBorders>
          </w:tcPr>
          <w:p w:rsidR="009570F3" w:rsidRPr="00513407" w:rsidRDefault="009570F3" w:rsidP="00072C20">
            <w:pPr>
              <w:jc w:val="center"/>
              <w:rPr>
                <w:b/>
                <w:sz w:val="22"/>
                <w:szCs w:val="22"/>
              </w:rPr>
            </w:pPr>
            <w:r w:rsidRPr="00513407">
              <w:rPr>
                <w:b/>
                <w:sz w:val="22"/>
                <w:szCs w:val="22"/>
              </w:rPr>
              <w:t>Activation des frais de développement</w:t>
            </w:r>
            <w:r w:rsidR="00072AC0" w:rsidRPr="00513407">
              <w:rPr>
                <w:b/>
                <w:sz w:val="22"/>
                <w:szCs w:val="22"/>
              </w:rPr>
              <w:t xml:space="preserve"> – projet Prodix</w:t>
            </w:r>
          </w:p>
        </w:tc>
        <w:tc>
          <w:tcPr>
            <w:tcW w:w="2194" w:type="dxa"/>
            <w:tcBorders>
              <w:left w:val="single" w:sz="2" w:space="0" w:color="auto"/>
              <w:bottom w:val="nil"/>
              <w:right w:val="single" w:sz="2" w:space="0" w:color="auto"/>
            </w:tcBorders>
          </w:tcPr>
          <w:p w:rsidR="009570F3" w:rsidRPr="00513407" w:rsidRDefault="009570F3" w:rsidP="00072C20">
            <w:pPr>
              <w:rPr>
                <w:sz w:val="22"/>
                <w:szCs w:val="22"/>
              </w:rPr>
            </w:pPr>
          </w:p>
        </w:tc>
        <w:tc>
          <w:tcPr>
            <w:tcW w:w="2203" w:type="dxa"/>
            <w:tcBorders>
              <w:left w:val="single" w:sz="2" w:space="0" w:color="auto"/>
              <w:bottom w:val="nil"/>
              <w:right w:val="single" w:sz="2" w:space="0" w:color="auto"/>
            </w:tcBorders>
          </w:tcPr>
          <w:p w:rsidR="009570F3" w:rsidRPr="00513407" w:rsidRDefault="009570F3" w:rsidP="00072C20">
            <w:pPr>
              <w:ind w:right="620"/>
              <w:jc w:val="right"/>
              <w:rPr>
                <w:sz w:val="22"/>
                <w:szCs w:val="22"/>
              </w:rPr>
            </w:pPr>
          </w:p>
        </w:tc>
      </w:tr>
      <w:tr w:rsidR="009570F3"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9570F3" w:rsidRPr="00513407" w:rsidRDefault="009570F3"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9570F3" w:rsidRPr="00513407" w:rsidRDefault="009570F3"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9570F3" w:rsidRPr="00513407" w:rsidRDefault="009570F3" w:rsidP="00072C20">
            <w:pPr>
              <w:rPr>
                <w:sz w:val="22"/>
                <w:szCs w:val="22"/>
              </w:rPr>
            </w:pPr>
          </w:p>
        </w:tc>
        <w:tc>
          <w:tcPr>
            <w:tcW w:w="2203" w:type="dxa"/>
            <w:tcBorders>
              <w:top w:val="nil"/>
              <w:left w:val="single" w:sz="2" w:space="0" w:color="auto"/>
              <w:bottom w:val="single" w:sz="4" w:space="0" w:color="auto"/>
              <w:right w:val="single" w:sz="2" w:space="0" w:color="auto"/>
            </w:tcBorders>
          </w:tcPr>
          <w:p w:rsidR="009570F3" w:rsidRPr="00513407" w:rsidRDefault="009570F3" w:rsidP="00072C20">
            <w:pPr>
              <w:ind w:right="620"/>
              <w:jc w:val="right"/>
              <w:rPr>
                <w:sz w:val="22"/>
                <w:szCs w:val="22"/>
              </w:rPr>
            </w:pPr>
          </w:p>
        </w:tc>
      </w:tr>
    </w:tbl>
    <w:p w:rsidR="009570F3" w:rsidRPr="00513407" w:rsidRDefault="00365E91" w:rsidP="009570F3">
      <w:pPr>
        <w:jc w:val="both"/>
        <w:rPr>
          <w:sz w:val="22"/>
          <w:szCs w:val="22"/>
        </w:rPr>
      </w:pPr>
      <w:r w:rsidRPr="00513407">
        <w:rPr>
          <w:sz w:val="22"/>
          <w:szCs w:val="22"/>
        </w:rPr>
        <w:t>Pas de TVA en l’espèce.</w:t>
      </w:r>
    </w:p>
    <w:p w:rsidR="00365E91" w:rsidRPr="00513407" w:rsidRDefault="00365E91" w:rsidP="009570F3">
      <w:pPr>
        <w:jc w:val="both"/>
        <w:rPr>
          <w:sz w:val="22"/>
          <w:szCs w:val="22"/>
        </w:rPr>
      </w:pP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9570F3"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ind w:left="226"/>
              <w:rPr>
                <w:b/>
                <w:bCs/>
                <w:sz w:val="22"/>
                <w:szCs w:val="22"/>
                <w:lang w:val="en-US"/>
              </w:rPr>
            </w:pPr>
            <w:r w:rsidRPr="00513407">
              <w:rPr>
                <w:b/>
                <w:bCs/>
                <w:sz w:val="22"/>
                <w:szCs w:val="22"/>
                <w:lang w:val="en-US"/>
              </w:rPr>
              <w:t>N° de</w:t>
            </w:r>
          </w:p>
          <w:p w:rsidR="009570F3" w:rsidRPr="00513407" w:rsidRDefault="009570F3"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spacing w:before="108" w:after="108"/>
              <w:ind w:left="1948"/>
              <w:rPr>
                <w:b/>
                <w:bCs/>
                <w:sz w:val="22"/>
                <w:szCs w:val="22"/>
                <w:lang w:val="en-US"/>
              </w:rPr>
            </w:pPr>
            <w:r w:rsidRPr="00513407">
              <w:rPr>
                <w:b/>
                <w:bCs/>
                <w:sz w:val="22"/>
                <w:szCs w:val="22"/>
                <w:lang w:val="en-US"/>
              </w:rPr>
              <w:t>17/10/2012</w:t>
            </w:r>
          </w:p>
          <w:p w:rsidR="009570F3" w:rsidRPr="00513407" w:rsidRDefault="009570F3"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9570F3" w:rsidRPr="00513407" w:rsidRDefault="009570F3" w:rsidP="00072C20">
            <w:pPr>
              <w:spacing w:before="108" w:after="108"/>
              <w:ind w:left="748"/>
              <w:rPr>
                <w:b/>
                <w:bCs/>
                <w:sz w:val="22"/>
                <w:szCs w:val="22"/>
                <w:lang w:val="en-US"/>
              </w:rPr>
            </w:pPr>
            <w:r w:rsidRPr="00513407">
              <w:rPr>
                <w:b/>
                <w:bCs/>
                <w:sz w:val="22"/>
                <w:szCs w:val="22"/>
                <w:lang w:val="en-US"/>
              </w:rPr>
              <w:t>Crédit</w:t>
            </w:r>
          </w:p>
        </w:tc>
      </w:tr>
      <w:tr w:rsidR="009570F3" w:rsidRPr="00513407" w:rsidTr="00072C20">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9570F3" w:rsidRPr="00513407" w:rsidRDefault="009570F3" w:rsidP="00C15D3D">
            <w:pPr>
              <w:ind w:left="62"/>
              <w:jc w:val="center"/>
              <w:rPr>
                <w:sz w:val="22"/>
                <w:szCs w:val="22"/>
                <w:lang w:val="en-US"/>
              </w:rPr>
            </w:pPr>
            <w:r w:rsidRPr="00513407">
              <w:rPr>
                <w:sz w:val="22"/>
                <w:szCs w:val="22"/>
                <w:lang w:val="en-US"/>
              </w:rPr>
              <w:t>203</w:t>
            </w:r>
            <w:r w:rsidR="005F6A92">
              <w:rPr>
                <w:sz w:val="22"/>
                <w:szCs w:val="22"/>
                <w:lang w:val="en-US"/>
              </w:rPr>
              <w:t xml:space="preserve"> (1)</w:t>
            </w:r>
          </w:p>
        </w:tc>
        <w:tc>
          <w:tcPr>
            <w:tcW w:w="5102" w:type="dxa"/>
            <w:tcBorders>
              <w:top w:val="single" w:sz="2" w:space="0" w:color="auto"/>
              <w:left w:val="single" w:sz="2" w:space="0" w:color="auto"/>
              <w:bottom w:val="nil"/>
              <w:right w:val="single" w:sz="2" w:space="0" w:color="auto"/>
            </w:tcBorders>
          </w:tcPr>
          <w:p w:rsidR="009570F3" w:rsidRPr="00513407" w:rsidRDefault="009570F3" w:rsidP="00072C20">
            <w:pPr>
              <w:rPr>
                <w:sz w:val="22"/>
                <w:szCs w:val="22"/>
              </w:rPr>
            </w:pPr>
            <w:r w:rsidRPr="00513407">
              <w:rPr>
                <w:sz w:val="22"/>
                <w:szCs w:val="22"/>
              </w:rPr>
              <w:t>Frais de recherche et développement</w:t>
            </w:r>
          </w:p>
        </w:tc>
        <w:tc>
          <w:tcPr>
            <w:tcW w:w="2194" w:type="dxa"/>
            <w:tcBorders>
              <w:top w:val="single" w:sz="2" w:space="0" w:color="auto"/>
              <w:left w:val="single" w:sz="2" w:space="0" w:color="auto"/>
              <w:bottom w:val="nil"/>
              <w:right w:val="single" w:sz="2" w:space="0" w:color="auto"/>
            </w:tcBorders>
          </w:tcPr>
          <w:p w:rsidR="009570F3" w:rsidRPr="00513407" w:rsidRDefault="00996E6B" w:rsidP="00072C20">
            <w:pPr>
              <w:ind w:right="557"/>
              <w:jc w:val="right"/>
              <w:rPr>
                <w:sz w:val="22"/>
                <w:szCs w:val="22"/>
                <w:lang w:val="en-US"/>
              </w:rPr>
            </w:pPr>
            <w:r w:rsidRPr="00513407">
              <w:rPr>
                <w:sz w:val="22"/>
                <w:szCs w:val="22"/>
                <w:lang w:val="en-US"/>
              </w:rPr>
              <w:t>3 000</w:t>
            </w:r>
            <w:r w:rsidR="00355D33" w:rsidRPr="00513407">
              <w:rPr>
                <w:sz w:val="22"/>
                <w:szCs w:val="22"/>
                <w:lang w:val="en-US"/>
              </w:rPr>
              <w:t>,</w:t>
            </w:r>
            <w:r w:rsidR="009570F3"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9570F3" w:rsidRPr="00513407" w:rsidRDefault="009570F3" w:rsidP="00072C20">
            <w:pPr>
              <w:rPr>
                <w:sz w:val="22"/>
                <w:szCs w:val="22"/>
                <w:lang w:val="en-US"/>
              </w:rPr>
            </w:pPr>
          </w:p>
        </w:tc>
      </w:tr>
      <w:tr w:rsidR="009570F3"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9570F3" w:rsidRPr="00513407" w:rsidRDefault="009570F3" w:rsidP="00C15D3D">
            <w:pPr>
              <w:jc w:val="center"/>
              <w:rPr>
                <w:sz w:val="22"/>
                <w:szCs w:val="22"/>
                <w:lang w:val="en-US"/>
              </w:rPr>
            </w:pPr>
            <w:r w:rsidRPr="00513407">
              <w:rPr>
                <w:sz w:val="22"/>
                <w:szCs w:val="22"/>
                <w:lang w:val="en-US"/>
              </w:rPr>
              <w:t>44562</w:t>
            </w:r>
          </w:p>
        </w:tc>
        <w:tc>
          <w:tcPr>
            <w:tcW w:w="5102" w:type="dxa"/>
            <w:tcBorders>
              <w:top w:val="nil"/>
              <w:left w:val="single" w:sz="2" w:space="0" w:color="auto"/>
              <w:right w:val="single" w:sz="2" w:space="0" w:color="auto"/>
            </w:tcBorders>
          </w:tcPr>
          <w:p w:rsidR="009570F3" w:rsidRPr="00513407" w:rsidRDefault="00996E6B" w:rsidP="00996E6B">
            <w:pPr>
              <w:rPr>
                <w:sz w:val="22"/>
                <w:szCs w:val="22"/>
              </w:rPr>
            </w:pPr>
            <w:r w:rsidRPr="00513407">
              <w:rPr>
                <w:sz w:val="22"/>
                <w:szCs w:val="22"/>
              </w:rPr>
              <w:t>TVA sur immobilisations</w:t>
            </w:r>
          </w:p>
        </w:tc>
        <w:tc>
          <w:tcPr>
            <w:tcW w:w="2194" w:type="dxa"/>
            <w:tcBorders>
              <w:top w:val="nil"/>
              <w:left w:val="single" w:sz="2" w:space="0" w:color="auto"/>
              <w:right w:val="single" w:sz="2" w:space="0" w:color="auto"/>
            </w:tcBorders>
          </w:tcPr>
          <w:p w:rsidR="009570F3" w:rsidRPr="00513407" w:rsidRDefault="00355D33" w:rsidP="00996E6B">
            <w:pPr>
              <w:ind w:right="553"/>
              <w:jc w:val="right"/>
              <w:rPr>
                <w:sz w:val="22"/>
                <w:szCs w:val="22"/>
              </w:rPr>
            </w:pPr>
            <w:r w:rsidRPr="00513407">
              <w:rPr>
                <w:sz w:val="22"/>
                <w:szCs w:val="22"/>
              </w:rPr>
              <w:t>600,</w:t>
            </w:r>
            <w:r w:rsidR="00996E6B" w:rsidRPr="00513407">
              <w:rPr>
                <w:sz w:val="22"/>
                <w:szCs w:val="22"/>
              </w:rPr>
              <w:t>00</w:t>
            </w:r>
          </w:p>
        </w:tc>
        <w:tc>
          <w:tcPr>
            <w:tcW w:w="2203" w:type="dxa"/>
            <w:tcBorders>
              <w:top w:val="nil"/>
              <w:left w:val="single" w:sz="2" w:space="0" w:color="auto"/>
              <w:right w:val="single" w:sz="2" w:space="0" w:color="auto"/>
            </w:tcBorders>
          </w:tcPr>
          <w:p w:rsidR="009570F3" w:rsidRPr="00513407" w:rsidRDefault="009570F3" w:rsidP="00072C20">
            <w:pPr>
              <w:ind w:right="620"/>
              <w:jc w:val="right"/>
              <w:rPr>
                <w:sz w:val="22"/>
                <w:szCs w:val="22"/>
                <w:lang w:val="en-US"/>
              </w:rPr>
            </w:pPr>
          </w:p>
        </w:tc>
      </w:tr>
      <w:tr w:rsidR="009570F3"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9570F3" w:rsidRPr="00513407" w:rsidRDefault="00996E6B" w:rsidP="00C15D3D">
            <w:pPr>
              <w:jc w:val="center"/>
              <w:rPr>
                <w:sz w:val="22"/>
                <w:szCs w:val="22"/>
                <w:lang w:val="en-US"/>
              </w:rPr>
            </w:pPr>
            <w:r w:rsidRPr="00513407">
              <w:rPr>
                <w:sz w:val="22"/>
                <w:szCs w:val="22"/>
                <w:lang w:val="en-US"/>
              </w:rPr>
              <w:t>5</w:t>
            </w:r>
            <w:r w:rsidR="009570F3" w:rsidRPr="00513407">
              <w:rPr>
                <w:sz w:val="22"/>
                <w:szCs w:val="22"/>
                <w:lang w:val="en-US"/>
              </w:rPr>
              <w:t>1</w:t>
            </w:r>
            <w:r w:rsidRPr="00513407">
              <w:rPr>
                <w:sz w:val="22"/>
                <w:szCs w:val="22"/>
                <w:lang w:val="en-US"/>
              </w:rPr>
              <w:t>2</w:t>
            </w:r>
          </w:p>
        </w:tc>
        <w:tc>
          <w:tcPr>
            <w:tcW w:w="5102" w:type="dxa"/>
            <w:tcBorders>
              <w:top w:val="nil"/>
              <w:left w:val="single" w:sz="2" w:space="0" w:color="auto"/>
              <w:right w:val="single" w:sz="2" w:space="0" w:color="auto"/>
            </w:tcBorders>
          </w:tcPr>
          <w:p w:rsidR="009570F3" w:rsidRPr="00513407" w:rsidRDefault="00996E6B" w:rsidP="00996E6B">
            <w:pPr>
              <w:jc w:val="center"/>
              <w:rPr>
                <w:sz w:val="22"/>
                <w:szCs w:val="22"/>
              </w:rPr>
            </w:pPr>
            <w:r w:rsidRPr="00513407">
              <w:rPr>
                <w:sz w:val="22"/>
                <w:szCs w:val="22"/>
              </w:rPr>
              <w:t>Banque</w:t>
            </w:r>
          </w:p>
        </w:tc>
        <w:tc>
          <w:tcPr>
            <w:tcW w:w="2194" w:type="dxa"/>
            <w:tcBorders>
              <w:top w:val="nil"/>
              <w:left w:val="single" w:sz="2" w:space="0" w:color="auto"/>
              <w:right w:val="single" w:sz="2" w:space="0" w:color="auto"/>
            </w:tcBorders>
          </w:tcPr>
          <w:p w:rsidR="009570F3" w:rsidRPr="00513407" w:rsidRDefault="009570F3" w:rsidP="00072C20">
            <w:pPr>
              <w:rPr>
                <w:sz w:val="22"/>
                <w:szCs w:val="22"/>
              </w:rPr>
            </w:pPr>
          </w:p>
        </w:tc>
        <w:tc>
          <w:tcPr>
            <w:tcW w:w="2203" w:type="dxa"/>
            <w:tcBorders>
              <w:top w:val="nil"/>
              <w:left w:val="single" w:sz="2" w:space="0" w:color="auto"/>
              <w:right w:val="single" w:sz="2" w:space="0" w:color="auto"/>
            </w:tcBorders>
          </w:tcPr>
          <w:p w:rsidR="009570F3" w:rsidRPr="00513407" w:rsidRDefault="00996E6B" w:rsidP="00996E6B">
            <w:pPr>
              <w:ind w:right="620"/>
              <w:jc w:val="right"/>
              <w:rPr>
                <w:sz w:val="22"/>
                <w:szCs w:val="22"/>
                <w:lang w:val="en-US"/>
              </w:rPr>
            </w:pPr>
            <w:r w:rsidRPr="00513407">
              <w:rPr>
                <w:sz w:val="22"/>
                <w:szCs w:val="22"/>
                <w:lang w:val="en-US"/>
              </w:rPr>
              <w:t>3 6</w:t>
            </w:r>
            <w:r w:rsidR="00355D33" w:rsidRPr="00513407">
              <w:rPr>
                <w:sz w:val="22"/>
                <w:szCs w:val="22"/>
                <w:lang w:val="en-US"/>
              </w:rPr>
              <w:t>00,</w:t>
            </w:r>
            <w:r w:rsidR="009570F3" w:rsidRPr="00513407">
              <w:rPr>
                <w:sz w:val="22"/>
                <w:szCs w:val="22"/>
                <w:lang w:val="en-US"/>
              </w:rPr>
              <w:t>00</w:t>
            </w:r>
          </w:p>
        </w:tc>
      </w:tr>
      <w:tr w:rsidR="009570F3" w:rsidRPr="00513407" w:rsidTr="00072C20">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9570F3" w:rsidRPr="00513407" w:rsidRDefault="009570F3" w:rsidP="00072C20">
            <w:pPr>
              <w:jc w:val="right"/>
              <w:rPr>
                <w:sz w:val="22"/>
                <w:szCs w:val="22"/>
              </w:rPr>
            </w:pPr>
          </w:p>
        </w:tc>
        <w:tc>
          <w:tcPr>
            <w:tcW w:w="5102" w:type="dxa"/>
            <w:tcBorders>
              <w:left w:val="single" w:sz="2" w:space="0" w:color="auto"/>
              <w:bottom w:val="nil"/>
              <w:right w:val="single" w:sz="2" w:space="0" w:color="auto"/>
            </w:tcBorders>
          </w:tcPr>
          <w:p w:rsidR="009570F3" w:rsidRPr="00513407" w:rsidRDefault="00996E6B" w:rsidP="00072C20">
            <w:pPr>
              <w:jc w:val="center"/>
              <w:rPr>
                <w:b/>
                <w:sz w:val="22"/>
                <w:szCs w:val="22"/>
              </w:rPr>
            </w:pPr>
            <w:r w:rsidRPr="00513407">
              <w:rPr>
                <w:b/>
                <w:sz w:val="22"/>
                <w:szCs w:val="22"/>
              </w:rPr>
              <w:t>Fact n°17 – Chq bancaire</w:t>
            </w:r>
          </w:p>
        </w:tc>
        <w:tc>
          <w:tcPr>
            <w:tcW w:w="2194" w:type="dxa"/>
            <w:tcBorders>
              <w:left w:val="single" w:sz="2" w:space="0" w:color="auto"/>
              <w:bottom w:val="nil"/>
              <w:right w:val="single" w:sz="2" w:space="0" w:color="auto"/>
            </w:tcBorders>
          </w:tcPr>
          <w:p w:rsidR="009570F3" w:rsidRPr="00513407" w:rsidRDefault="009570F3" w:rsidP="00072C20">
            <w:pPr>
              <w:rPr>
                <w:sz w:val="22"/>
                <w:szCs w:val="22"/>
              </w:rPr>
            </w:pPr>
          </w:p>
        </w:tc>
        <w:tc>
          <w:tcPr>
            <w:tcW w:w="2203" w:type="dxa"/>
            <w:tcBorders>
              <w:left w:val="single" w:sz="2" w:space="0" w:color="auto"/>
              <w:bottom w:val="nil"/>
              <w:right w:val="single" w:sz="2" w:space="0" w:color="auto"/>
            </w:tcBorders>
          </w:tcPr>
          <w:p w:rsidR="009570F3" w:rsidRPr="00513407" w:rsidRDefault="009570F3" w:rsidP="00072C20">
            <w:pPr>
              <w:ind w:right="620"/>
              <w:jc w:val="right"/>
              <w:rPr>
                <w:sz w:val="22"/>
                <w:szCs w:val="22"/>
              </w:rPr>
            </w:pPr>
          </w:p>
        </w:tc>
      </w:tr>
      <w:tr w:rsidR="009570F3"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9570F3" w:rsidRPr="00513407" w:rsidRDefault="009570F3"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9570F3" w:rsidRPr="00513407" w:rsidRDefault="009570F3"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9570F3" w:rsidRPr="00513407" w:rsidRDefault="009570F3" w:rsidP="00072C20">
            <w:pPr>
              <w:rPr>
                <w:sz w:val="22"/>
                <w:szCs w:val="22"/>
              </w:rPr>
            </w:pPr>
          </w:p>
        </w:tc>
        <w:tc>
          <w:tcPr>
            <w:tcW w:w="2203" w:type="dxa"/>
            <w:tcBorders>
              <w:top w:val="nil"/>
              <w:left w:val="single" w:sz="2" w:space="0" w:color="auto"/>
              <w:bottom w:val="single" w:sz="4" w:space="0" w:color="auto"/>
              <w:right w:val="single" w:sz="2" w:space="0" w:color="auto"/>
            </w:tcBorders>
          </w:tcPr>
          <w:p w:rsidR="009570F3" w:rsidRPr="00513407" w:rsidRDefault="009570F3" w:rsidP="00072C20">
            <w:pPr>
              <w:ind w:right="620"/>
              <w:jc w:val="right"/>
              <w:rPr>
                <w:sz w:val="22"/>
                <w:szCs w:val="22"/>
              </w:rPr>
            </w:pPr>
          </w:p>
        </w:tc>
      </w:tr>
    </w:tbl>
    <w:p w:rsidR="009570F3" w:rsidRDefault="005F6A92" w:rsidP="009570F3">
      <w:pPr>
        <w:jc w:val="both"/>
        <w:rPr>
          <w:sz w:val="22"/>
          <w:szCs w:val="22"/>
        </w:rPr>
      </w:pPr>
      <w:r>
        <w:rPr>
          <w:sz w:val="22"/>
          <w:szCs w:val="22"/>
        </w:rPr>
        <w:t>(1) Accepter le compte 205.</w:t>
      </w:r>
    </w:p>
    <w:p w:rsidR="005F6A92" w:rsidRDefault="005F6A92" w:rsidP="009570F3">
      <w:pPr>
        <w:jc w:val="both"/>
        <w:rPr>
          <w:sz w:val="22"/>
          <w:szCs w:val="22"/>
        </w:rPr>
      </w:pPr>
    </w:p>
    <w:p w:rsidR="005F6A92" w:rsidRPr="00513407" w:rsidRDefault="005F6A92" w:rsidP="009570F3">
      <w:pPr>
        <w:jc w:val="both"/>
        <w:rPr>
          <w:sz w:val="22"/>
          <w:szCs w:val="22"/>
        </w:rPr>
      </w:pP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996E6B"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ind w:left="226"/>
              <w:rPr>
                <w:b/>
                <w:bCs/>
                <w:sz w:val="22"/>
                <w:szCs w:val="22"/>
                <w:lang w:val="en-US"/>
              </w:rPr>
            </w:pPr>
            <w:r w:rsidRPr="00513407">
              <w:rPr>
                <w:b/>
                <w:bCs/>
                <w:sz w:val="22"/>
                <w:szCs w:val="22"/>
                <w:lang w:val="en-US"/>
              </w:rPr>
              <w:t>N° de</w:t>
            </w:r>
          </w:p>
          <w:p w:rsidR="00996E6B" w:rsidRPr="00513407" w:rsidRDefault="00996E6B"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1948"/>
              <w:rPr>
                <w:b/>
                <w:bCs/>
                <w:sz w:val="22"/>
                <w:szCs w:val="22"/>
                <w:lang w:val="en-US"/>
              </w:rPr>
            </w:pPr>
            <w:r w:rsidRPr="00513407">
              <w:rPr>
                <w:b/>
                <w:bCs/>
                <w:sz w:val="22"/>
                <w:szCs w:val="22"/>
                <w:lang w:val="en-US"/>
              </w:rPr>
              <w:t>31/10/2012</w:t>
            </w:r>
          </w:p>
          <w:p w:rsidR="00996E6B" w:rsidRPr="00513407" w:rsidRDefault="00996E6B"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748"/>
              <w:rPr>
                <w:b/>
                <w:bCs/>
                <w:sz w:val="22"/>
                <w:szCs w:val="22"/>
                <w:lang w:val="en-US"/>
              </w:rPr>
            </w:pPr>
            <w:r w:rsidRPr="00513407">
              <w:rPr>
                <w:b/>
                <w:bCs/>
                <w:sz w:val="22"/>
                <w:szCs w:val="22"/>
                <w:lang w:val="en-US"/>
              </w:rPr>
              <w:t>Crédit</w:t>
            </w:r>
          </w:p>
        </w:tc>
      </w:tr>
      <w:tr w:rsidR="00996E6B" w:rsidRPr="00513407" w:rsidTr="00072C20">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996E6B" w:rsidRPr="00513407" w:rsidRDefault="00996E6B" w:rsidP="00C15D3D">
            <w:pPr>
              <w:ind w:left="62"/>
              <w:jc w:val="center"/>
              <w:rPr>
                <w:sz w:val="22"/>
                <w:szCs w:val="22"/>
                <w:lang w:val="en-US"/>
              </w:rPr>
            </w:pPr>
            <w:r w:rsidRPr="00513407">
              <w:rPr>
                <w:sz w:val="22"/>
                <w:szCs w:val="22"/>
                <w:lang w:val="en-US"/>
              </w:rPr>
              <w:t>205</w:t>
            </w:r>
          </w:p>
        </w:tc>
        <w:tc>
          <w:tcPr>
            <w:tcW w:w="5102" w:type="dxa"/>
            <w:tcBorders>
              <w:top w:val="single" w:sz="2" w:space="0" w:color="auto"/>
              <w:left w:val="single" w:sz="2" w:space="0" w:color="auto"/>
              <w:bottom w:val="nil"/>
              <w:right w:val="single" w:sz="2" w:space="0" w:color="auto"/>
            </w:tcBorders>
          </w:tcPr>
          <w:p w:rsidR="00996E6B" w:rsidRPr="00513407" w:rsidRDefault="00996E6B" w:rsidP="00072C20">
            <w:pPr>
              <w:rPr>
                <w:sz w:val="22"/>
                <w:szCs w:val="22"/>
              </w:rPr>
            </w:pPr>
            <w:r w:rsidRPr="00513407">
              <w:rPr>
                <w:sz w:val="22"/>
                <w:szCs w:val="22"/>
              </w:rPr>
              <w:t>Concessions et dts similaires, brevets ….</w:t>
            </w:r>
          </w:p>
        </w:tc>
        <w:tc>
          <w:tcPr>
            <w:tcW w:w="2194" w:type="dxa"/>
            <w:tcBorders>
              <w:top w:val="single" w:sz="2" w:space="0" w:color="auto"/>
              <w:left w:val="single" w:sz="2" w:space="0" w:color="auto"/>
              <w:bottom w:val="nil"/>
              <w:right w:val="single" w:sz="2" w:space="0" w:color="auto"/>
            </w:tcBorders>
          </w:tcPr>
          <w:p w:rsidR="00996E6B" w:rsidRPr="00513407" w:rsidRDefault="00355D33" w:rsidP="00072C20">
            <w:pPr>
              <w:ind w:right="557"/>
              <w:jc w:val="right"/>
              <w:rPr>
                <w:sz w:val="22"/>
                <w:szCs w:val="22"/>
                <w:lang w:val="en-US"/>
              </w:rPr>
            </w:pPr>
            <w:r w:rsidRPr="00513407">
              <w:rPr>
                <w:sz w:val="22"/>
                <w:szCs w:val="22"/>
                <w:lang w:val="en-US"/>
              </w:rPr>
              <w:t>600,</w:t>
            </w:r>
            <w:r w:rsidR="00996E6B"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996E6B" w:rsidRPr="00513407" w:rsidRDefault="00996E6B" w:rsidP="00072C20">
            <w:pPr>
              <w:rPr>
                <w:sz w:val="22"/>
                <w:szCs w:val="22"/>
                <w:lang w:val="en-US"/>
              </w:rPr>
            </w:pPr>
          </w:p>
        </w:tc>
      </w:tr>
      <w:tr w:rsidR="00996E6B"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996E6B" w:rsidRPr="00513407" w:rsidRDefault="00996E6B" w:rsidP="00C15D3D">
            <w:pPr>
              <w:jc w:val="center"/>
              <w:rPr>
                <w:sz w:val="22"/>
                <w:szCs w:val="22"/>
                <w:lang w:val="en-US"/>
              </w:rPr>
            </w:pPr>
            <w:r w:rsidRPr="00513407">
              <w:rPr>
                <w:sz w:val="22"/>
                <w:szCs w:val="22"/>
                <w:lang w:val="en-US"/>
              </w:rPr>
              <w:t>512</w:t>
            </w:r>
          </w:p>
        </w:tc>
        <w:tc>
          <w:tcPr>
            <w:tcW w:w="5102" w:type="dxa"/>
            <w:tcBorders>
              <w:top w:val="nil"/>
              <w:left w:val="single" w:sz="2" w:space="0" w:color="auto"/>
              <w:right w:val="single" w:sz="2" w:space="0" w:color="auto"/>
            </w:tcBorders>
          </w:tcPr>
          <w:p w:rsidR="00996E6B" w:rsidRPr="00513407" w:rsidRDefault="00996E6B" w:rsidP="00072C20">
            <w:pPr>
              <w:jc w:val="center"/>
              <w:rPr>
                <w:sz w:val="22"/>
                <w:szCs w:val="22"/>
              </w:rPr>
            </w:pPr>
            <w:r w:rsidRPr="00513407">
              <w:rPr>
                <w:sz w:val="22"/>
                <w:szCs w:val="22"/>
              </w:rPr>
              <w:t>Banque</w:t>
            </w:r>
          </w:p>
        </w:tc>
        <w:tc>
          <w:tcPr>
            <w:tcW w:w="2194" w:type="dxa"/>
            <w:tcBorders>
              <w:top w:val="nil"/>
              <w:left w:val="single" w:sz="2" w:space="0" w:color="auto"/>
              <w:right w:val="single" w:sz="2" w:space="0" w:color="auto"/>
            </w:tcBorders>
          </w:tcPr>
          <w:p w:rsidR="00996E6B" w:rsidRPr="00513407" w:rsidRDefault="00996E6B" w:rsidP="00072C20">
            <w:pPr>
              <w:rPr>
                <w:sz w:val="22"/>
                <w:szCs w:val="22"/>
              </w:rPr>
            </w:pPr>
          </w:p>
        </w:tc>
        <w:tc>
          <w:tcPr>
            <w:tcW w:w="2203" w:type="dxa"/>
            <w:tcBorders>
              <w:top w:val="nil"/>
              <w:left w:val="single" w:sz="2" w:space="0" w:color="auto"/>
              <w:right w:val="single" w:sz="2" w:space="0" w:color="auto"/>
            </w:tcBorders>
          </w:tcPr>
          <w:p w:rsidR="00996E6B" w:rsidRPr="00513407" w:rsidRDefault="00355D33" w:rsidP="00072C20">
            <w:pPr>
              <w:ind w:right="620"/>
              <w:jc w:val="right"/>
              <w:rPr>
                <w:sz w:val="22"/>
                <w:szCs w:val="22"/>
                <w:lang w:val="en-US"/>
              </w:rPr>
            </w:pPr>
            <w:r w:rsidRPr="00513407">
              <w:rPr>
                <w:sz w:val="22"/>
                <w:szCs w:val="22"/>
                <w:lang w:val="en-US"/>
              </w:rPr>
              <w:t>600,</w:t>
            </w:r>
            <w:r w:rsidR="00996E6B" w:rsidRPr="00513407">
              <w:rPr>
                <w:sz w:val="22"/>
                <w:szCs w:val="22"/>
                <w:lang w:val="en-US"/>
              </w:rPr>
              <w:t>00</w:t>
            </w:r>
          </w:p>
        </w:tc>
      </w:tr>
      <w:tr w:rsidR="00996E6B" w:rsidRPr="00513407" w:rsidTr="00072C20">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996E6B" w:rsidRPr="00513407" w:rsidRDefault="00996E6B" w:rsidP="00072C20">
            <w:pPr>
              <w:jc w:val="right"/>
              <w:rPr>
                <w:sz w:val="22"/>
                <w:szCs w:val="22"/>
              </w:rPr>
            </w:pPr>
          </w:p>
        </w:tc>
        <w:tc>
          <w:tcPr>
            <w:tcW w:w="5102" w:type="dxa"/>
            <w:tcBorders>
              <w:left w:val="single" w:sz="2" w:space="0" w:color="auto"/>
              <w:bottom w:val="nil"/>
              <w:right w:val="single" w:sz="2" w:space="0" w:color="auto"/>
            </w:tcBorders>
          </w:tcPr>
          <w:p w:rsidR="00996E6B" w:rsidRPr="00513407" w:rsidRDefault="00996E6B" w:rsidP="00072C20">
            <w:pPr>
              <w:jc w:val="center"/>
              <w:rPr>
                <w:b/>
                <w:sz w:val="22"/>
                <w:szCs w:val="22"/>
              </w:rPr>
            </w:pPr>
            <w:r w:rsidRPr="00513407">
              <w:rPr>
                <w:b/>
                <w:sz w:val="22"/>
                <w:szCs w:val="22"/>
              </w:rPr>
              <w:t>Paiement des frais de dépôt par chq bancaire</w:t>
            </w:r>
          </w:p>
        </w:tc>
        <w:tc>
          <w:tcPr>
            <w:tcW w:w="2194" w:type="dxa"/>
            <w:tcBorders>
              <w:left w:val="single" w:sz="2" w:space="0" w:color="auto"/>
              <w:bottom w:val="nil"/>
              <w:right w:val="single" w:sz="2" w:space="0" w:color="auto"/>
            </w:tcBorders>
          </w:tcPr>
          <w:p w:rsidR="00996E6B" w:rsidRPr="00513407" w:rsidRDefault="00996E6B" w:rsidP="00072C20">
            <w:pPr>
              <w:rPr>
                <w:sz w:val="22"/>
                <w:szCs w:val="22"/>
              </w:rPr>
            </w:pPr>
          </w:p>
        </w:tc>
        <w:tc>
          <w:tcPr>
            <w:tcW w:w="2203" w:type="dxa"/>
            <w:tcBorders>
              <w:left w:val="single" w:sz="2" w:space="0" w:color="auto"/>
              <w:bottom w:val="nil"/>
              <w:right w:val="single" w:sz="2" w:space="0" w:color="auto"/>
            </w:tcBorders>
          </w:tcPr>
          <w:p w:rsidR="00996E6B" w:rsidRPr="00513407" w:rsidRDefault="00996E6B" w:rsidP="00072C20">
            <w:pPr>
              <w:ind w:right="620"/>
              <w:jc w:val="right"/>
              <w:rPr>
                <w:sz w:val="22"/>
                <w:szCs w:val="22"/>
              </w:rPr>
            </w:pPr>
          </w:p>
        </w:tc>
      </w:tr>
      <w:tr w:rsidR="00996E6B"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996E6B" w:rsidRPr="00513407" w:rsidRDefault="00996E6B"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996E6B" w:rsidRPr="00513407" w:rsidRDefault="00996E6B"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996E6B" w:rsidRPr="00513407" w:rsidRDefault="00996E6B" w:rsidP="00072C20">
            <w:pPr>
              <w:rPr>
                <w:sz w:val="22"/>
                <w:szCs w:val="22"/>
              </w:rPr>
            </w:pPr>
          </w:p>
        </w:tc>
        <w:tc>
          <w:tcPr>
            <w:tcW w:w="2203" w:type="dxa"/>
            <w:tcBorders>
              <w:top w:val="nil"/>
              <w:left w:val="single" w:sz="2" w:space="0" w:color="auto"/>
              <w:bottom w:val="single" w:sz="4" w:space="0" w:color="auto"/>
              <w:right w:val="single" w:sz="2" w:space="0" w:color="auto"/>
            </w:tcBorders>
          </w:tcPr>
          <w:p w:rsidR="00996E6B" w:rsidRPr="00513407" w:rsidRDefault="00996E6B" w:rsidP="00072C20">
            <w:pPr>
              <w:ind w:right="620"/>
              <w:jc w:val="right"/>
              <w:rPr>
                <w:sz w:val="22"/>
                <w:szCs w:val="22"/>
              </w:rPr>
            </w:pPr>
          </w:p>
        </w:tc>
      </w:tr>
    </w:tbl>
    <w:p w:rsidR="009570F3" w:rsidRPr="00513407" w:rsidRDefault="009570F3" w:rsidP="009570F3">
      <w:pPr>
        <w:jc w:val="both"/>
        <w:rPr>
          <w:b/>
          <w:sz w:val="22"/>
          <w:szCs w:val="22"/>
        </w:rPr>
      </w:pP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996E6B"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ind w:left="226"/>
              <w:rPr>
                <w:b/>
                <w:bCs/>
                <w:sz w:val="22"/>
                <w:szCs w:val="22"/>
                <w:lang w:val="en-US"/>
              </w:rPr>
            </w:pPr>
            <w:r w:rsidRPr="00513407">
              <w:rPr>
                <w:b/>
                <w:bCs/>
                <w:sz w:val="22"/>
                <w:szCs w:val="22"/>
                <w:lang w:val="en-US"/>
              </w:rPr>
              <w:t>N° de</w:t>
            </w:r>
          </w:p>
          <w:p w:rsidR="00996E6B" w:rsidRPr="00513407" w:rsidRDefault="00996E6B"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1948"/>
              <w:rPr>
                <w:b/>
                <w:bCs/>
                <w:sz w:val="22"/>
                <w:szCs w:val="22"/>
                <w:lang w:val="en-US"/>
              </w:rPr>
            </w:pPr>
            <w:r w:rsidRPr="00513407">
              <w:rPr>
                <w:b/>
                <w:bCs/>
                <w:sz w:val="22"/>
                <w:szCs w:val="22"/>
                <w:lang w:val="en-US"/>
              </w:rPr>
              <w:t>31/10/2012</w:t>
            </w:r>
          </w:p>
          <w:p w:rsidR="00996E6B" w:rsidRPr="00513407" w:rsidRDefault="00996E6B"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748"/>
              <w:rPr>
                <w:b/>
                <w:bCs/>
                <w:sz w:val="22"/>
                <w:szCs w:val="22"/>
                <w:lang w:val="en-US"/>
              </w:rPr>
            </w:pPr>
            <w:r w:rsidRPr="00513407">
              <w:rPr>
                <w:b/>
                <w:bCs/>
                <w:sz w:val="22"/>
                <w:szCs w:val="22"/>
                <w:lang w:val="en-US"/>
              </w:rPr>
              <w:t>Crédit</w:t>
            </w:r>
          </w:p>
        </w:tc>
      </w:tr>
      <w:tr w:rsidR="00996E6B" w:rsidRPr="00513407" w:rsidTr="00072C20">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996E6B" w:rsidRPr="00513407" w:rsidRDefault="00996E6B" w:rsidP="00C15D3D">
            <w:pPr>
              <w:ind w:left="62"/>
              <w:jc w:val="center"/>
              <w:rPr>
                <w:sz w:val="22"/>
                <w:szCs w:val="22"/>
                <w:lang w:val="en-US"/>
              </w:rPr>
            </w:pPr>
            <w:r w:rsidRPr="00513407">
              <w:rPr>
                <w:sz w:val="22"/>
                <w:szCs w:val="22"/>
                <w:lang w:val="en-US"/>
              </w:rPr>
              <w:t>205</w:t>
            </w:r>
          </w:p>
        </w:tc>
        <w:tc>
          <w:tcPr>
            <w:tcW w:w="5102" w:type="dxa"/>
            <w:tcBorders>
              <w:top w:val="single" w:sz="2" w:space="0" w:color="auto"/>
              <w:left w:val="single" w:sz="2" w:space="0" w:color="auto"/>
              <w:bottom w:val="nil"/>
              <w:right w:val="single" w:sz="2" w:space="0" w:color="auto"/>
            </w:tcBorders>
          </w:tcPr>
          <w:p w:rsidR="00996E6B" w:rsidRPr="00513407" w:rsidRDefault="00996E6B" w:rsidP="00072C20">
            <w:pPr>
              <w:rPr>
                <w:sz w:val="22"/>
                <w:szCs w:val="22"/>
              </w:rPr>
            </w:pPr>
            <w:r w:rsidRPr="00513407">
              <w:rPr>
                <w:sz w:val="22"/>
                <w:szCs w:val="22"/>
              </w:rPr>
              <w:t>Concessions et dts similaires, brevets ….</w:t>
            </w:r>
          </w:p>
        </w:tc>
        <w:tc>
          <w:tcPr>
            <w:tcW w:w="2194" w:type="dxa"/>
            <w:tcBorders>
              <w:top w:val="single" w:sz="2" w:space="0" w:color="auto"/>
              <w:left w:val="single" w:sz="2" w:space="0" w:color="auto"/>
              <w:bottom w:val="nil"/>
              <w:right w:val="single" w:sz="2" w:space="0" w:color="auto"/>
            </w:tcBorders>
          </w:tcPr>
          <w:p w:rsidR="00996E6B" w:rsidRPr="00513407" w:rsidRDefault="00355D33" w:rsidP="00072C20">
            <w:pPr>
              <w:ind w:right="557"/>
              <w:jc w:val="right"/>
              <w:rPr>
                <w:sz w:val="22"/>
                <w:szCs w:val="22"/>
                <w:lang w:val="en-US"/>
              </w:rPr>
            </w:pPr>
            <w:r w:rsidRPr="00513407">
              <w:rPr>
                <w:sz w:val="22"/>
                <w:szCs w:val="22"/>
                <w:lang w:val="en-US"/>
              </w:rPr>
              <w:t>239 400,</w:t>
            </w:r>
            <w:r w:rsidR="00996E6B"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996E6B" w:rsidRPr="00513407" w:rsidRDefault="00996E6B" w:rsidP="00072C20">
            <w:pPr>
              <w:rPr>
                <w:sz w:val="22"/>
                <w:szCs w:val="22"/>
                <w:lang w:val="en-US"/>
              </w:rPr>
            </w:pPr>
          </w:p>
        </w:tc>
      </w:tr>
      <w:tr w:rsidR="00996E6B"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996E6B" w:rsidRPr="00513407" w:rsidRDefault="00996E6B" w:rsidP="00C15D3D">
            <w:pPr>
              <w:jc w:val="center"/>
              <w:rPr>
                <w:sz w:val="22"/>
                <w:szCs w:val="22"/>
                <w:lang w:val="en-US"/>
              </w:rPr>
            </w:pPr>
            <w:r w:rsidRPr="00513407">
              <w:rPr>
                <w:sz w:val="22"/>
                <w:szCs w:val="22"/>
                <w:lang w:val="en-US"/>
              </w:rPr>
              <w:t>203</w:t>
            </w:r>
          </w:p>
        </w:tc>
        <w:tc>
          <w:tcPr>
            <w:tcW w:w="5102" w:type="dxa"/>
            <w:tcBorders>
              <w:top w:val="nil"/>
              <w:left w:val="single" w:sz="2" w:space="0" w:color="auto"/>
              <w:right w:val="single" w:sz="2" w:space="0" w:color="auto"/>
            </w:tcBorders>
          </w:tcPr>
          <w:p w:rsidR="00996E6B" w:rsidRPr="00513407" w:rsidRDefault="00996E6B" w:rsidP="00072C20">
            <w:pPr>
              <w:jc w:val="center"/>
              <w:rPr>
                <w:sz w:val="22"/>
                <w:szCs w:val="22"/>
              </w:rPr>
            </w:pPr>
            <w:r w:rsidRPr="00513407">
              <w:rPr>
                <w:sz w:val="22"/>
                <w:szCs w:val="22"/>
              </w:rPr>
              <w:t>Frais de recherche et développement</w:t>
            </w:r>
          </w:p>
        </w:tc>
        <w:tc>
          <w:tcPr>
            <w:tcW w:w="2194" w:type="dxa"/>
            <w:tcBorders>
              <w:top w:val="nil"/>
              <w:left w:val="single" w:sz="2" w:space="0" w:color="auto"/>
              <w:right w:val="single" w:sz="2" w:space="0" w:color="auto"/>
            </w:tcBorders>
          </w:tcPr>
          <w:p w:rsidR="00996E6B" w:rsidRPr="00513407" w:rsidRDefault="00996E6B" w:rsidP="00072C20">
            <w:pPr>
              <w:rPr>
                <w:sz w:val="22"/>
                <w:szCs w:val="22"/>
              </w:rPr>
            </w:pPr>
          </w:p>
        </w:tc>
        <w:tc>
          <w:tcPr>
            <w:tcW w:w="2203" w:type="dxa"/>
            <w:tcBorders>
              <w:top w:val="nil"/>
              <w:left w:val="single" w:sz="2" w:space="0" w:color="auto"/>
              <w:right w:val="single" w:sz="2" w:space="0" w:color="auto"/>
            </w:tcBorders>
          </w:tcPr>
          <w:p w:rsidR="00996E6B" w:rsidRPr="00513407" w:rsidRDefault="00355D33" w:rsidP="00072C20">
            <w:pPr>
              <w:ind w:right="620"/>
              <w:jc w:val="right"/>
              <w:rPr>
                <w:sz w:val="22"/>
                <w:szCs w:val="22"/>
                <w:lang w:val="en-US"/>
              </w:rPr>
            </w:pPr>
            <w:r w:rsidRPr="00513407">
              <w:rPr>
                <w:sz w:val="22"/>
                <w:szCs w:val="22"/>
                <w:lang w:val="en-US"/>
              </w:rPr>
              <w:t>239 400,</w:t>
            </w:r>
            <w:r w:rsidR="00996E6B" w:rsidRPr="00513407">
              <w:rPr>
                <w:sz w:val="22"/>
                <w:szCs w:val="22"/>
                <w:lang w:val="en-US"/>
              </w:rPr>
              <w:t>00</w:t>
            </w:r>
          </w:p>
        </w:tc>
      </w:tr>
      <w:tr w:rsidR="00996E6B" w:rsidRPr="00513407" w:rsidTr="00072C20">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996E6B" w:rsidRPr="00513407" w:rsidRDefault="00996E6B" w:rsidP="00072C20">
            <w:pPr>
              <w:jc w:val="right"/>
              <w:rPr>
                <w:sz w:val="22"/>
                <w:szCs w:val="22"/>
              </w:rPr>
            </w:pPr>
          </w:p>
        </w:tc>
        <w:tc>
          <w:tcPr>
            <w:tcW w:w="5102" w:type="dxa"/>
            <w:tcBorders>
              <w:left w:val="single" w:sz="2" w:space="0" w:color="auto"/>
              <w:bottom w:val="nil"/>
              <w:right w:val="single" w:sz="2" w:space="0" w:color="auto"/>
            </w:tcBorders>
          </w:tcPr>
          <w:p w:rsidR="00996E6B" w:rsidRPr="00513407" w:rsidRDefault="00996E6B" w:rsidP="00072C20">
            <w:pPr>
              <w:jc w:val="center"/>
              <w:rPr>
                <w:b/>
                <w:sz w:val="22"/>
                <w:szCs w:val="22"/>
              </w:rPr>
            </w:pPr>
            <w:r w:rsidRPr="00513407">
              <w:rPr>
                <w:b/>
                <w:sz w:val="22"/>
                <w:szCs w:val="22"/>
              </w:rPr>
              <w:t>Transfert des frais de développement en brevet</w:t>
            </w:r>
          </w:p>
        </w:tc>
        <w:tc>
          <w:tcPr>
            <w:tcW w:w="2194" w:type="dxa"/>
            <w:tcBorders>
              <w:left w:val="single" w:sz="2" w:space="0" w:color="auto"/>
              <w:bottom w:val="nil"/>
              <w:right w:val="single" w:sz="2" w:space="0" w:color="auto"/>
            </w:tcBorders>
          </w:tcPr>
          <w:p w:rsidR="00996E6B" w:rsidRPr="00513407" w:rsidRDefault="00996E6B" w:rsidP="00072C20">
            <w:pPr>
              <w:rPr>
                <w:sz w:val="22"/>
                <w:szCs w:val="22"/>
              </w:rPr>
            </w:pPr>
          </w:p>
        </w:tc>
        <w:tc>
          <w:tcPr>
            <w:tcW w:w="2203" w:type="dxa"/>
            <w:tcBorders>
              <w:left w:val="single" w:sz="2" w:space="0" w:color="auto"/>
              <w:bottom w:val="nil"/>
              <w:right w:val="single" w:sz="2" w:space="0" w:color="auto"/>
            </w:tcBorders>
          </w:tcPr>
          <w:p w:rsidR="00996E6B" w:rsidRPr="00513407" w:rsidRDefault="00996E6B" w:rsidP="00072C20">
            <w:pPr>
              <w:ind w:right="620"/>
              <w:jc w:val="right"/>
              <w:rPr>
                <w:sz w:val="22"/>
                <w:szCs w:val="22"/>
              </w:rPr>
            </w:pPr>
          </w:p>
        </w:tc>
      </w:tr>
      <w:tr w:rsidR="00996E6B"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996E6B" w:rsidRPr="00513407" w:rsidRDefault="00996E6B"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996E6B" w:rsidRPr="00513407" w:rsidRDefault="00996E6B"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996E6B" w:rsidRPr="00513407" w:rsidRDefault="00996E6B" w:rsidP="00072C20">
            <w:pPr>
              <w:rPr>
                <w:sz w:val="22"/>
                <w:szCs w:val="22"/>
              </w:rPr>
            </w:pPr>
          </w:p>
        </w:tc>
        <w:tc>
          <w:tcPr>
            <w:tcW w:w="2203" w:type="dxa"/>
            <w:tcBorders>
              <w:top w:val="nil"/>
              <w:left w:val="single" w:sz="2" w:space="0" w:color="auto"/>
              <w:bottom w:val="single" w:sz="4" w:space="0" w:color="auto"/>
              <w:right w:val="single" w:sz="2" w:space="0" w:color="auto"/>
            </w:tcBorders>
          </w:tcPr>
          <w:p w:rsidR="00996E6B" w:rsidRPr="00513407" w:rsidRDefault="00996E6B" w:rsidP="00072C20">
            <w:pPr>
              <w:ind w:right="620"/>
              <w:jc w:val="right"/>
              <w:rPr>
                <w:sz w:val="22"/>
                <w:szCs w:val="22"/>
              </w:rPr>
            </w:pPr>
          </w:p>
        </w:tc>
      </w:tr>
    </w:tbl>
    <w:p w:rsidR="0090290F" w:rsidRDefault="0090290F" w:rsidP="009570F3">
      <w:pPr>
        <w:jc w:val="both"/>
        <w:rPr>
          <w:sz w:val="22"/>
          <w:szCs w:val="22"/>
        </w:rPr>
      </w:pPr>
    </w:p>
    <w:p w:rsidR="00996E6B" w:rsidRDefault="006D45F2" w:rsidP="009570F3">
      <w:pPr>
        <w:jc w:val="both"/>
        <w:rPr>
          <w:sz w:val="22"/>
          <w:szCs w:val="22"/>
        </w:rPr>
      </w:pPr>
      <w:r w:rsidRPr="006D45F2">
        <w:rPr>
          <w:sz w:val="22"/>
          <w:szCs w:val="22"/>
        </w:rPr>
        <w:t>I</w:t>
      </w:r>
      <w:r w:rsidR="00C331E1">
        <w:rPr>
          <w:sz w:val="22"/>
          <w:szCs w:val="22"/>
        </w:rPr>
        <w:t>l convient de solder le compte 203 : 236 400 + 3 000 = 239 400.</w:t>
      </w:r>
    </w:p>
    <w:p w:rsidR="00C331E1" w:rsidRPr="006D45F2" w:rsidRDefault="00C331E1" w:rsidP="009570F3">
      <w:pPr>
        <w:jc w:val="both"/>
        <w:rPr>
          <w:sz w:val="22"/>
          <w:szCs w:val="22"/>
        </w:rPr>
      </w:pPr>
      <w:r>
        <w:rPr>
          <w:sz w:val="22"/>
          <w:szCs w:val="22"/>
        </w:rPr>
        <w:t>Autre possibilité : si inscription en 205 (1) – écriture du 17/10/2012- le solde</w:t>
      </w:r>
      <w:r w:rsidR="00A02E73">
        <w:rPr>
          <w:sz w:val="22"/>
          <w:szCs w:val="22"/>
        </w:rPr>
        <w:t xml:space="preserve"> du compte 203</w:t>
      </w:r>
      <w:r>
        <w:rPr>
          <w:sz w:val="22"/>
          <w:szCs w:val="22"/>
        </w:rPr>
        <w:t xml:space="preserve"> s’élève à 236 400 €</w:t>
      </w:r>
    </w:p>
    <w:p w:rsidR="00365E91" w:rsidRPr="00513407" w:rsidRDefault="00A15BD0" w:rsidP="009570F3">
      <w:pPr>
        <w:jc w:val="both"/>
        <w:rPr>
          <w:b/>
          <w:sz w:val="22"/>
          <w:szCs w:val="22"/>
        </w:rPr>
      </w:pPr>
      <w:r>
        <w:rPr>
          <w:b/>
          <w:sz w:val="22"/>
          <w:szCs w:val="22"/>
        </w:rPr>
        <w:br w:type="page"/>
      </w: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996E6B"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ind w:left="226"/>
              <w:rPr>
                <w:b/>
                <w:bCs/>
                <w:sz w:val="22"/>
                <w:szCs w:val="22"/>
                <w:lang w:val="en-US"/>
              </w:rPr>
            </w:pPr>
            <w:r w:rsidRPr="00513407">
              <w:rPr>
                <w:b/>
                <w:bCs/>
                <w:sz w:val="22"/>
                <w:szCs w:val="22"/>
                <w:lang w:val="en-US"/>
              </w:rPr>
              <w:lastRenderedPageBreak/>
              <w:t>N° de</w:t>
            </w:r>
          </w:p>
          <w:p w:rsidR="00996E6B" w:rsidRPr="00513407" w:rsidRDefault="00996E6B"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1948"/>
              <w:rPr>
                <w:b/>
                <w:bCs/>
                <w:sz w:val="22"/>
                <w:szCs w:val="22"/>
                <w:lang w:val="en-US"/>
              </w:rPr>
            </w:pPr>
            <w:r w:rsidRPr="00513407">
              <w:rPr>
                <w:b/>
                <w:bCs/>
                <w:sz w:val="22"/>
                <w:szCs w:val="22"/>
                <w:lang w:val="en-US"/>
              </w:rPr>
              <w:t>31/12/2012</w:t>
            </w:r>
          </w:p>
          <w:p w:rsidR="00996E6B" w:rsidRPr="00513407" w:rsidRDefault="00996E6B"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996E6B" w:rsidRPr="00513407" w:rsidRDefault="00996E6B" w:rsidP="00072C20">
            <w:pPr>
              <w:spacing w:before="108" w:after="108"/>
              <w:ind w:left="748"/>
              <w:rPr>
                <w:b/>
                <w:bCs/>
                <w:sz w:val="22"/>
                <w:szCs w:val="22"/>
                <w:lang w:val="en-US"/>
              </w:rPr>
            </w:pPr>
            <w:r w:rsidRPr="00513407">
              <w:rPr>
                <w:b/>
                <w:bCs/>
                <w:sz w:val="22"/>
                <w:szCs w:val="22"/>
                <w:lang w:val="en-US"/>
              </w:rPr>
              <w:t>Crédit</w:t>
            </w:r>
          </w:p>
        </w:tc>
      </w:tr>
      <w:tr w:rsidR="00996E6B" w:rsidRPr="00513407" w:rsidTr="00072C20">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996E6B" w:rsidRPr="00513407" w:rsidRDefault="00C15D3D" w:rsidP="00072C20">
            <w:pPr>
              <w:ind w:left="62"/>
              <w:rPr>
                <w:sz w:val="22"/>
                <w:szCs w:val="22"/>
                <w:lang w:val="en-US"/>
              </w:rPr>
            </w:pPr>
            <w:r>
              <w:rPr>
                <w:sz w:val="22"/>
                <w:szCs w:val="22"/>
                <w:lang w:val="en-US"/>
              </w:rPr>
              <w:t xml:space="preserve">    </w:t>
            </w:r>
            <w:r w:rsidR="00996E6B" w:rsidRPr="00513407">
              <w:rPr>
                <w:sz w:val="22"/>
                <w:szCs w:val="22"/>
                <w:lang w:val="en-US"/>
              </w:rPr>
              <w:t>6811</w:t>
            </w:r>
            <w:r w:rsidR="008E621F" w:rsidRPr="00513407">
              <w:rPr>
                <w:sz w:val="22"/>
                <w:szCs w:val="22"/>
                <w:lang w:val="en-US"/>
              </w:rPr>
              <w:t>1</w:t>
            </w:r>
          </w:p>
        </w:tc>
        <w:tc>
          <w:tcPr>
            <w:tcW w:w="5102" w:type="dxa"/>
            <w:tcBorders>
              <w:top w:val="single" w:sz="2" w:space="0" w:color="auto"/>
              <w:left w:val="single" w:sz="2" w:space="0" w:color="auto"/>
              <w:bottom w:val="nil"/>
              <w:right w:val="single" w:sz="2" w:space="0" w:color="auto"/>
            </w:tcBorders>
          </w:tcPr>
          <w:p w:rsidR="00996E6B" w:rsidRPr="00513407" w:rsidRDefault="00996E6B" w:rsidP="00072C20">
            <w:pPr>
              <w:rPr>
                <w:sz w:val="22"/>
                <w:szCs w:val="22"/>
              </w:rPr>
            </w:pPr>
            <w:r w:rsidRPr="00513407">
              <w:rPr>
                <w:sz w:val="22"/>
                <w:szCs w:val="22"/>
              </w:rPr>
              <w:t>Dotations aux amortissements</w:t>
            </w:r>
            <w:r w:rsidR="008E621F" w:rsidRPr="00513407">
              <w:rPr>
                <w:sz w:val="22"/>
                <w:szCs w:val="22"/>
              </w:rPr>
              <w:t>-Immo Incorporelles</w:t>
            </w:r>
          </w:p>
        </w:tc>
        <w:tc>
          <w:tcPr>
            <w:tcW w:w="2194" w:type="dxa"/>
            <w:tcBorders>
              <w:top w:val="single" w:sz="2" w:space="0" w:color="auto"/>
              <w:left w:val="single" w:sz="2" w:space="0" w:color="auto"/>
              <w:bottom w:val="nil"/>
              <w:right w:val="single" w:sz="2" w:space="0" w:color="auto"/>
            </w:tcBorders>
          </w:tcPr>
          <w:p w:rsidR="00996E6B" w:rsidRPr="00513407" w:rsidRDefault="00355D33" w:rsidP="00072C20">
            <w:pPr>
              <w:ind w:right="557"/>
              <w:jc w:val="right"/>
              <w:rPr>
                <w:sz w:val="22"/>
                <w:szCs w:val="22"/>
                <w:lang w:val="en-US"/>
              </w:rPr>
            </w:pPr>
            <w:r w:rsidRPr="00513407">
              <w:rPr>
                <w:sz w:val="22"/>
                <w:szCs w:val="22"/>
                <w:lang w:val="en-US"/>
              </w:rPr>
              <w:t>2 000,</w:t>
            </w:r>
            <w:r w:rsidR="00996E6B"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996E6B" w:rsidRPr="00513407" w:rsidRDefault="00996E6B" w:rsidP="00072C20">
            <w:pPr>
              <w:rPr>
                <w:sz w:val="22"/>
                <w:szCs w:val="22"/>
                <w:lang w:val="en-US"/>
              </w:rPr>
            </w:pPr>
          </w:p>
        </w:tc>
      </w:tr>
      <w:tr w:rsidR="00996E6B"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996E6B" w:rsidRPr="00513407" w:rsidRDefault="00996E6B" w:rsidP="00C15D3D">
            <w:pPr>
              <w:jc w:val="center"/>
              <w:rPr>
                <w:sz w:val="22"/>
                <w:szCs w:val="22"/>
                <w:lang w:val="en-US"/>
              </w:rPr>
            </w:pPr>
            <w:r w:rsidRPr="00513407">
              <w:rPr>
                <w:sz w:val="22"/>
                <w:szCs w:val="22"/>
                <w:lang w:val="en-US"/>
              </w:rPr>
              <w:t>2805</w:t>
            </w:r>
          </w:p>
        </w:tc>
        <w:tc>
          <w:tcPr>
            <w:tcW w:w="5102" w:type="dxa"/>
            <w:tcBorders>
              <w:top w:val="nil"/>
              <w:left w:val="single" w:sz="2" w:space="0" w:color="auto"/>
              <w:right w:val="single" w:sz="2" w:space="0" w:color="auto"/>
            </w:tcBorders>
          </w:tcPr>
          <w:p w:rsidR="00996E6B" w:rsidRPr="00513407" w:rsidRDefault="00996E6B" w:rsidP="00072C20">
            <w:pPr>
              <w:jc w:val="center"/>
              <w:rPr>
                <w:sz w:val="22"/>
                <w:szCs w:val="22"/>
              </w:rPr>
            </w:pPr>
            <w:r w:rsidRPr="00513407">
              <w:rPr>
                <w:sz w:val="22"/>
                <w:szCs w:val="22"/>
              </w:rPr>
              <w:t>Amortissement des concessions et dts similaires, brevets ….</w:t>
            </w:r>
          </w:p>
        </w:tc>
        <w:tc>
          <w:tcPr>
            <w:tcW w:w="2194" w:type="dxa"/>
            <w:tcBorders>
              <w:top w:val="nil"/>
              <w:left w:val="single" w:sz="2" w:space="0" w:color="auto"/>
              <w:right w:val="single" w:sz="2" w:space="0" w:color="auto"/>
            </w:tcBorders>
          </w:tcPr>
          <w:p w:rsidR="00996E6B" w:rsidRPr="00513407" w:rsidRDefault="00996E6B" w:rsidP="00072C20">
            <w:pPr>
              <w:rPr>
                <w:sz w:val="22"/>
                <w:szCs w:val="22"/>
              </w:rPr>
            </w:pPr>
          </w:p>
        </w:tc>
        <w:tc>
          <w:tcPr>
            <w:tcW w:w="2203" w:type="dxa"/>
            <w:tcBorders>
              <w:top w:val="nil"/>
              <w:left w:val="single" w:sz="2" w:space="0" w:color="auto"/>
              <w:right w:val="single" w:sz="2" w:space="0" w:color="auto"/>
            </w:tcBorders>
          </w:tcPr>
          <w:p w:rsidR="00996E6B" w:rsidRPr="00513407" w:rsidRDefault="00355D33" w:rsidP="00072C20">
            <w:pPr>
              <w:ind w:right="620"/>
              <w:jc w:val="right"/>
              <w:rPr>
                <w:sz w:val="22"/>
                <w:szCs w:val="22"/>
                <w:lang w:val="en-US"/>
              </w:rPr>
            </w:pPr>
            <w:r w:rsidRPr="00513407">
              <w:rPr>
                <w:sz w:val="22"/>
                <w:szCs w:val="22"/>
                <w:lang w:val="en-US"/>
              </w:rPr>
              <w:t>2 000,</w:t>
            </w:r>
            <w:r w:rsidR="00996E6B" w:rsidRPr="00513407">
              <w:rPr>
                <w:sz w:val="22"/>
                <w:szCs w:val="22"/>
                <w:lang w:val="en-US"/>
              </w:rPr>
              <w:t>00</w:t>
            </w:r>
          </w:p>
        </w:tc>
      </w:tr>
      <w:tr w:rsidR="00996E6B" w:rsidRPr="00513407" w:rsidTr="00072C20">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996E6B" w:rsidRPr="00513407" w:rsidRDefault="00996E6B" w:rsidP="00072C20">
            <w:pPr>
              <w:jc w:val="right"/>
              <w:rPr>
                <w:sz w:val="22"/>
                <w:szCs w:val="22"/>
              </w:rPr>
            </w:pPr>
          </w:p>
        </w:tc>
        <w:tc>
          <w:tcPr>
            <w:tcW w:w="5102" w:type="dxa"/>
            <w:tcBorders>
              <w:left w:val="single" w:sz="2" w:space="0" w:color="auto"/>
              <w:bottom w:val="nil"/>
              <w:right w:val="single" w:sz="2" w:space="0" w:color="auto"/>
            </w:tcBorders>
          </w:tcPr>
          <w:p w:rsidR="00996E6B" w:rsidRPr="00513407" w:rsidRDefault="00996E6B" w:rsidP="00072C20">
            <w:pPr>
              <w:rPr>
                <w:sz w:val="22"/>
                <w:szCs w:val="22"/>
              </w:rPr>
            </w:pPr>
            <w:r w:rsidRPr="00513407">
              <w:rPr>
                <w:sz w:val="22"/>
                <w:szCs w:val="22"/>
              </w:rPr>
              <w:t xml:space="preserve">240 000 </w:t>
            </w:r>
            <w:r w:rsidR="00A15BD0">
              <w:rPr>
                <w:sz w:val="22"/>
                <w:szCs w:val="22"/>
              </w:rPr>
              <w:t xml:space="preserve">(2) </w:t>
            </w:r>
            <w:r w:rsidRPr="00513407">
              <w:rPr>
                <w:sz w:val="22"/>
                <w:szCs w:val="22"/>
              </w:rPr>
              <w:t>x 1/20 x 2/12</w:t>
            </w:r>
          </w:p>
        </w:tc>
        <w:tc>
          <w:tcPr>
            <w:tcW w:w="2194" w:type="dxa"/>
            <w:tcBorders>
              <w:left w:val="single" w:sz="2" w:space="0" w:color="auto"/>
              <w:bottom w:val="nil"/>
              <w:right w:val="single" w:sz="2" w:space="0" w:color="auto"/>
            </w:tcBorders>
          </w:tcPr>
          <w:p w:rsidR="00996E6B" w:rsidRPr="00513407" w:rsidRDefault="00996E6B" w:rsidP="00072C20">
            <w:pPr>
              <w:rPr>
                <w:sz w:val="22"/>
                <w:szCs w:val="22"/>
              </w:rPr>
            </w:pPr>
          </w:p>
        </w:tc>
        <w:tc>
          <w:tcPr>
            <w:tcW w:w="2203" w:type="dxa"/>
            <w:tcBorders>
              <w:left w:val="single" w:sz="2" w:space="0" w:color="auto"/>
              <w:bottom w:val="nil"/>
              <w:right w:val="single" w:sz="2" w:space="0" w:color="auto"/>
            </w:tcBorders>
          </w:tcPr>
          <w:p w:rsidR="00996E6B" w:rsidRPr="00513407" w:rsidRDefault="00996E6B" w:rsidP="00072C20">
            <w:pPr>
              <w:ind w:right="620"/>
              <w:jc w:val="right"/>
              <w:rPr>
                <w:sz w:val="22"/>
                <w:szCs w:val="22"/>
              </w:rPr>
            </w:pPr>
          </w:p>
        </w:tc>
      </w:tr>
      <w:tr w:rsidR="00996E6B" w:rsidRPr="00513407" w:rsidTr="008E621F">
        <w:tblPrEx>
          <w:tblCellMar>
            <w:top w:w="0" w:type="dxa"/>
            <w:left w:w="0" w:type="dxa"/>
            <w:bottom w:w="0" w:type="dxa"/>
            <w:right w:w="0" w:type="dxa"/>
          </w:tblCellMar>
        </w:tblPrEx>
        <w:trPr>
          <w:trHeight w:hRule="exact" w:val="516"/>
          <w:jc w:val="center"/>
        </w:trPr>
        <w:tc>
          <w:tcPr>
            <w:tcW w:w="1071" w:type="dxa"/>
            <w:tcBorders>
              <w:left w:val="single" w:sz="2" w:space="0" w:color="auto"/>
              <w:bottom w:val="nil"/>
              <w:right w:val="single" w:sz="2" w:space="0" w:color="auto"/>
            </w:tcBorders>
          </w:tcPr>
          <w:p w:rsidR="00996E6B" w:rsidRPr="00513407" w:rsidRDefault="00996E6B" w:rsidP="00072C20">
            <w:pPr>
              <w:jc w:val="right"/>
              <w:rPr>
                <w:sz w:val="22"/>
                <w:szCs w:val="22"/>
              </w:rPr>
            </w:pPr>
          </w:p>
        </w:tc>
        <w:tc>
          <w:tcPr>
            <w:tcW w:w="5102" w:type="dxa"/>
            <w:tcBorders>
              <w:left w:val="single" w:sz="2" w:space="0" w:color="auto"/>
              <w:bottom w:val="nil"/>
              <w:right w:val="single" w:sz="2" w:space="0" w:color="auto"/>
            </w:tcBorders>
          </w:tcPr>
          <w:p w:rsidR="00996E6B" w:rsidRPr="00513407" w:rsidRDefault="00996E6B" w:rsidP="00072C20">
            <w:pPr>
              <w:jc w:val="center"/>
              <w:rPr>
                <w:b/>
                <w:sz w:val="22"/>
                <w:szCs w:val="22"/>
              </w:rPr>
            </w:pPr>
            <w:r w:rsidRPr="00513407">
              <w:rPr>
                <w:b/>
                <w:sz w:val="22"/>
                <w:szCs w:val="22"/>
              </w:rPr>
              <w:t>Amortissement du brevet sur sa durée d’utilisation</w:t>
            </w:r>
          </w:p>
          <w:p w:rsidR="008E621F" w:rsidRPr="00513407" w:rsidRDefault="008E621F" w:rsidP="00072C20">
            <w:pPr>
              <w:jc w:val="center"/>
              <w:rPr>
                <w:b/>
                <w:sz w:val="22"/>
                <w:szCs w:val="22"/>
              </w:rPr>
            </w:pPr>
            <w:r w:rsidRPr="00513407">
              <w:rPr>
                <w:b/>
                <w:sz w:val="22"/>
                <w:szCs w:val="22"/>
              </w:rPr>
              <w:t>à compter de la date de dépôt</w:t>
            </w:r>
          </w:p>
        </w:tc>
        <w:tc>
          <w:tcPr>
            <w:tcW w:w="2194" w:type="dxa"/>
            <w:tcBorders>
              <w:left w:val="single" w:sz="2" w:space="0" w:color="auto"/>
              <w:bottom w:val="nil"/>
              <w:right w:val="single" w:sz="2" w:space="0" w:color="auto"/>
            </w:tcBorders>
          </w:tcPr>
          <w:p w:rsidR="00996E6B" w:rsidRPr="00513407" w:rsidRDefault="00996E6B" w:rsidP="00072C20">
            <w:pPr>
              <w:rPr>
                <w:sz w:val="22"/>
                <w:szCs w:val="22"/>
              </w:rPr>
            </w:pPr>
          </w:p>
        </w:tc>
        <w:tc>
          <w:tcPr>
            <w:tcW w:w="2203" w:type="dxa"/>
            <w:tcBorders>
              <w:left w:val="single" w:sz="2" w:space="0" w:color="auto"/>
              <w:bottom w:val="nil"/>
              <w:right w:val="single" w:sz="2" w:space="0" w:color="auto"/>
            </w:tcBorders>
          </w:tcPr>
          <w:p w:rsidR="00996E6B" w:rsidRPr="00513407" w:rsidRDefault="00996E6B" w:rsidP="00072C20">
            <w:pPr>
              <w:ind w:right="620"/>
              <w:jc w:val="right"/>
              <w:rPr>
                <w:sz w:val="22"/>
                <w:szCs w:val="22"/>
              </w:rPr>
            </w:pPr>
          </w:p>
        </w:tc>
      </w:tr>
      <w:tr w:rsidR="00996E6B"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996E6B" w:rsidRPr="00513407" w:rsidRDefault="00996E6B"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996E6B" w:rsidRPr="00513407" w:rsidRDefault="00996E6B"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996E6B" w:rsidRPr="00513407" w:rsidRDefault="00996E6B" w:rsidP="00072C20">
            <w:pPr>
              <w:rPr>
                <w:sz w:val="22"/>
                <w:szCs w:val="22"/>
              </w:rPr>
            </w:pPr>
          </w:p>
        </w:tc>
        <w:tc>
          <w:tcPr>
            <w:tcW w:w="2203" w:type="dxa"/>
            <w:tcBorders>
              <w:top w:val="nil"/>
              <w:left w:val="single" w:sz="2" w:space="0" w:color="auto"/>
              <w:bottom w:val="single" w:sz="4" w:space="0" w:color="auto"/>
              <w:right w:val="single" w:sz="2" w:space="0" w:color="auto"/>
            </w:tcBorders>
          </w:tcPr>
          <w:p w:rsidR="00996E6B" w:rsidRPr="00513407" w:rsidRDefault="00996E6B" w:rsidP="00072C20">
            <w:pPr>
              <w:ind w:right="620"/>
              <w:jc w:val="right"/>
              <w:rPr>
                <w:sz w:val="22"/>
                <w:szCs w:val="22"/>
              </w:rPr>
            </w:pPr>
          </w:p>
        </w:tc>
      </w:tr>
    </w:tbl>
    <w:p w:rsidR="00996E6B" w:rsidRDefault="00996E6B" w:rsidP="009570F3">
      <w:pPr>
        <w:jc w:val="both"/>
        <w:rPr>
          <w:b/>
          <w:sz w:val="22"/>
          <w:szCs w:val="22"/>
        </w:rPr>
      </w:pPr>
    </w:p>
    <w:p w:rsidR="00A15BD0" w:rsidRPr="00513407" w:rsidRDefault="00A15BD0" w:rsidP="00A15BD0">
      <w:pPr>
        <w:jc w:val="both"/>
        <w:rPr>
          <w:sz w:val="22"/>
          <w:szCs w:val="22"/>
        </w:rPr>
      </w:pPr>
      <w:r w:rsidRPr="00A15BD0">
        <w:rPr>
          <w:sz w:val="22"/>
          <w:szCs w:val="22"/>
        </w:rPr>
        <w:t>(2)</w:t>
      </w:r>
      <w:r>
        <w:rPr>
          <w:b/>
          <w:sz w:val="22"/>
          <w:szCs w:val="22"/>
        </w:rPr>
        <w:t xml:space="preserve"> </w:t>
      </w:r>
      <w:r w:rsidRPr="00513407">
        <w:rPr>
          <w:sz w:val="22"/>
          <w:szCs w:val="22"/>
        </w:rPr>
        <w:t xml:space="preserve">La base amortissable </w:t>
      </w:r>
      <w:r>
        <w:rPr>
          <w:sz w:val="22"/>
          <w:szCs w:val="22"/>
        </w:rPr>
        <w:t xml:space="preserve">du logiciel </w:t>
      </w:r>
      <w:r w:rsidRPr="00513407">
        <w:rPr>
          <w:sz w:val="22"/>
          <w:szCs w:val="22"/>
        </w:rPr>
        <w:t>s’élève à 239 400 + 600 = 240 000 €</w:t>
      </w:r>
    </w:p>
    <w:p w:rsidR="00A15BD0" w:rsidRPr="00513407" w:rsidRDefault="00A15BD0" w:rsidP="009570F3">
      <w:pPr>
        <w:jc w:val="both"/>
        <w:rPr>
          <w:b/>
          <w:sz w:val="22"/>
          <w:szCs w:val="22"/>
        </w:rPr>
      </w:pPr>
    </w:p>
    <w:p w:rsidR="00CF604D" w:rsidRPr="00513407" w:rsidRDefault="00CF604D" w:rsidP="00E50F47">
      <w:pPr>
        <w:jc w:val="both"/>
        <w:rPr>
          <w:b/>
          <w:sz w:val="22"/>
          <w:szCs w:val="22"/>
        </w:rPr>
      </w:pPr>
      <w:r w:rsidRPr="00513407">
        <w:rPr>
          <w:b/>
          <w:sz w:val="22"/>
          <w:szCs w:val="22"/>
        </w:rPr>
        <w:t>6. Indiquer le principe comptable qui serait susceptible d’être remis en cause par les indications présentées en annexe 5. Rappeler le contenu de ce principe.</w:t>
      </w:r>
    </w:p>
    <w:p w:rsidR="0090290F" w:rsidRDefault="0090290F" w:rsidP="00996E6B">
      <w:pPr>
        <w:pStyle w:val="Paragraphedeliste"/>
        <w:ind w:left="0"/>
        <w:jc w:val="both"/>
        <w:rPr>
          <w:sz w:val="22"/>
          <w:szCs w:val="22"/>
        </w:rPr>
      </w:pPr>
    </w:p>
    <w:p w:rsidR="00175431" w:rsidRPr="00513407" w:rsidRDefault="00996E6B" w:rsidP="00996E6B">
      <w:pPr>
        <w:pStyle w:val="Paragraphedeliste"/>
        <w:ind w:left="0"/>
        <w:jc w:val="both"/>
        <w:rPr>
          <w:sz w:val="22"/>
          <w:szCs w:val="22"/>
        </w:rPr>
      </w:pPr>
      <w:r w:rsidRPr="00513407">
        <w:rPr>
          <w:sz w:val="22"/>
          <w:szCs w:val="22"/>
        </w:rPr>
        <w:t>Il s’agi</w:t>
      </w:r>
      <w:r w:rsidR="00CF604D" w:rsidRPr="00513407">
        <w:rPr>
          <w:sz w:val="22"/>
          <w:szCs w:val="22"/>
        </w:rPr>
        <w:t xml:space="preserve">t du principe du coût historique </w:t>
      </w:r>
      <w:r w:rsidR="003213E2">
        <w:rPr>
          <w:sz w:val="22"/>
          <w:szCs w:val="22"/>
        </w:rPr>
        <w:t xml:space="preserve">(ou nominalisme monétaire) </w:t>
      </w:r>
      <w:r w:rsidR="00CF604D" w:rsidRPr="00513407">
        <w:rPr>
          <w:sz w:val="22"/>
          <w:szCs w:val="22"/>
        </w:rPr>
        <w:t>car l’annexe 5</w:t>
      </w:r>
      <w:r w:rsidRPr="00513407">
        <w:rPr>
          <w:sz w:val="22"/>
          <w:szCs w:val="22"/>
        </w:rPr>
        <w:t xml:space="preserve"> propose de modifier le prix d’acquisition comptabilisé à l’origine dans le compte d’immobilisation.</w:t>
      </w:r>
    </w:p>
    <w:p w:rsidR="00FF2ECA" w:rsidRDefault="00FF2ECA" w:rsidP="00996E6B">
      <w:pPr>
        <w:pStyle w:val="Paragraphedeliste"/>
        <w:ind w:left="0"/>
        <w:jc w:val="both"/>
        <w:rPr>
          <w:sz w:val="22"/>
          <w:szCs w:val="22"/>
        </w:rPr>
      </w:pPr>
      <w:r w:rsidRPr="00FF2ECA">
        <w:rPr>
          <w:sz w:val="22"/>
          <w:szCs w:val="22"/>
        </w:rPr>
        <w:t>Contenu de ce principe</w:t>
      </w:r>
      <w:r>
        <w:rPr>
          <w:sz w:val="22"/>
          <w:szCs w:val="22"/>
        </w:rPr>
        <w:t> : il consiste à respecter la valeur nominale de la monnaie sans tenir compte des variations de son pouvoir d’achat.</w:t>
      </w:r>
    </w:p>
    <w:p w:rsidR="005100A0" w:rsidRPr="00FF2ECA" w:rsidRDefault="005100A0" w:rsidP="00996E6B">
      <w:pPr>
        <w:pStyle w:val="Paragraphedeliste"/>
        <w:ind w:left="0"/>
        <w:jc w:val="both"/>
        <w:rPr>
          <w:sz w:val="22"/>
          <w:szCs w:val="22"/>
        </w:rPr>
      </w:pPr>
    </w:p>
    <w:p w:rsidR="00175431" w:rsidRPr="00513407" w:rsidRDefault="00CF604D" w:rsidP="00CF604D">
      <w:pPr>
        <w:ind w:left="72"/>
        <w:jc w:val="both"/>
        <w:rPr>
          <w:b/>
          <w:sz w:val="22"/>
          <w:szCs w:val="22"/>
        </w:rPr>
      </w:pPr>
      <w:r w:rsidRPr="00513407">
        <w:rPr>
          <w:b/>
          <w:sz w:val="22"/>
          <w:szCs w:val="22"/>
        </w:rPr>
        <w:t xml:space="preserve">7. </w:t>
      </w:r>
      <w:r w:rsidR="00175431" w:rsidRPr="00513407">
        <w:rPr>
          <w:b/>
          <w:sz w:val="22"/>
          <w:szCs w:val="22"/>
        </w:rPr>
        <w:t>Enregistre</w:t>
      </w:r>
      <w:r w:rsidR="006D480A" w:rsidRPr="00513407">
        <w:rPr>
          <w:b/>
          <w:sz w:val="22"/>
          <w:szCs w:val="22"/>
        </w:rPr>
        <w:t xml:space="preserve">r dans le journal de la SPPR </w:t>
      </w:r>
      <w:r w:rsidR="00175431" w:rsidRPr="00513407">
        <w:rPr>
          <w:b/>
          <w:sz w:val="22"/>
          <w:szCs w:val="22"/>
        </w:rPr>
        <w:t>le paiement de la redevance au 15 mars 2012.</w:t>
      </w:r>
    </w:p>
    <w:p w:rsidR="00072AC0" w:rsidRPr="00513407" w:rsidRDefault="00072AC0" w:rsidP="00072AC0">
      <w:pPr>
        <w:jc w:val="both"/>
        <w:rPr>
          <w:b/>
          <w:sz w:val="22"/>
          <w:szCs w:val="22"/>
        </w:rPr>
      </w:pP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072AC0"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ind w:left="226"/>
              <w:rPr>
                <w:b/>
                <w:bCs/>
                <w:sz w:val="22"/>
                <w:szCs w:val="22"/>
                <w:lang w:val="en-US"/>
              </w:rPr>
            </w:pPr>
            <w:r w:rsidRPr="00513407">
              <w:rPr>
                <w:b/>
                <w:bCs/>
                <w:sz w:val="22"/>
                <w:szCs w:val="22"/>
                <w:lang w:val="en-US"/>
              </w:rPr>
              <w:t>N° de</w:t>
            </w:r>
          </w:p>
          <w:p w:rsidR="00072AC0" w:rsidRPr="00513407" w:rsidRDefault="00072AC0"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1948"/>
              <w:rPr>
                <w:b/>
                <w:bCs/>
                <w:sz w:val="22"/>
                <w:szCs w:val="22"/>
                <w:lang w:val="en-US"/>
              </w:rPr>
            </w:pPr>
            <w:r w:rsidRPr="00513407">
              <w:rPr>
                <w:b/>
                <w:bCs/>
                <w:sz w:val="22"/>
                <w:szCs w:val="22"/>
                <w:lang w:val="en-US"/>
              </w:rPr>
              <w:t>15/03/2012</w:t>
            </w:r>
          </w:p>
          <w:p w:rsidR="00072AC0" w:rsidRPr="00513407" w:rsidRDefault="00072AC0"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748"/>
              <w:rPr>
                <w:b/>
                <w:bCs/>
                <w:sz w:val="22"/>
                <w:szCs w:val="22"/>
                <w:lang w:val="en-US"/>
              </w:rPr>
            </w:pPr>
            <w:r w:rsidRPr="00513407">
              <w:rPr>
                <w:b/>
                <w:bCs/>
                <w:sz w:val="22"/>
                <w:szCs w:val="22"/>
                <w:lang w:val="en-US"/>
              </w:rPr>
              <w:t>Crédit</w:t>
            </w:r>
          </w:p>
        </w:tc>
      </w:tr>
      <w:tr w:rsidR="00072AC0" w:rsidRPr="00513407" w:rsidTr="00072C20">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072AC0" w:rsidRPr="00513407" w:rsidRDefault="00C15D3D" w:rsidP="005100A0">
            <w:pPr>
              <w:ind w:left="62"/>
              <w:rPr>
                <w:sz w:val="22"/>
                <w:szCs w:val="22"/>
                <w:lang w:val="en-US"/>
              </w:rPr>
            </w:pPr>
            <w:r>
              <w:rPr>
                <w:sz w:val="22"/>
                <w:szCs w:val="22"/>
                <w:lang w:val="en-US"/>
              </w:rPr>
              <w:t xml:space="preserve">   6</w:t>
            </w:r>
            <w:r w:rsidR="00072AC0" w:rsidRPr="00513407">
              <w:rPr>
                <w:sz w:val="22"/>
                <w:szCs w:val="22"/>
                <w:lang w:val="en-US"/>
              </w:rPr>
              <w:t>788</w:t>
            </w:r>
          </w:p>
        </w:tc>
        <w:tc>
          <w:tcPr>
            <w:tcW w:w="5102" w:type="dxa"/>
            <w:tcBorders>
              <w:top w:val="single" w:sz="2" w:space="0" w:color="auto"/>
              <w:left w:val="single" w:sz="2" w:space="0" w:color="auto"/>
              <w:bottom w:val="nil"/>
              <w:right w:val="single" w:sz="2" w:space="0" w:color="auto"/>
            </w:tcBorders>
          </w:tcPr>
          <w:p w:rsidR="00072AC0" w:rsidRPr="00513407" w:rsidRDefault="00072AC0" w:rsidP="00072C20">
            <w:pPr>
              <w:rPr>
                <w:sz w:val="22"/>
                <w:szCs w:val="22"/>
              </w:rPr>
            </w:pPr>
            <w:r w:rsidRPr="00513407">
              <w:rPr>
                <w:sz w:val="22"/>
                <w:szCs w:val="22"/>
              </w:rPr>
              <w:t>Charges exceptionnelles diverses</w:t>
            </w:r>
          </w:p>
        </w:tc>
        <w:tc>
          <w:tcPr>
            <w:tcW w:w="2194" w:type="dxa"/>
            <w:tcBorders>
              <w:top w:val="single" w:sz="2" w:space="0" w:color="auto"/>
              <w:left w:val="single" w:sz="2" w:space="0" w:color="auto"/>
              <w:bottom w:val="nil"/>
              <w:right w:val="single" w:sz="2" w:space="0" w:color="auto"/>
            </w:tcBorders>
          </w:tcPr>
          <w:p w:rsidR="00072AC0" w:rsidRPr="00513407" w:rsidRDefault="00355D33" w:rsidP="00072C20">
            <w:pPr>
              <w:ind w:right="557"/>
              <w:jc w:val="right"/>
              <w:rPr>
                <w:sz w:val="22"/>
                <w:szCs w:val="22"/>
                <w:lang w:val="en-US"/>
              </w:rPr>
            </w:pPr>
            <w:r w:rsidRPr="00513407">
              <w:rPr>
                <w:sz w:val="22"/>
                <w:szCs w:val="22"/>
                <w:lang w:val="en-US"/>
              </w:rPr>
              <w:t>6 000,</w:t>
            </w:r>
            <w:r w:rsidR="00072AC0"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072AC0" w:rsidRPr="00513407" w:rsidRDefault="00072AC0" w:rsidP="00072C20">
            <w:pPr>
              <w:rPr>
                <w:sz w:val="22"/>
                <w:szCs w:val="22"/>
                <w:lang w:val="en-US"/>
              </w:rPr>
            </w:pPr>
          </w:p>
        </w:tc>
      </w:tr>
      <w:tr w:rsidR="00072AC0"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072AC0" w:rsidRPr="00513407" w:rsidRDefault="00072AC0" w:rsidP="00C15D3D">
            <w:pPr>
              <w:jc w:val="center"/>
              <w:rPr>
                <w:sz w:val="22"/>
                <w:szCs w:val="22"/>
                <w:lang w:val="en-US"/>
              </w:rPr>
            </w:pPr>
            <w:r w:rsidRPr="00513407">
              <w:rPr>
                <w:sz w:val="22"/>
                <w:szCs w:val="22"/>
                <w:lang w:val="en-US"/>
              </w:rPr>
              <w:t>404003</w:t>
            </w:r>
          </w:p>
        </w:tc>
        <w:tc>
          <w:tcPr>
            <w:tcW w:w="5102" w:type="dxa"/>
            <w:tcBorders>
              <w:top w:val="nil"/>
              <w:left w:val="single" w:sz="2" w:space="0" w:color="auto"/>
              <w:right w:val="single" w:sz="2" w:space="0" w:color="auto"/>
            </w:tcBorders>
          </w:tcPr>
          <w:p w:rsidR="00072AC0" w:rsidRPr="00513407" w:rsidRDefault="00072AC0" w:rsidP="00072C20">
            <w:pPr>
              <w:rPr>
                <w:sz w:val="22"/>
                <w:szCs w:val="22"/>
              </w:rPr>
            </w:pPr>
            <w:r w:rsidRPr="00513407">
              <w:rPr>
                <w:sz w:val="22"/>
                <w:szCs w:val="22"/>
              </w:rPr>
              <w:t xml:space="preserve">Fournisseur </w:t>
            </w:r>
            <w:r w:rsidR="00B512AA" w:rsidRPr="00513407">
              <w:rPr>
                <w:sz w:val="22"/>
                <w:szCs w:val="22"/>
              </w:rPr>
              <w:t xml:space="preserve">d’immobilisation </w:t>
            </w:r>
            <w:r w:rsidRPr="00513407">
              <w:rPr>
                <w:sz w:val="22"/>
                <w:szCs w:val="22"/>
              </w:rPr>
              <w:t>Mucolad</w:t>
            </w:r>
          </w:p>
        </w:tc>
        <w:tc>
          <w:tcPr>
            <w:tcW w:w="2194" w:type="dxa"/>
            <w:tcBorders>
              <w:top w:val="nil"/>
              <w:left w:val="single" w:sz="2" w:space="0" w:color="auto"/>
              <w:right w:val="single" w:sz="2" w:space="0" w:color="auto"/>
            </w:tcBorders>
          </w:tcPr>
          <w:p w:rsidR="00072AC0" w:rsidRPr="00513407" w:rsidRDefault="00072AC0" w:rsidP="00072C20">
            <w:pPr>
              <w:ind w:right="553"/>
              <w:jc w:val="right"/>
              <w:rPr>
                <w:sz w:val="22"/>
                <w:szCs w:val="22"/>
              </w:rPr>
            </w:pPr>
            <w:r w:rsidRPr="00513407">
              <w:rPr>
                <w:sz w:val="22"/>
                <w:szCs w:val="22"/>
              </w:rPr>
              <w:t>19 000,00</w:t>
            </w:r>
          </w:p>
        </w:tc>
        <w:tc>
          <w:tcPr>
            <w:tcW w:w="2203" w:type="dxa"/>
            <w:tcBorders>
              <w:top w:val="nil"/>
              <w:left w:val="single" w:sz="2" w:space="0" w:color="auto"/>
              <w:right w:val="single" w:sz="2" w:space="0" w:color="auto"/>
            </w:tcBorders>
          </w:tcPr>
          <w:p w:rsidR="00072AC0" w:rsidRPr="00513407" w:rsidRDefault="00072AC0" w:rsidP="00072C20">
            <w:pPr>
              <w:ind w:right="620"/>
              <w:jc w:val="right"/>
              <w:rPr>
                <w:sz w:val="22"/>
                <w:szCs w:val="22"/>
                <w:lang w:val="en-US"/>
              </w:rPr>
            </w:pPr>
          </w:p>
        </w:tc>
      </w:tr>
      <w:tr w:rsidR="00072AC0"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072AC0" w:rsidRPr="00513407" w:rsidRDefault="005100A0" w:rsidP="00C15D3D">
            <w:pPr>
              <w:rPr>
                <w:sz w:val="22"/>
                <w:szCs w:val="22"/>
                <w:lang w:val="en-US"/>
              </w:rPr>
            </w:pPr>
            <w:r>
              <w:rPr>
                <w:sz w:val="22"/>
                <w:szCs w:val="22"/>
                <w:lang w:val="en-US"/>
              </w:rPr>
              <w:t xml:space="preserve">    </w:t>
            </w:r>
            <w:r w:rsidR="00072AC0" w:rsidRPr="00513407">
              <w:rPr>
                <w:sz w:val="22"/>
                <w:szCs w:val="22"/>
                <w:lang w:val="en-US"/>
              </w:rPr>
              <w:t>512</w:t>
            </w:r>
          </w:p>
        </w:tc>
        <w:tc>
          <w:tcPr>
            <w:tcW w:w="5102" w:type="dxa"/>
            <w:tcBorders>
              <w:top w:val="nil"/>
              <w:left w:val="single" w:sz="2" w:space="0" w:color="auto"/>
              <w:right w:val="single" w:sz="2" w:space="0" w:color="auto"/>
            </w:tcBorders>
          </w:tcPr>
          <w:p w:rsidR="00072AC0" w:rsidRPr="00513407" w:rsidRDefault="00072AC0" w:rsidP="00072C20">
            <w:pPr>
              <w:jc w:val="center"/>
              <w:rPr>
                <w:sz w:val="22"/>
                <w:szCs w:val="22"/>
              </w:rPr>
            </w:pPr>
            <w:r w:rsidRPr="00513407">
              <w:rPr>
                <w:sz w:val="22"/>
                <w:szCs w:val="22"/>
              </w:rPr>
              <w:t>Banque</w:t>
            </w:r>
          </w:p>
        </w:tc>
        <w:tc>
          <w:tcPr>
            <w:tcW w:w="2194" w:type="dxa"/>
            <w:tcBorders>
              <w:top w:val="nil"/>
              <w:left w:val="single" w:sz="2" w:space="0" w:color="auto"/>
              <w:right w:val="single" w:sz="2" w:space="0" w:color="auto"/>
            </w:tcBorders>
          </w:tcPr>
          <w:p w:rsidR="00072AC0" w:rsidRPr="00513407" w:rsidRDefault="00072AC0" w:rsidP="00072C20">
            <w:pPr>
              <w:rPr>
                <w:sz w:val="22"/>
                <w:szCs w:val="22"/>
              </w:rPr>
            </w:pPr>
          </w:p>
        </w:tc>
        <w:tc>
          <w:tcPr>
            <w:tcW w:w="2203" w:type="dxa"/>
            <w:tcBorders>
              <w:top w:val="nil"/>
              <w:left w:val="single" w:sz="2" w:space="0" w:color="auto"/>
              <w:right w:val="single" w:sz="2" w:space="0" w:color="auto"/>
            </w:tcBorders>
          </w:tcPr>
          <w:p w:rsidR="00072AC0" w:rsidRPr="00513407" w:rsidRDefault="00355D33" w:rsidP="00072C20">
            <w:pPr>
              <w:ind w:right="620"/>
              <w:jc w:val="right"/>
              <w:rPr>
                <w:sz w:val="22"/>
                <w:szCs w:val="22"/>
                <w:lang w:val="en-US"/>
              </w:rPr>
            </w:pPr>
            <w:r w:rsidRPr="00513407">
              <w:rPr>
                <w:sz w:val="22"/>
                <w:szCs w:val="22"/>
                <w:lang w:val="en-US"/>
              </w:rPr>
              <w:t>25 000,</w:t>
            </w:r>
            <w:r w:rsidR="00072AC0" w:rsidRPr="00513407">
              <w:rPr>
                <w:sz w:val="22"/>
                <w:szCs w:val="22"/>
                <w:lang w:val="en-US"/>
              </w:rPr>
              <w:t>00</w:t>
            </w:r>
          </w:p>
        </w:tc>
      </w:tr>
      <w:tr w:rsidR="00072AC0" w:rsidRPr="00513407" w:rsidTr="00072C20">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072AC0" w:rsidRPr="00513407" w:rsidRDefault="00072AC0" w:rsidP="00072C20">
            <w:pPr>
              <w:jc w:val="right"/>
              <w:rPr>
                <w:sz w:val="22"/>
                <w:szCs w:val="22"/>
              </w:rPr>
            </w:pPr>
          </w:p>
        </w:tc>
        <w:tc>
          <w:tcPr>
            <w:tcW w:w="5102" w:type="dxa"/>
            <w:tcBorders>
              <w:left w:val="single" w:sz="2" w:space="0" w:color="auto"/>
              <w:bottom w:val="nil"/>
              <w:right w:val="single" w:sz="2" w:space="0" w:color="auto"/>
            </w:tcBorders>
          </w:tcPr>
          <w:p w:rsidR="00072AC0" w:rsidRPr="00513407" w:rsidRDefault="00670CA8" w:rsidP="00072C20">
            <w:pPr>
              <w:jc w:val="center"/>
              <w:rPr>
                <w:b/>
                <w:sz w:val="22"/>
                <w:szCs w:val="22"/>
              </w:rPr>
            </w:pPr>
            <w:r>
              <w:rPr>
                <w:b/>
                <w:sz w:val="22"/>
                <w:szCs w:val="22"/>
              </w:rPr>
              <w:t>Projet Gitrix – 4ème redevance</w:t>
            </w:r>
            <w:r w:rsidR="00072AC0" w:rsidRPr="00513407">
              <w:rPr>
                <w:b/>
                <w:sz w:val="22"/>
                <w:szCs w:val="22"/>
              </w:rPr>
              <w:t xml:space="preserve"> </w:t>
            </w:r>
            <w:r w:rsidR="00072C20" w:rsidRPr="00513407">
              <w:rPr>
                <w:b/>
                <w:sz w:val="22"/>
                <w:szCs w:val="22"/>
              </w:rPr>
              <w:t>(</w:t>
            </w:r>
            <w:r w:rsidR="00072AC0" w:rsidRPr="00513407">
              <w:rPr>
                <w:b/>
                <w:sz w:val="22"/>
                <w:szCs w:val="22"/>
              </w:rPr>
              <w:t>2011)</w:t>
            </w:r>
          </w:p>
        </w:tc>
        <w:tc>
          <w:tcPr>
            <w:tcW w:w="2194" w:type="dxa"/>
            <w:tcBorders>
              <w:left w:val="single" w:sz="2" w:space="0" w:color="auto"/>
              <w:bottom w:val="nil"/>
              <w:right w:val="single" w:sz="2" w:space="0" w:color="auto"/>
            </w:tcBorders>
          </w:tcPr>
          <w:p w:rsidR="00072AC0" w:rsidRPr="00513407" w:rsidRDefault="00072AC0" w:rsidP="00072C20">
            <w:pPr>
              <w:rPr>
                <w:sz w:val="22"/>
                <w:szCs w:val="22"/>
              </w:rPr>
            </w:pPr>
          </w:p>
        </w:tc>
        <w:tc>
          <w:tcPr>
            <w:tcW w:w="2203" w:type="dxa"/>
            <w:tcBorders>
              <w:left w:val="single" w:sz="2" w:space="0" w:color="auto"/>
              <w:bottom w:val="nil"/>
              <w:right w:val="single" w:sz="2" w:space="0" w:color="auto"/>
            </w:tcBorders>
          </w:tcPr>
          <w:p w:rsidR="00072AC0" w:rsidRPr="00513407" w:rsidRDefault="00072AC0" w:rsidP="00072C20">
            <w:pPr>
              <w:ind w:right="620"/>
              <w:jc w:val="right"/>
              <w:rPr>
                <w:sz w:val="22"/>
                <w:szCs w:val="22"/>
              </w:rPr>
            </w:pPr>
          </w:p>
        </w:tc>
      </w:tr>
      <w:tr w:rsidR="00072AC0"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072AC0" w:rsidRPr="00513407" w:rsidRDefault="00072AC0"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072AC0" w:rsidRPr="00513407" w:rsidRDefault="00072AC0"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072AC0" w:rsidRPr="00513407" w:rsidRDefault="00072AC0" w:rsidP="00072C20">
            <w:pPr>
              <w:rPr>
                <w:sz w:val="22"/>
                <w:szCs w:val="22"/>
              </w:rPr>
            </w:pPr>
          </w:p>
        </w:tc>
        <w:tc>
          <w:tcPr>
            <w:tcW w:w="2203" w:type="dxa"/>
            <w:tcBorders>
              <w:top w:val="nil"/>
              <w:left w:val="single" w:sz="2" w:space="0" w:color="auto"/>
              <w:bottom w:val="single" w:sz="4" w:space="0" w:color="auto"/>
              <w:right w:val="single" w:sz="2" w:space="0" w:color="auto"/>
            </w:tcBorders>
          </w:tcPr>
          <w:p w:rsidR="00072AC0" w:rsidRPr="00513407" w:rsidRDefault="00072AC0" w:rsidP="00072C20">
            <w:pPr>
              <w:ind w:right="620"/>
              <w:jc w:val="right"/>
              <w:rPr>
                <w:sz w:val="22"/>
                <w:szCs w:val="22"/>
              </w:rPr>
            </w:pPr>
          </w:p>
        </w:tc>
      </w:tr>
    </w:tbl>
    <w:p w:rsidR="00634168" w:rsidRPr="00513407" w:rsidRDefault="00634168" w:rsidP="006D480A">
      <w:pPr>
        <w:ind w:left="72"/>
        <w:jc w:val="both"/>
        <w:rPr>
          <w:b/>
          <w:sz w:val="22"/>
          <w:szCs w:val="22"/>
        </w:rPr>
      </w:pPr>
    </w:p>
    <w:p w:rsidR="00C77554" w:rsidRPr="00C77554" w:rsidRDefault="00C77554" w:rsidP="00CF604D">
      <w:pPr>
        <w:jc w:val="both"/>
        <w:rPr>
          <w:sz w:val="22"/>
          <w:szCs w:val="22"/>
        </w:rPr>
      </w:pPr>
      <w:r>
        <w:rPr>
          <w:sz w:val="22"/>
          <w:szCs w:val="22"/>
        </w:rPr>
        <w:t>Les redevances ont été évaluées selon un degré important de fiabilité, donc le complément de redevance est une charge de nature exceptionnelle.</w:t>
      </w:r>
    </w:p>
    <w:p w:rsidR="00C77554" w:rsidRDefault="00934C71" w:rsidP="00CF604D">
      <w:pPr>
        <w:jc w:val="both"/>
        <w:rPr>
          <w:sz w:val="22"/>
          <w:szCs w:val="22"/>
        </w:rPr>
      </w:pPr>
      <w:r w:rsidRPr="00934C71">
        <w:rPr>
          <w:sz w:val="22"/>
          <w:szCs w:val="22"/>
        </w:rPr>
        <w:t xml:space="preserve">Redevance </w:t>
      </w:r>
      <w:r>
        <w:rPr>
          <w:sz w:val="22"/>
          <w:szCs w:val="22"/>
        </w:rPr>
        <w:t>totale</w:t>
      </w:r>
      <w:r>
        <w:rPr>
          <w:sz w:val="22"/>
          <w:szCs w:val="22"/>
        </w:rPr>
        <w:tab/>
        <w:t>: 25 000</w:t>
      </w:r>
    </w:p>
    <w:p w:rsidR="00934C71" w:rsidRDefault="00934C71" w:rsidP="00CF604D">
      <w:pPr>
        <w:jc w:val="both"/>
        <w:rPr>
          <w:sz w:val="22"/>
          <w:szCs w:val="22"/>
        </w:rPr>
      </w:pPr>
      <w:r>
        <w:rPr>
          <w:sz w:val="22"/>
          <w:szCs w:val="22"/>
        </w:rPr>
        <w:t>Solde 404</w:t>
      </w:r>
      <w:r>
        <w:rPr>
          <w:sz w:val="22"/>
          <w:szCs w:val="22"/>
        </w:rPr>
        <w:tab/>
      </w:r>
      <w:r>
        <w:rPr>
          <w:sz w:val="22"/>
          <w:szCs w:val="22"/>
        </w:rPr>
        <w:tab/>
        <w:t xml:space="preserve">: </w:t>
      </w:r>
      <w:r w:rsidRPr="00934C71">
        <w:rPr>
          <w:sz w:val="22"/>
          <w:szCs w:val="22"/>
          <w:u w:val="single"/>
        </w:rPr>
        <w:t>19 000</w:t>
      </w:r>
    </w:p>
    <w:p w:rsidR="00934C71" w:rsidRPr="00934C71" w:rsidRDefault="00934C71" w:rsidP="00CF604D">
      <w:pPr>
        <w:jc w:val="both"/>
        <w:rPr>
          <w:sz w:val="22"/>
          <w:szCs w:val="22"/>
        </w:rPr>
      </w:pPr>
      <w:r>
        <w:rPr>
          <w:sz w:val="22"/>
          <w:szCs w:val="22"/>
        </w:rPr>
        <w:t>Charge 6788</w:t>
      </w:r>
      <w:r>
        <w:rPr>
          <w:sz w:val="22"/>
          <w:szCs w:val="22"/>
        </w:rPr>
        <w:tab/>
      </w:r>
      <w:r>
        <w:rPr>
          <w:sz w:val="22"/>
          <w:szCs w:val="22"/>
        </w:rPr>
        <w:tab/>
        <w:t>:  6 000</w:t>
      </w:r>
      <w:r>
        <w:rPr>
          <w:sz w:val="22"/>
          <w:szCs w:val="22"/>
        </w:rPr>
        <w:tab/>
        <w:t xml:space="preserve"> </w:t>
      </w:r>
    </w:p>
    <w:p w:rsidR="00C77554" w:rsidRDefault="00C77554" w:rsidP="00CF604D">
      <w:pPr>
        <w:jc w:val="both"/>
        <w:rPr>
          <w:b/>
          <w:sz w:val="22"/>
          <w:szCs w:val="22"/>
        </w:rPr>
      </w:pPr>
    </w:p>
    <w:p w:rsidR="00CF604D" w:rsidRPr="00513407" w:rsidRDefault="006C5C83" w:rsidP="00CF604D">
      <w:pPr>
        <w:jc w:val="both"/>
        <w:rPr>
          <w:b/>
          <w:sz w:val="22"/>
          <w:szCs w:val="22"/>
        </w:rPr>
      </w:pPr>
      <w:r w:rsidRPr="00513407">
        <w:rPr>
          <w:b/>
          <w:sz w:val="22"/>
          <w:szCs w:val="22"/>
        </w:rPr>
        <w:t xml:space="preserve">8. </w:t>
      </w:r>
      <w:r w:rsidR="00CF604D" w:rsidRPr="00513407">
        <w:rPr>
          <w:b/>
          <w:sz w:val="22"/>
          <w:szCs w:val="22"/>
        </w:rPr>
        <w:t>Enregistrer chronologiquement au cours de l’exercice 2012 et à l’inventaire au 31/12/2012, toutes les écritures que vous jugerez nécessaires concernant la création de cette nouvelle marque et l’abandon de l’ancienne marque présentée dans l’annexe 3 ; le cas échéant, vous justifierez explicitement l’absence d’écriture.</w:t>
      </w:r>
    </w:p>
    <w:p w:rsidR="00175431" w:rsidRPr="00513407" w:rsidRDefault="00175431" w:rsidP="00175431">
      <w:pPr>
        <w:jc w:val="both"/>
        <w:rPr>
          <w:b/>
          <w:sz w:val="22"/>
          <w:szCs w:val="22"/>
        </w:rPr>
      </w:pP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072AC0"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ind w:left="226"/>
              <w:rPr>
                <w:b/>
                <w:bCs/>
                <w:sz w:val="22"/>
                <w:szCs w:val="22"/>
                <w:lang w:val="en-US"/>
              </w:rPr>
            </w:pPr>
            <w:r w:rsidRPr="00513407">
              <w:rPr>
                <w:b/>
                <w:bCs/>
                <w:sz w:val="22"/>
                <w:szCs w:val="22"/>
                <w:lang w:val="en-US"/>
              </w:rPr>
              <w:t>N° de</w:t>
            </w:r>
          </w:p>
          <w:p w:rsidR="00072AC0" w:rsidRPr="00513407" w:rsidRDefault="00072AC0"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1948"/>
              <w:rPr>
                <w:b/>
                <w:bCs/>
                <w:sz w:val="22"/>
                <w:szCs w:val="22"/>
                <w:lang w:val="en-US"/>
              </w:rPr>
            </w:pPr>
            <w:r w:rsidRPr="00513407">
              <w:rPr>
                <w:b/>
                <w:bCs/>
                <w:sz w:val="22"/>
                <w:szCs w:val="22"/>
                <w:lang w:val="en-US"/>
              </w:rPr>
              <w:t>Au cours de 2012</w:t>
            </w:r>
          </w:p>
          <w:p w:rsidR="00072AC0" w:rsidRPr="00513407" w:rsidRDefault="00072AC0"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748"/>
              <w:rPr>
                <w:b/>
                <w:bCs/>
                <w:sz w:val="22"/>
                <w:szCs w:val="22"/>
                <w:lang w:val="en-US"/>
              </w:rPr>
            </w:pPr>
            <w:r w:rsidRPr="00513407">
              <w:rPr>
                <w:b/>
                <w:bCs/>
                <w:sz w:val="22"/>
                <w:szCs w:val="22"/>
                <w:lang w:val="en-US"/>
              </w:rPr>
              <w:t>Crédit</w:t>
            </w:r>
          </w:p>
        </w:tc>
      </w:tr>
      <w:tr w:rsidR="009503F3" w:rsidRPr="00513407" w:rsidTr="00656828">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9503F3" w:rsidRPr="00513407" w:rsidRDefault="009503F3" w:rsidP="00072C20">
            <w:pPr>
              <w:ind w:left="62"/>
              <w:rPr>
                <w:sz w:val="22"/>
                <w:szCs w:val="22"/>
                <w:lang w:val="en-US"/>
              </w:rPr>
            </w:pPr>
          </w:p>
        </w:tc>
        <w:tc>
          <w:tcPr>
            <w:tcW w:w="9499" w:type="dxa"/>
            <w:gridSpan w:val="3"/>
            <w:vMerge w:val="restart"/>
            <w:tcBorders>
              <w:top w:val="single" w:sz="2" w:space="0" w:color="auto"/>
              <w:left w:val="single" w:sz="2" w:space="0" w:color="auto"/>
              <w:right w:val="single" w:sz="2" w:space="0" w:color="auto"/>
            </w:tcBorders>
          </w:tcPr>
          <w:p w:rsidR="009503F3" w:rsidRPr="00513407" w:rsidRDefault="009503F3" w:rsidP="00072C20">
            <w:pPr>
              <w:rPr>
                <w:sz w:val="22"/>
                <w:szCs w:val="22"/>
              </w:rPr>
            </w:pPr>
            <w:r w:rsidRPr="00513407">
              <w:rPr>
                <w:sz w:val="22"/>
                <w:szCs w:val="22"/>
              </w:rPr>
              <w:t xml:space="preserve">Aucune écriture ne doit être comptabilisée : </w:t>
            </w:r>
          </w:p>
          <w:p w:rsidR="009503F3" w:rsidRPr="00513407" w:rsidRDefault="009503F3" w:rsidP="00072C20">
            <w:pPr>
              <w:rPr>
                <w:sz w:val="22"/>
                <w:szCs w:val="22"/>
              </w:rPr>
            </w:pPr>
            <w:r w:rsidRPr="00513407">
              <w:rPr>
                <w:sz w:val="22"/>
                <w:szCs w:val="22"/>
              </w:rPr>
              <w:t xml:space="preserve">La nouvelle marque ne doit pas être comptabilisée à l’actif car </w:t>
            </w:r>
            <w:r w:rsidRPr="00513407">
              <w:rPr>
                <w:b/>
                <w:sz w:val="22"/>
                <w:szCs w:val="22"/>
              </w:rPr>
              <w:t>sa valeur ne peut être déterminée de façon fiable</w:t>
            </w:r>
            <w:r w:rsidRPr="00513407">
              <w:rPr>
                <w:sz w:val="22"/>
                <w:szCs w:val="22"/>
              </w:rPr>
              <w:t> ; l’ancienne marque ne nécessite aucune écriture courant 2012.</w:t>
            </w:r>
          </w:p>
          <w:p w:rsidR="009503F3" w:rsidRPr="00513407" w:rsidRDefault="009503F3" w:rsidP="00072C20">
            <w:pPr>
              <w:ind w:right="620"/>
              <w:jc w:val="right"/>
              <w:rPr>
                <w:sz w:val="22"/>
                <w:szCs w:val="22"/>
              </w:rPr>
            </w:pPr>
          </w:p>
        </w:tc>
      </w:tr>
      <w:tr w:rsidR="009503F3" w:rsidRPr="00513407" w:rsidTr="00656828">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9503F3" w:rsidRPr="00513407" w:rsidRDefault="009503F3" w:rsidP="00072C20">
            <w:pPr>
              <w:rPr>
                <w:sz w:val="22"/>
                <w:szCs w:val="22"/>
              </w:rPr>
            </w:pPr>
          </w:p>
        </w:tc>
        <w:tc>
          <w:tcPr>
            <w:tcW w:w="9499" w:type="dxa"/>
            <w:gridSpan w:val="3"/>
            <w:vMerge/>
            <w:tcBorders>
              <w:left w:val="single" w:sz="2" w:space="0" w:color="auto"/>
              <w:right w:val="single" w:sz="2" w:space="0" w:color="auto"/>
            </w:tcBorders>
          </w:tcPr>
          <w:p w:rsidR="009503F3" w:rsidRPr="00513407" w:rsidRDefault="009503F3" w:rsidP="00072C20">
            <w:pPr>
              <w:ind w:right="620"/>
              <w:jc w:val="right"/>
              <w:rPr>
                <w:sz w:val="22"/>
                <w:szCs w:val="22"/>
              </w:rPr>
            </w:pPr>
          </w:p>
        </w:tc>
      </w:tr>
      <w:tr w:rsidR="009503F3" w:rsidRPr="00513407" w:rsidTr="00656828">
        <w:tblPrEx>
          <w:tblCellMar>
            <w:top w:w="0" w:type="dxa"/>
            <w:left w:w="0" w:type="dxa"/>
            <w:bottom w:w="0" w:type="dxa"/>
            <w:right w:w="0" w:type="dxa"/>
          </w:tblCellMar>
        </w:tblPrEx>
        <w:trPr>
          <w:trHeight w:hRule="exact" w:val="822"/>
          <w:jc w:val="center"/>
        </w:trPr>
        <w:tc>
          <w:tcPr>
            <w:tcW w:w="1071" w:type="dxa"/>
            <w:tcBorders>
              <w:top w:val="nil"/>
              <w:left w:val="single" w:sz="2" w:space="0" w:color="auto"/>
              <w:right w:val="single" w:sz="2" w:space="0" w:color="auto"/>
            </w:tcBorders>
          </w:tcPr>
          <w:p w:rsidR="009503F3" w:rsidRPr="00513407" w:rsidRDefault="009503F3" w:rsidP="00072C20">
            <w:pPr>
              <w:jc w:val="right"/>
              <w:rPr>
                <w:sz w:val="22"/>
                <w:szCs w:val="22"/>
              </w:rPr>
            </w:pPr>
          </w:p>
        </w:tc>
        <w:tc>
          <w:tcPr>
            <w:tcW w:w="9499" w:type="dxa"/>
            <w:gridSpan w:val="3"/>
            <w:vMerge/>
            <w:tcBorders>
              <w:left w:val="single" w:sz="2" w:space="0" w:color="auto"/>
              <w:right w:val="single" w:sz="2" w:space="0" w:color="auto"/>
            </w:tcBorders>
          </w:tcPr>
          <w:p w:rsidR="009503F3" w:rsidRPr="00513407" w:rsidRDefault="009503F3" w:rsidP="00072C20">
            <w:pPr>
              <w:ind w:right="620"/>
              <w:jc w:val="right"/>
              <w:rPr>
                <w:sz w:val="22"/>
                <w:szCs w:val="22"/>
              </w:rPr>
            </w:pPr>
          </w:p>
        </w:tc>
      </w:tr>
      <w:tr w:rsidR="00072AC0"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072AC0" w:rsidRPr="00513407" w:rsidRDefault="00072AC0"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072AC0" w:rsidRPr="00513407" w:rsidRDefault="00072AC0"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072AC0" w:rsidRPr="00513407" w:rsidRDefault="00072AC0" w:rsidP="00072C20">
            <w:pPr>
              <w:rPr>
                <w:sz w:val="22"/>
                <w:szCs w:val="22"/>
              </w:rPr>
            </w:pPr>
          </w:p>
        </w:tc>
        <w:tc>
          <w:tcPr>
            <w:tcW w:w="2203" w:type="dxa"/>
            <w:tcBorders>
              <w:top w:val="nil"/>
              <w:left w:val="single" w:sz="2" w:space="0" w:color="auto"/>
              <w:bottom w:val="single" w:sz="4" w:space="0" w:color="auto"/>
              <w:right w:val="single" w:sz="2" w:space="0" w:color="auto"/>
            </w:tcBorders>
          </w:tcPr>
          <w:p w:rsidR="00072AC0" w:rsidRPr="00513407" w:rsidRDefault="00072AC0" w:rsidP="00072C20">
            <w:pPr>
              <w:ind w:right="620"/>
              <w:jc w:val="right"/>
              <w:rPr>
                <w:sz w:val="22"/>
                <w:szCs w:val="22"/>
              </w:rPr>
            </w:pPr>
          </w:p>
        </w:tc>
      </w:tr>
    </w:tbl>
    <w:p w:rsidR="00072AC0" w:rsidRPr="00513407" w:rsidRDefault="00072AC0" w:rsidP="00175431">
      <w:pPr>
        <w:jc w:val="both"/>
        <w:rPr>
          <w:b/>
          <w:sz w:val="22"/>
          <w:szCs w:val="22"/>
        </w:rPr>
      </w:pPr>
    </w:p>
    <w:p w:rsidR="00072AC0" w:rsidRDefault="008F20A7" w:rsidP="00072AC0">
      <w:pPr>
        <w:jc w:val="both"/>
        <w:rPr>
          <w:sz w:val="22"/>
          <w:szCs w:val="22"/>
        </w:rPr>
      </w:pPr>
      <w:r>
        <w:rPr>
          <w:sz w:val="22"/>
          <w:szCs w:val="22"/>
        </w:rPr>
        <w:br w:type="page"/>
      </w:r>
      <w:r w:rsidR="009C0F6C" w:rsidRPr="009C0F6C">
        <w:rPr>
          <w:sz w:val="22"/>
          <w:szCs w:val="22"/>
        </w:rPr>
        <w:lastRenderedPageBreak/>
        <w:t>La</w:t>
      </w:r>
      <w:r w:rsidR="009C0F6C">
        <w:rPr>
          <w:sz w:val="22"/>
          <w:szCs w:val="22"/>
        </w:rPr>
        <w:t xml:space="preserve"> décision d’abandonner la marque rend la durée d’utilisation de la marque déterminable (il reste 3 années, donc une dotation aux amortissements doit être effectuée).</w:t>
      </w:r>
    </w:p>
    <w:p w:rsidR="0090290F" w:rsidRPr="009C0F6C" w:rsidRDefault="0090290F" w:rsidP="00072AC0">
      <w:pPr>
        <w:jc w:val="both"/>
        <w:rPr>
          <w:sz w:val="22"/>
          <w:szCs w:val="22"/>
        </w:rPr>
      </w:pP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072AC0" w:rsidRPr="00513407" w:rsidTr="00072C20">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ind w:left="226"/>
              <w:rPr>
                <w:b/>
                <w:bCs/>
                <w:sz w:val="22"/>
                <w:szCs w:val="22"/>
                <w:lang w:val="en-US"/>
              </w:rPr>
            </w:pPr>
            <w:r w:rsidRPr="00513407">
              <w:rPr>
                <w:b/>
                <w:bCs/>
                <w:sz w:val="22"/>
                <w:szCs w:val="22"/>
                <w:lang w:val="en-US"/>
              </w:rPr>
              <w:t>N° de</w:t>
            </w:r>
          </w:p>
          <w:p w:rsidR="00072AC0" w:rsidRPr="00513407" w:rsidRDefault="00072AC0" w:rsidP="00072C20">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1948"/>
              <w:rPr>
                <w:b/>
                <w:bCs/>
                <w:sz w:val="22"/>
                <w:szCs w:val="22"/>
                <w:lang w:val="en-US"/>
              </w:rPr>
            </w:pPr>
            <w:r w:rsidRPr="00513407">
              <w:rPr>
                <w:b/>
                <w:bCs/>
                <w:sz w:val="22"/>
                <w:szCs w:val="22"/>
                <w:lang w:val="en-US"/>
              </w:rPr>
              <w:t>31/12/2012</w:t>
            </w:r>
          </w:p>
          <w:p w:rsidR="00072AC0" w:rsidRPr="00513407" w:rsidRDefault="00072AC0" w:rsidP="00072C20">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072AC0" w:rsidRPr="00513407" w:rsidRDefault="00072AC0" w:rsidP="00072C20">
            <w:pPr>
              <w:spacing w:before="108" w:after="108"/>
              <w:ind w:left="748"/>
              <w:rPr>
                <w:b/>
                <w:bCs/>
                <w:sz w:val="22"/>
                <w:szCs w:val="22"/>
                <w:lang w:val="en-US"/>
              </w:rPr>
            </w:pPr>
            <w:r w:rsidRPr="00513407">
              <w:rPr>
                <w:b/>
                <w:bCs/>
                <w:sz w:val="22"/>
                <w:szCs w:val="22"/>
                <w:lang w:val="en-US"/>
              </w:rPr>
              <w:t>Crédit</w:t>
            </w:r>
          </w:p>
        </w:tc>
      </w:tr>
      <w:tr w:rsidR="00072AC0" w:rsidRPr="00513407" w:rsidTr="00072C20">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072AC0" w:rsidRPr="00513407" w:rsidRDefault="00072AC0" w:rsidP="00C15D3D">
            <w:pPr>
              <w:ind w:left="62"/>
              <w:jc w:val="center"/>
              <w:rPr>
                <w:sz w:val="22"/>
                <w:szCs w:val="22"/>
                <w:lang w:val="en-US"/>
              </w:rPr>
            </w:pPr>
            <w:r w:rsidRPr="00513407">
              <w:rPr>
                <w:sz w:val="22"/>
                <w:szCs w:val="22"/>
                <w:lang w:val="en-US"/>
              </w:rPr>
              <w:t>6811</w:t>
            </w:r>
            <w:r w:rsidR="000E6BD5" w:rsidRPr="00513407">
              <w:rPr>
                <w:sz w:val="22"/>
                <w:szCs w:val="22"/>
                <w:lang w:val="en-US"/>
              </w:rPr>
              <w:t>1</w:t>
            </w:r>
          </w:p>
        </w:tc>
        <w:tc>
          <w:tcPr>
            <w:tcW w:w="5102" w:type="dxa"/>
            <w:tcBorders>
              <w:top w:val="single" w:sz="2" w:space="0" w:color="auto"/>
              <w:left w:val="single" w:sz="2" w:space="0" w:color="auto"/>
              <w:bottom w:val="nil"/>
              <w:right w:val="single" w:sz="2" w:space="0" w:color="auto"/>
            </w:tcBorders>
          </w:tcPr>
          <w:p w:rsidR="00072AC0" w:rsidRPr="00513407" w:rsidRDefault="00072AC0" w:rsidP="00072C20">
            <w:pPr>
              <w:rPr>
                <w:sz w:val="22"/>
                <w:szCs w:val="22"/>
              </w:rPr>
            </w:pPr>
            <w:r w:rsidRPr="00513407">
              <w:rPr>
                <w:sz w:val="22"/>
                <w:szCs w:val="22"/>
              </w:rPr>
              <w:t>Dotations aux amortissements</w:t>
            </w:r>
            <w:r w:rsidR="000E6BD5" w:rsidRPr="00513407">
              <w:rPr>
                <w:sz w:val="22"/>
                <w:szCs w:val="22"/>
              </w:rPr>
              <w:t>-Immo Incorporelles</w:t>
            </w:r>
          </w:p>
        </w:tc>
        <w:tc>
          <w:tcPr>
            <w:tcW w:w="2194" w:type="dxa"/>
            <w:tcBorders>
              <w:top w:val="single" w:sz="2" w:space="0" w:color="auto"/>
              <w:left w:val="single" w:sz="2" w:space="0" w:color="auto"/>
              <w:bottom w:val="nil"/>
              <w:right w:val="single" w:sz="2" w:space="0" w:color="auto"/>
            </w:tcBorders>
          </w:tcPr>
          <w:p w:rsidR="00072AC0" w:rsidRPr="00513407" w:rsidRDefault="00B512AA" w:rsidP="00072C20">
            <w:pPr>
              <w:ind w:right="557"/>
              <w:jc w:val="right"/>
              <w:rPr>
                <w:sz w:val="22"/>
                <w:szCs w:val="22"/>
                <w:lang w:val="en-US"/>
              </w:rPr>
            </w:pPr>
            <w:r w:rsidRPr="00513407">
              <w:rPr>
                <w:sz w:val="22"/>
                <w:szCs w:val="22"/>
                <w:lang w:val="en-US"/>
              </w:rPr>
              <w:t>10</w:t>
            </w:r>
            <w:r w:rsidR="00355D33" w:rsidRPr="00513407">
              <w:rPr>
                <w:sz w:val="22"/>
                <w:szCs w:val="22"/>
                <w:lang w:val="en-US"/>
              </w:rPr>
              <w:t xml:space="preserve"> 000,</w:t>
            </w:r>
            <w:r w:rsidR="00072AC0"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072AC0" w:rsidRPr="00513407" w:rsidRDefault="00072AC0" w:rsidP="00072C20">
            <w:pPr>
              <w:rPr>
                <w:sz w:val="22"/>
                <w:szCs w:val="22"/>
                <w:lang w:val="en-US"/>
              </w:rPr>
            </w:pPr>
          </w:p>
        </w:tc>
      </w:tr>
      <w:tr w:rsidR="00072AC0" w:rsidRPr="00513407" w:rsidTr="00072C20">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072AC0" w:rsidRPr="00513407" w:rsidRDefault="00072AC0" w:rsidP="00C15D3D">
            <w:pPr>
              <w:jc w:val="center"/>
              <w:rPr>
                <w:sz w:val="22"/>
                <w:szCs w:val="22"/>
                <w:lang w:val="en-US"/>
              </w:rPr>
            </w:pPr>
            <w:r w:rsidRPr="00513407">
              <w:rPr>
                <w:sz w:val="22"/>
                <w:szCs w:val="22"/>
                <w:lang w:val="en-US"/>
              </w:rPr>
              <w:t>2805</w:t>
            </w:r>
          </w:p>
        </w:tc>
        <w:tc>
          <w:tcPr>
            <w:tcW w:w="5102" w:type="dxa"/>
            <w:tcBorders>
              <w:top w:val="nil"/>
              <w:left w:val="single" w:sz="2" w:space="0" w:color="auto"/>
              <w:right w:val="single" w:sz="2" w:space="0" w:color="auto"/>
            </w:tcBorders>
          </w:tcPr>
          <w:p w:rsidR="00072AC0" w:rsidRPr="00513407" w:rsidRDefault="00072AC0" w:rsidP="00072C20">
            <w:pPr>
              <w:jc w:val="center"/>
              <w:rPr>
                <w:sz w:val="22"/>
                <w:szCs w:val="22"/>
              </w:rPr>
            </w:pPr>
            <w:r w:rsidRPr="00513407">
              <w:rPr>
                <w:sz w:val="22"/>
                <w:szCs w:val="22"/>
              </w:rPr>
              <w:t>Amortissement des concessions et dts similaires, brevets ….</w:t>
            </w:r>
          </w:p>
        </w:tc>
        <w:tc>
          <w:tcPr>
            <w:tcW w:w="2194" w:type="dxa"/>
            <w:tcBorders>
              <w:top w:val="nil"/>
              <w:left w:val="single" w:sz="2" w:space="0" w:color="auto"/>
              <w:right w:val="single" w:sz="2" w:space="0" w:color="auto"/>
            </w:tcBorders>
          </w:tcPr>
          <w:p w:rsidR="00072AC0" w:rsidRPr="00513407" w:rsidRDefault="00072AC0" w:rsidP="00072C20">
            <w:pPr>
              <w:rPr>
                <w:sz w:val="22"/>
                <w:szCs w:val="22"/>
              </w:rPr>
            </w:pPr>
          </w:p>
        </w:tc>
        <w:tc>
          <w:tcPr>
            <w:tcW w:w="2203" w:type="dxa"/>
            <w:tcBorders>
              <w:top w:val="nil"/>
              <w:left w:val="single" w:sz="2" w:space="0" w:color="auto"/>
              <w:right w:val="single" w:sz="2" w:space="0" w:color="auto"/>
            </w:tcBorders>
          </w:tcPr>
          <w:p w:rsidR="00072AC0" w:rsidRPr="00513407" w:rsidRDefault="00B512AA" w:rsidP="00072C20">
            <w:pPr>
              <w:ind w:right="620"/>
              <w:jc w:val="right"/>
              <w:rPr>
                <w:sz w:val="22"/>
                <w:szCs w:val="22"/>
                <w:lang w:val="en-US"/>
              </w:rPr>
            </w:pPr>
            <w:r w:rsidRPr="00513407">
              <w:rPr>
                <w:sz w:val="22"/>
                <w:szCs w:val="22"/>
                <w:lang w:val="en-US"/>
              </w:rPr>
              <w:t>10</w:t>
            </w:r>
            <w:r w:rsidR="00355D33" w:rsidRPr="00513407">
              <w:rPr>
                <w:sz w:val="22"/>
                <w:szCs w:val="22"/>
                <w:lang w:val="en-US"/>
              </w:rPr>
              <w:t xml:space="preserve"> 000,</w:t>
            </w:r>
            <w:r w:rsidR="00072AC0" w:rsidRPr="00513407">
              <w:rPr>
                <w:sz w:val="22"/>
                <w:szCs w:val="22"/>
                <w:lang w:val="en-US"/>
              </w:rPr>
              <w:t>00</w:t>
            </w:r>
          </w:p>
        </w:tc>
      </w:tr>
      <w:tr w:rsidR="00072AC0" w:rsidRPr="00513407" w:rsidTr="00072C20">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072AC0" w:rsidRPr="00513407" w:rsidRDefault="00072AC0" w:rsidP="00072C20">
            <w:pPr>
              <w:jc w:val="right"/>
              <w:rPr>
                <w:sz w:val="22"/>
                <w:szCs w:val="22"/>
              </w:rPr>
            </w:pPr>
          </w:p>
        </w:tc>
        <w:tc>
          <w:tcPr>
            <w:tcW w:w="5102" w:type="dxa"/>
            <w:tcBorders>
              <w:left w:val="single" w:sz="2" w:space="0" w:color="auto"/>
              <w:bottom w:val="nil"/>
              <w:right w:val="single" w:sz="2" w:space="0" w:color="auto"/>
            </w:tcBorders>
          </w:tcPr>
          <w:p w:rsidR="00072AC0" w:rsidRPr="00513407" w:rsidRDefault="00072AC0" w:rsidP="00072C20">
            <w:pPr>
              <w:rPr>
                <w:sz w:val="22"/>
                <w:szCs w:val="22"/>
              </w:rPr>
            </w:pPr>
            <w:r w:rsidRPr="00513407">
              <w:rPr>
                <w:sz w:val="22"/>
                <w:szCs w:val="22"/>
              </w:rPr>
              <w:t>Abandon de l’ancienne marque : 30 000 x 1/3</w:t>
            </w:r>
          </w:p>
        </w:tc>
        <w:tc>
          <w:tcPr>
            <w:tcW w:w="2194" w:type="dxa"/>
            <w:tcBorders>
              <w:left w:val="single" w:sz="2" w:space="0" w:color="auto"/>
              <w:bottom w:val="nil"/>
              <w:right w:val="single" w:sz="2" w:space="0" w:color="auto"/>
            </w:tcBorders>
          </w:tcPr>
          <w:p w:rsidR="00072AC0" w:rsidRPr="00513407" w:rsidRDefault="00072AC0" w:rsidP="00072C20">
            <w:pPr>
              <w:rPr>
                <w:sz w:val="22"/>
                <w:szCs w:val="22"/>
              </w:rPr>
            </w:pPr>
          </w:p>
        </w:tc>
        <w:tc>
          <w:tcPr>
            <w:tcW w:w="2203" w:type="dxa"/>
            <w:tcBorders>
              <w:left w:val="single" w:sz="2" w:space="0" w:color="auto"/>
              <w:bottom w:val="nil"/>
              <w:right w:val="single" w:sz="2" w:space="0" w:color="auto"/>
            </w:tcBorders>
          </w:tcPr>
          <w:p w:rsidR="00072AC0" w:rsidRPr="00513407" w:rsidRDefault="00072AC0" w:rsidP="00072C20">
            <w:pPr>
              <w:ind w:right="620"/>
              <w:jc w:val="right"/>
              <w:rPr>
                <w:sz w:val="22"/>
                <w:szCs w:val="22"/>
              </w:rPr>
            </w:pPr>
          </w:p>
        </w:tc>
      </w:tr>
      <w:tr w:rsidR="00072AC0" w:rsidRPr="00513407" w:rsidTr="008F20A7">
        <w:tblPrEx>
          <w:tblCellMar>
            <w:top w:w="0" w:type="dxa"/>
            <w:left w:w="0" w:type="dxa"/>
            <w:bottom w:w="0" w:type="dxa"/>
            <w:right w:w="0" w:type="dxa"/>
          </w:tblCellMar>
        </w:tblPrEx>
        <w:trPr>
          <w:trHeight w:hRule="exact" w:val="516"/>
          <w:jc w:val="center"/>
        </w:trPr>
        <w:tc>
          <w:tcPr>
            <w:tcW w:w="1071" w:type="dxa"/>
            <w:tcBorders>
              <w:left w:val="single" w:sz="2" w:space="0" w:color="auto"/>
              <w:bottom w:val="nil"/>
              <w:right w:val="single" w:sz="2" w:space="0" w:color="auto"/>
            </w:tcBorders>
          </w:tcPr>
          <w:p w:rsidR="00072AC0" w:rsidRPr="00513407" w:rsidRDefault="00072AC0" w:rsidP="00072C20">
            <w:pPr>
              <w:jc w:val="right"/>
              <w:rPr>
                <w:sz w:val="22"/>
                <w:szCs w:val="22"/>
              </w:rPr>
            </w:pPr>
          </w:p>
        </w:tc>
        <w:tc>
          <w:tcPr>
            <w:tcW w:w="5102" w:type="dxa"/>
            <w:tcBorders>
              <w:left w:val="single" w:sz="2" w:space="0" w:color="auto"/>
              <w:bottom w:val="nil"/>
              <w:right w:val="single" w:sz="2" w:space="0" w:color="auto"/>
            </w:tcBorders>
          </w:tcPr>
          <w:p w:rsidR="00072AC0" w:rsidRPr="00513407" w:rsidRDefault="00072AC0" w:rsidP="00072AC0">
            <w:pPr>
              <w:jc w:val="center"/>
              <w:rPr>
                <w:b/>
                <w:sz w:val="22"/>
                <w:szCs w:val="22"/>
              </w:rPr>
            </w:pPr>
            <w:r w:rsidRPr="00513407">
              <w:rPr>
                <w:b/>
                <w:sz w:val="22"/>
                <w:szCs w:val="22"/>
              </w:rPr>
              <w:t>Amortissement sur la durée de vie résiduelle</w:t>
            </w:r>
          </w:p>
          <w:p w:rsidR="008E621F" w:rsidRPr="00513407" w:rsidRDefault="008E621F" w:rsidP="00072AC0">
            <w:pPr>
              <w:jc w:val="center"/>
              <w:rPr>
                <w:b/>
                <w:sz w:val="22"/>
                <w:szCs w:val="22"/>
              </w:rPr>
            </w:pPr>
            <w:r w:rsidRPr="00513407">
              <w:rPr>
                <w:b/>
                <w:sz w:val="22"/>
                <w:szCs w:val="22"/>
              </w:rPr>
              <w:t>à compter de la décision d’abandon</w:t>
            </w:r>
          </w:p>
        </w:tc>
        <w:tc>
          <w:tcPr>
            <w:tcW w:w="2194" w:type="dxa"/>
            <w:tcBorders>
              <w:left w:val="single" w:sz="2" w:space="0" w:color="auto"/>
              <w:bottom w:val="nil"/>
              <w:right w:val="single" w:sz="2" w:space="0" w:color="auto"/>
            </w:tcBorders>
          </w:tcPr>
          <w:p w:rsidR="00072AC0" w:rsidRPr="00513407" w:rsidRDefault="00072AC0" w:rsidP="00072C20">
            <w:pPr>
              <w:rPr>
                <w:sz w:val="22"/>
                <w:szCs w:val="22"/>
              </w:rPr>
            </w:pPr>
          </w:p>
        </w:tc>
        <w:tc>
          <w:tcPr>
            <w:tcW w:w="2203" w:type="dxa"/>
            <w:tcBorders>
              <w:left w:val="single" w:sz="2" w:space="0" w:color="auto"/>
              <w:bottom w:val="nil"/>
              <w:right w:val="single" w:sz="2" w:space="0" w:color="auto"/>
            </w:tcBorders>
          </w:tcPr>
          <w:p w:rsidR="00072AC0" w:rsidRPr="00513407" w:rsidRDefault="00072AC0" w:rsidP="00072C20">
            <w:pPr>
              <w:ind w:right="620"/>
              <w:jc w:val="right"/>
              <w:rPr>
                <w:sz w:val="22"/>
                <w:szCs w:val="22"/>
              </w:rPr>
            </w:pPr>
          </w:p>
        </w:tc>
      </w:tr>
      <w:tr w:rsidR="00072AC0" w:rsidRPr="00513407" w:rsidTr="00072C20">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072AC0" w:rsidRPr="00513407" w:rsidRDefault="00072AC0" w:rsidP="00072C20">
            <w:pPr>
              <w:jc w:val="right"/>
              <w:rPr>
                <w:sz w:val="22"/>
                <w:szCs w:val="22"/>
              </w:rPr>
            </w:pPr>
          </w:p>
        </w:tc>
        <w:tc>
          <w:tcPr>
            <w:tcW w:w="5102" w:type="dxa"/>
            <w:tcBorders>
              <w:top w:val="nil"/>
              <w:left w:val="single" w:sz="2" w:space="0" w:color="auto"/>
              <w:bottom w:val="single" w:sz="4" w:space="0" w:color="auto"/>
              <w:right w:val="single" w:sz="2" w:space="0" w:color="auto"/>
            </w:tcBorders>
          </w:tcPr>
          <w:p w:rsidR="00072AC0" w:rsidRPr="00513407" w:rsidRDefault="00072AC0" w:rsidP="00072C20">
            <w:pPr>
              <w:jc w:val="right"/>
              <w:rPr>
                <w:sz w:val="22"/>
                <w:szCs w:val="22"/>
              </w:rPr>
            </w:pPr>
          </w:p>
        </w:tc>
        <w:tc>
          <w:tcPr>
            <w:tcW w:w="2194" w:type="dxa"/>
            <w:tcBorders>
              <w:top w:val="nil"/>
              <w:left w:val="single" w:sz="2" w:space="0" w:color="auto"/>
              <w:bottom w:val="single" w:sz="4" w:space="0" w:color="auto"/>
              <w:right w:val="single" w:sz="2" w:space="0" w:color="auto"/>
            </w:tcBorders>
          </w:tcPr>
          <w:p w:rsidR="00072AC0" w:rsidRPr="00513407" w:rsidRDefault="00072AC0" w:rsidP="00072C20">
            <w:pPr>
              <w:rPr>
                <w:sz w:val="22"/>
                <w:szCs w:val="22"/>
              </w:rPr>
            </w:pPr>
          </w:p>
        </w:tc>
        <w:tc>
          <w:tcPr>
            <w:tcW w:w="2203" w:type="dxa"/>
            <w:tcBorders>
              <w:top w:val="nil"/>
              <w:left w:val="single" w:sz="2" w:space="0" w:color="auto"/>
              <w:bottom w:val="single" w:sz="4" w:space="0" w:color="auto"/>
              <w:right w:val="single" w:sz="2" w:space="0" w:color="auto"/>
            </w:tcBorders>
          </w:tcPr>
          <w:p w:rsidR="00072AC0" w:rsidRPr="00513407" w:rsidRDefault="00072AC0" w:rsidP="00072C20">
            <w:pPr>
              <w:ind w:right="620"/>
              <w:jc w:val="right"/>
              <w:rPr>
                <w:sz w:val="22"/>
                <w:szCs w:val="22"/>
              </w:rPr>
            </w:pPr>
          </w:p>
        </w:tc>
      </w:tr>
    </w:tbl>
    <w:p w:rsidR="00072AC0" w:rsidRPr="00513407" w:rsidRDefault="00072AC0" w:rsidP="00175431">
      <w:pPr>
        <w:jc w:val="both"/>
        <w:rPr>
          <w:b/>
          <w:sz w:val="22"/>
          <w:szCs w:val="22"/>
        </w:rPr>
      </w:pPr>
    </w:p>
    <w:p w:rsidR="00CF604D" w:rsidRPr="00DD3310" w:rsidRDefault="00CF604D" w:rsidP="00CF604D">
      <w:pPr>
        <w:jc w:val="both"/>
        <w:rPr>
          <w:b/>
          <w:bCs/>
          <w:sz w:val="22"/>
          <w:szCs w:val="22"/>
        </w:rPr>
      </w:pPr>
      <w:r w:rsidRPr="00513407">
        <w:rPr>
          <w:b/>
          <w:bCs/>
          <w:sz w:val="22"/>
          <w:szCs w:val="22"/>
        </w:rPr>
        <w:t>9. Rappeler la différence de traitement comptable des dépenses de développement et des dépenses liées à la</w:t>
      </w:r>
      <w:r w:rsidR="00DD3310">
        <w:rPr>
          <w:b/>
          <w:bCs/>
          <w:sz w:val="22"/>
          <w:szCs w:val="22"/>
        </w:rPr>
        <w:t xml:space="preserve"> </w:t>
      </w:r>
      <w:r w:rsidRPr="00513407">
        <w:rPr>
          <w:b/>
          <w:bCs/>
          <w:sz w:val="22"/>
          <w:szCs w:val="22"/>
        </w:rPr>
        <w:t xml:space="preserve">création </w:t>
      </w:r>
      <w:r w:rsidRPr="00513407">
        <w:rPr>
          <w:b/>
          <w:sz w:val="22"/>
          <w:szCs w:val="22"/>
        </w:rPr>
        <w:t>de logiciels internes.</w:t>
      </w:r>
    </w:p>
    <w:p w:rsidR="0090290F" w:rsidRDefault="0090290F" w:rsidP="00175431">
      <w:pPr>
        <w:rPr>
          <w:sz w:val="22"/>
          <w:szCs w:val="22"/>
        </w:rPr>
      </w:pPr>
    </w:p>
    <w:p w:rsidR="00634168" w:rsidRPr="00513407" w:rsidRDefault="00EA140A" w:rsidP="00175431">
      <w:pPr>
        <w:rPr>
          <w:sz w:val="22"/>
          <w:szCs w:val="22"/>
        </w:rPr>
      </w:pPr>
      <w:r w:rsidRPr="00513407">
        <w:rPr>
          <w:sz w:val="22"/>
          <w:szCs w:val="22"/>
        </w:rPr>
        <w:t xml:space="preserve">Lorsque les conditions d’inscription à l’actif  sont réunies pour les dépenses liées à la création de logiciels internes, cette inscription est </w:t>
      </w:r>
      <w:r w:rsidRPr="00C910FB">
        <w:rPr>
          <w:b/>
          <w:sz w:val="22"/>
          <w:szCs w:val="22"/>
        </w:rPr>
        <w:t>obligatoire</w:t>
      </w:r>
      <w:r w:rsidRPr="00513407">
        <w:rPr>
          <w:sz w:val="22"/>
          <w:szCs w:val="22"/>
        </w:rPr>
        <w:t>. Pour les dépenses de développement l’inscription à l’actif constitue la méthode préférentielle.</w:t>
      </w:r>
    </w:p>
    <w:p w:rsidR="00634168" w:rsidRPr="00513407" w:rsidRDefault="00634168" w:rsidP="00175431">
      <w:pPr>
        <w:rPr>
          <w:sz w:val="22"/>
          <w:szCs w:val="22"/>
        </w:rPr>
      </w:pPr>
    </w:p>
    <w:p w:rsidR="00175431" w:rsidRPr="00DD3310" w:rsidRDefault="00175431" w:rsidP="00175431">
      <w:pPr>
        <w:rPr>
          <w:b/>
          <w:sz w:val="8"/>
          <w:szCs w:val="8"/>
        </w:rPr>
      </w:pPr>
    </w:p>
    <w:p w:rsidR="00175431" w:rsidRPr="00513407" w:rsidRDefault="00175431" w:rsidP="00175431">
      <w:pPr>
        <w:pBdr>
          <w:top w:val="single" w:sz="4" w:space="9" w:color="000000"/>
          <w:left w:val="single" w:sz="4" w:space="1" w:color="auto"/>
          <w:bottom w:val="single" w:sz="4" w:space="14" w:color="000000"/>
          <w:right w:val="single" w:sz="4" w:space="0" w:color="000000"/>
        </w:pBdr>
        <w:shd w:val="solid" w:color="C0C0C0" w:fill="auto"/>
        <w:spacing w:after="221"/>
        <w:ind w:left="53"/>
        <w:jc w:val="center"/>
        <w:rPr>
          <w:b/>
          <w:bCs/>
          <w:color w:val="000000"/>
          <w:spacing w:val="14"/>
          <w:sz w:val="26"/>
          <w:szCs w:val="26"/>
        </w:rPr>
      </w:pPr>
      <w:r w:rsidRPr="00513407">
        <w:rPr>
          <w:b/>
          <w:bCs/>
          <w:color w:val="000000"/>
          <w:spacing w:val="14"/>
          <w:sz w:val="26"/>
          <w:szCs w:val="26"/>
        </w:rPr>
        <w:t xml:space="preserve">DOSSIER 3 – </w:t>
      </w:r>
      <w:r w:rsidR="00A17E45" w:rsidRPr="00513407">
        <w:rPr>
          <w:b/>
          <w:bCs/>
          <w:color w:val="000000"/>
          <w:spacing w:val="14"/>
          <w:sz w:val="26"/>
          <w:szCs w:val="26"/>
        </w:rPr>
        <w:t xml:space="preserve">ENGAGEMENTS </w:t>
      </w:r>
      <w:r w:rsidR="00DD31C3" w:rsidRPr="00513407">
        <w:rPr>
          <w:b/>
          <w:bCs/>
          <w:color w:val="000000"/>
          <w:spacing w:val="14"/>
          <w:sz w:val="26"/>
          <w:szCs w:val="26"/>
        </w:rPr>
        <w:t>« </w:t>
      </w:r>
      <w:r w:rsidR="00A17E45" w:rsidRPr="00513407">
        <w:rPr>
          <w:b/>
          <w:bCs/>
          <w:color w:val="000000"/>
          <w:spacing w:val="14"/>
          <w:sz w:val="26"/>
          <w:szCs w:val="26"/>
        </w:rPr>
        <w:t>HORS-</w:t>
      </w:r>
      <w:r w:rsidR="008D2011" w:rsidRPr="00513407">
        <w:rPr>
          <w:b/>
          <w:bCs/>
          <w:color w:val="000000"/>
          <w:spacing w:val="14"/>
          <w:sz w:val="26"/>
          <w:szCs w:val="26"/>
        </w:rPr>
        <w:t>BILAN</w:t>
      </w:r>
      <w:r w:rsidR="00DD31C3" w:rsidRPr="00513407">
        <w:rPr>
          <w:b/>
          <w:bCs/>
          <w:color w:val="000000"/>
          <w:spacing w:val="14"/>
          <w:sz w:val="26"/>
          <w:szCs w:val="26"/>
        </w:rPr>
        <w:t> » ET ANNEXE</w:t>
      </w:r>
    </w:p>
    <w:p w:rsidR="00A42195" w:rsidRPr="00513407" w:rsidRDefault="00DD3310" w:rsidP="00DD3310">
      <w:pPr>
        <w:suppressAutoHyphens w:val="0"/>
        <w:autoSpaceDN w:val="0"/>
        <w:ind w:right="74"/>
        <w:jc w:val="both"/>
        <w:rPr>
          <w:b/>
          <w:bCs/>
          <w:sz w:val="22"/>
          <w:szCs w:val="22"/>
        </w:rPr>
      </w:pPr>
      <w:r>
        <w:rPr>
          <w:b/>
          <w:bCs/>
          <w:sz w:val="22"/>
          <w:szCs w:val="22"/>
        </w:rPr>
        <w:t xml:space="preserve">1. </w:t>
      </w:r>
      <w:r w:rsidR="00114CB4" w:rsidRPr="00513407">
        <w:rPr>
          <w:b/>
          <w:bCs/>
          <w:sz w:val="22"/>
          <w:szCs w:val="22"/>
        </w:rPr>
        <w:t>Justifier l’utilité des engagements « hors-bilan ».</w:t>
      </w:r>
    </w:p>
    <w:p w:rsidR="0090290F" w:rsidRDefault="0090290F" w:rsidP="00DD3310">
      <w:pPr>
        <w:suppressAutoHyphens w:val="0"/>
        <w:autoSpaceDN w:val="0"/>
        <w:ind w:right="72"/>
        <w:jc w:val="both"/>
        <w:rPr>
          <w:bCs/>
          <w:sz w:val="22"/>
          <w:szCs w:val="22"/>
        </w:rPr>
      </w:pPr>
    </w:p>
    <w:p w:rsidR="00DD31C3" w:rsidRPr="00513407" w:rsidRDefault="00A42195" w:rsidP="00DD3310">
      <w:pPr>
        <w:suppressAutoHyphens w:val="0"/>
        <w:autoSpaceDN w:val="0"/>
        <w:ind w:right="72"/>
        <w:jc w:val="both"/>
        <w:rPr>
          <w:bCs/>
          <w:sz w:val="22"/>
          <w:szCs w:val="22"/>
        </w:rPr>
      </w:pPr>
      <w:r w:rsidRPr="00513407">
        <w:rPr>
          <w:bCs/>
          <w:sz w:val="22"/>
          <w:szCs w:val="22"/>
        </w:rPr>
        <w:t>Il peut exister des opérations non encore réalisées ou non traduites en comptabilité mais qui ont une importance pour l’appréciation de la situation financière d’une entité. Il est donc nécessaire d’en faire mention dans l’annexe afin de donner la meilleure information possible.</w:t>
      </w:r>
    </w:p>
    <w:p w:rsidR="00DD3310" w:rsidRDefault="00DD3310" w:rsidP="00DD3310">
      <w:pPr>
        <w:suppressAutoHyphens w:val="0"/>
        <w:autoSpaceDN w:val="0"/>
        <w:ind w:right="72"/>
        <w:jc w:val="both"/>
        <w:rPr>
          <w:b/>
          <w:bCs/>
          <w:sz w:val="22"/>
          <w:szCs w:val="22"/>
        </w:rPr>
      </w:pPr>
    </w:p>
    <w:p w:rsidR="00F80B5D" w:rsidRPr="00513407" w:rsidRDefault="00DD31C3" w:rsidP="00DD3310">
      <w:pPr>
        <w:suppressAutoHyphens w:val="0"/>
        <w:autoSpaceDN w:val="0"/>
        <w:ind w:right="72"/>
        <w:jc w:val="both"/>
        <w:rPr>
          <w:bCs/>
          <w:sz w:val="22"/>
          <w:szCs w:val="22"/>
        </w:rPr>
      </w:pPr>
      <w:r w:rsidRPr="00513407">
        <w:rPr>
          <w:b/>
          <w:bCs/>
          <w:sz w:val="22"/>
          <w:szCs w:val="22"/>
        </w:rPr>
        <w:t>2.</w:t>
      </w:r>
      <w:r w:rsidRPr="00513407">
        <w:rPr>
          <w:bCs/>
          <w:sz w:val="22"/>
          <w:szCs w:val="22"/>
        </w:rPr>
        <w:t xml:space="preserve"> </w:t>
      </w:r>
      <w:r w:rsidR="00F80B5D" w:rsidRPr="00513407">
        <w:rPr>
          <w:b/>
          <w:bCs/>
          <w:sz w:val="22"/>
          <w:szCs w:val="22"/>
        </w:rPr>
        <w:t>Expliquer ce qu’est un engagement réciproque.</w:t>
      </w:r>
    </w:p>
    <w:p w:rsidR="0090290F" w:rsidRDefault="0090290F" w:rsidP="00DD3310">
      <w:pPr>
        <w:suppressAutoHyphens w:val="0"/>
        <w:autoSpaceDN w:val="0"/>
        <w:ind w:right="72"/>
        <w:jc w:val="both"/>
        <w:rPr>
          <w:bCs/>
          <w:sz w:val="22"/>
          <w:szCs w:val="22"/>
        </w:rPr>
      </w:pPr>
    </w:p>
    <w:p w:rsidR="00F80B5D" w:rsidRPr="00513407" w:rsidRDefault="00F80B5D" w:rsidP="00DD3310">
      <w:pPr>
        <w:suppressAutoHyphens w:val="0"/>
        <w:autoSpaceDN w:val="0"/>
        <w:ind w:right="72"/>
        <w:jc w:val="both"/>
        <w:rPr>
          <w:bCs/>
          <w:sz w:val="22"/>
          <w:szCs w:val="22"/>
        </w:rPr>
      </w:pPr>
      <w:r w:rsidRPr="00513407">
        <w:rPr>
          <w:bCs/>
          <w:sz w:val="22"/>
          <w:szCs w:val="22"/>
        </w:rPr>
        <w:t xml:space="preserve">Un engagement réciproque découle des contrats que l’entreprise est appelée à souscrire. </w:t>
      </w:r>
      <w:r w:rsidR="00F16EAF" w:rsidRPr="00513407">
        <w:rPr>
          <w:bCs/>
          <w:sz w:val="22"/>
          <w:szCs w:val="22"/>
        </w:rPr>
        <w:t xml:space="preserve">En effet, dans le contrat, les deux parties ont un engagement l’une envers l’autre. </w:t>
      </w:r>
      <w:r w:rsidRPr="00513407">
        <w:rPr>
          <w:bCs/>
          <w:sz w:val="22"/>
          <w:szCs w:val="22"/>
        </w:rPr>
        <w:t>Il s’analyse en un engagement reçu et un engagement donné.</w:t>
      </w:r>
    </w:p>
    <w:p w:rsidR="00114CB4" w:rsidRPr="00513407" w:rsidRDefault="00114CB4" w:rsidP="00DD3310">
      <w:pPr>
        <w:suppressAutoHyphens w:val="0"/>
        <w:autoSpaceDN w:val="0"/>
        <w:ind w:right="72"/>
        <w:jc w:val="both"/>
        <w:rPr>
          <w:bCs/>
          <w:sz w:val="22"/>
          <w:szCs w:val="22"/>
        </w:rPr>
      </w:pPr>
    </w:p>
    <w:p w:rsidR="00114CB4" w:rsidRPr="00513407" w:rsidRDefault="00DD31C3" w:rsidP="00DD3310">
      <w:pPr>
        <w:jc w:val="both"/>
        <w:rPr>
          <w:b/>
          <w:bCs/>
          <w:sz w:val="22"/>
          <w:szCs w:val="22"/>
        </w:rPr>
      </w:pPr>
      <w:r w:rsidRPr="00513407">
        <w:rPr>
          <w:b/>
          <w:bCs/>
          <w:sz w:val="22"/>
          <w:szCs w:val="22"/>
        </w:rPr>
        <w:t xml:space="preserve">3. </w:t>
      </w:r>
      <w:r w:rsidR="00114CB4" w:rsidRPr="00513407">
        <w:rPr>
          <w:b/>
          <w:bCs/>
          <w:sz w:val="22"/>
          <w:szCs w:val="22"/>
        </w:rPr>
        <w:t>Indiquer le principe comptable qui conduit ou non à fournir une information en annexe en matière</w:t>
      </w:r>
      <w:r w:rsidRPr="00513407">
        <w:rPr>
          <w:b/>
          <w:bCs/>
          <w:sz w:val="22"/>
          <w:szCs w:val="22"/>
        </w:rPr>
        <w:t xml:space="preserve"> </w:t>
      </w:r>
      <w:r w:rsidR="00114CB4" w:rsidRPr="00513407">
        <w:rPr>
          <w:b/>
          <w:bCs/>
          <w:sz w:val="22"/>
          <w:szCs w:val="22"/>
        </w:rPr>
        <w:t>d’engagements « hors-bilan ». Préciser le contenu de ce principe.</w:t>
      </w:r>
    </w:p>
    <w:p w:rsidR="0090290F" w:rsidRDefault="0090290F" w:rsidP="00DD3310">
      <w:pPr>
        <w:jc w:val="both"/>
        <w:rPr>
          <w:sz w:val="22"/>
          <w:szCs w:val="22"/>
        </w:rPr>
      </w:pPr>
    </w:p>
    <w:p w:rsidR="00A61F88" w:rsidRDefault="00F80B5D" w:rsidP="00DD3310">
      <w:pPr>
        <w:jc w:val="both"/>
        <w:rPr>
          <w:sz w:val="22"/>
          <w:szCs w:val="22"/>
        </w:rPr>
      </w:pPr>
      <w:r w:rsidRPr="00513407">
        <w:rPr>
          <w:sz w:val="22"/>
          <w:szCs w:val="22"/>
        </w:rPr>
        <w:t>Il s’agit de la notion d’importance relative</w:t>
      </w:r>
      <w:r w:rsidR="00A61F88">
        <w:rPr>
          <w:sz w:val="22"/>
          <w:szCs w:val="22"/>
        </w:rPr>
        <w:t xml:space="preserve"> (ou importance significative).</w:t>
      </w:r>
    </w:p>
    <w:p w:rsidR="00F80B5D" w:rsidRPr="00513407" w:rsidRDefault="00A61F88" w:rsidP="00DD3310">
      <w:pPr>
        <w:jc w:val="both"/>
        <w:rPr>
          <w:sz w:val="22"/>
          <w:szCs w:val="22"/>
        </w:rPr>
      </w:pPr>
      <w:r>
        <w:rPr>
          <w:sz w:val="22"/>
          <w:szCs w:val="22"/>
        </w:rPr>
        <w:t>Contenu de ce principe : l</w:t>
      </w:r>
      <w:r w:rsidR="00F80B5D" w:rsidRPr="00513407">
        <w:rPr>
          <w:sz w:val="22"/>
          <w:szCs w:val="22"/>
        </w:rPr>
        <w:t>’information n’est répertoriée que si elle pré</w:t>
      </w:r>
      <w:r w:rsidR="005A3AD7" w:rsidRPr="00513407">
        <w:rPr>
          <w:sz w:val="22"/>
          <w:szCs w:val="22"/>
        </w:rPr>
        <w:t>sente un caractère significatif (PCG 511-8).</w:t>
      </w:r>
      <w:r w:rsidR="00114CB4" w:rsidRPr="00513407">
        <w:rPr>
          <w:sz w:val="22"/>
          <w:szCs w:val="22"/>
        </w:rPr>
        <w:t xml:space="preserve"> </w:t>
      </w:r>
    </w:p>
    <w:p w:rsidR="00114CB4" w:rsidRPr="00513407" w:rsidRDefault="00114CB4" w:rsidP="00DD3310">
      <w:pPr>
        <w:jc w:val="both"/>
        <w:rPr>
          <w:sz w:val="22"/>
          <w:szCs w:val="22"/>
        </w:rPr>
      </w:pPr>
    </w:p>
    <w:p w:rsidR="00114CB4" w:rsidRPr="00513407" w:rsidRDefault="00DD31C3" w:rsidP="00DD3310">
      <w:pPr>
        <w:jc w:val="both"/>
        <w:rPr>
          <w:b/>
          <w:bCs/>
          <w:sz w:val="22"/>
          <w:szCs w:val="22"/>
        </w:rPr>
      </w:pPr>
      <w:r w:rsidRPr="00513407">
        <w:rPr>
          <w:b/>
          <w:bCs/>
          <w:sz w:val="22"/>
          <w:szCs w:val="22"/>
        </w:rPr>
        <w:t xml:space="preserve">4. </w:t>
      </w:r>
      <w:r w:rsidR="00B04DC9">
        <w:rPr>
          <w:b/>
          <w:bCs/>
          <w:sz w:val="22"/>
          <w:szCs w:val="22"/>
        </w:rPr>
        <w:t>Après avoir rappelé</w:t>
      </w:r>
      <w:r w:rsidR="00114CB4" w:rsidRPr="00513407">
        <w:rPr>
          <w:b/>
          <w:bCs/>
          <w:sz w:val="22"/>
          <w:szCs w:val="22"/>
        </w:rPr>
        <w:t xml:space="preserve"> la définition d’un passif éventuel, indiquer les informations à fournir</w:t>
      </w:r>
      <w:r w:rsidR="00563741" w:rsidRPr="00513407">
        <w:rPr>
          <w:b/>
          <w:bCs/>
          <w:sz w:val="22"/>
          <w:szCs w:val="22"/>
        </w:rPr>
        <w:t xml:space="preserve"> en annexe</w:t>
      </w:r>
      <w:r w:rsidRPr="00513407">
        <w:rPr>
          <w:b/>
          <w:bCs/>
          <w:sz w:val="22"/>
          <w:szCs w:val="22"/>
        </w:rPr>
        <w:t xml:space="preserve"> </w:t>
      </w:r>
      <w:r w:rsidR="00563741" w:rsidRPr="00513407">
        <w:rPr>
          <w:b/>
          <w:bCs/>
          <w:sz w:val="22"/>
          <w:szCs w:val="22"/>
        </w:rPr>
        <w:t>p</w:t>
      </w:r>
      <w:r w:rsidR="00F11738">
        <w:rPr>
          <w:b/>
          <w:bCs/>
          <w:sz w:val="22"/>
          <w:szCs w:val="22"/>
        </w:rPr>
        <w:t xml:space="preserve">our tout passif éventuel </w:t>
      </w:r>
      <w:r w:rsidR="00114CB4" w:rsidRPr="00513407">
        <w:rPr>
          <w:b/>
          <w:bCs/>
          <w:sz w:val="22"/>
          <w:szCs w:val="22"/>
        </w:rPr>
        <w:t>à la date de clôture.</w:t>
      </w:r>
    </w:p>
    <w:p w:rsidR="0090290F" w:rsidRDefault="0090290F" w:rsidP="00F11738">
      <w:pPr>
        <w:spacing w:after="80"/>
        <w:ind w:left="74"/>
        <w:jc w:val="both"/>
        <w:rPr>
          <w:sz w:val="22"/>
          <w:szCs w:val="22"/>
        </w:rPr>
      </w:pPr>
    </w:p>
    <w:p w:rsidR="00F80B5D" w:rsidRPr="00513407" w:rsidRDefault="00114CB4" w:rsidP="00F11738">
      <w:pPr>
        <w:spacing w:after="80"/>
        <w:ind w:left="74"/>
        <w:jc w:val="both"/>
        <w:rPr>
          <w:sz w:val="22"/>
          <w:szCs w:val="22"/>
        </w:rPr>
      </w:pPr>
      <w:r w:rsidRPr="00513407">
        <w:rPr>
          <w:sz w:val="22"/>
          <w:szCs w:val="22"/>
        </w:rPr>
        <w:t xml:space="preserve">Un passif éventuel est : </w:t>
      </w:r>
    </w:p>
    <w:p w:rsidR="00114CB4" w:rsidRPr="00513407" w:rsidRDefault="00F11738" w:rsidP="00E11745">
      <w:pPr>
        <w:numPr>
          <w:ilvl w:val="0"/>
          <w:numId w:val="2"/>
        </w:numPr>
        <w:jc w:val="both"/>
        <w:rPr>
          <w:sz w:val="22"/>
          <w:szCs w:val="22"/>
        </w:rPr>
      </w:pPr>
      <w:r>
        <w:rPr>
          <w:sz w:val="22"/>
          <w:szCs w:val="22"/>
        </w:rPr>
        <w:t>s</w:t>
      </w:r>
      <w:r w:rsidR="00114CB4" w:rsidRPr="00513407">
        <w:rPr>
          <w:sz w:val="22"/>
          <w:szCs w:val="22"/>
        </w:rPr>
        <w:t xml:space="preserve">oit une obligation potentielle de l’entité à l’égard d’un tiers résultant d’évènements dont l’existence ne sera confirmée que par la survenance, ou non, d’un ou plusieurs évènements futurs incertains qui ne sont pas totalement sous le contrôle de l’entité ; </w:t>
      </w:r>
    </w:p>
    <w:p w:rsidR="00114CB4" w:rsidRPr="00513407" w:rsidRDefault="00F11738" w:rsidP="00E11745">
      <w:pPr>
        <w:numPr>
          <w:ilvl w:val="0"/>
          <w:numId w:val="2"/>
        </w:numPr>
        <w:jc w:val="both"/>
        <w:rPr>
          <w:sz w:val="22"/>
          <w:szCs w:val="22"/>
        </w:rPr>
      </w:pPr>
      <w:r>
        <w:rPr>
          <w:sz w:val="22"/>
          <w:szCs w:val="22"/>
        </w:rPr>
        <w:t>s</w:t>
      </w:r>
      <w:r w:rsidR="00114CB4" w:rsidRPr="00513407">
        <w:rPr>
          <w:sz w:val="22"/>
          <w:szCs w:val="22"/>
        </w:rPr>
        <w:t>oit une obligation de l’entité à l’égard d’un tiers dont il n’est pas probable ou certain qu’elle provoquera une sortie de ressources sans contrepartie au moins équivalente attendue de celui-ci</w:t>
      </w:r>
      <w:r w:rsidR="00563741" w:rsidRPr="00513407">
        <w:rPr>
          <w:sz w:val="22"/>
          <w:szCs w:val="22"/>
        </w:rPr>
        <w:t>.</w:t>
      </w:r>
    </w:p>
    <w:p w:rsidR="00563741" w:rsidRPr="00513407" w:rsidRDefault="00563741" w:rsidP="00DD3310">
      <w:pPr>
        <w:ind w:left="72"/>
        <w:jc w:val="both"/>
        <w:rPr>
          <w:b/>
          <w:sz w:val="22"/>
          <w:szCs w:val="22"/>
        </w:rPr>
      </w:pPr>
    </w:p>
    <w:p w:rsidR="00563741" w:rsidRPr="00513407" w:rsidRDefault="0090290F" w:rsidP="00F11738">
      <w:pPr>
        <w:spacing w:after="80"/>
        <w:ind w:left="74"/>
        <w:jc w:val="both"/>
        <w:rPr>
          <w:sz w:val="22"/>
          <w:szCs w:val="22"/>
        </w:rPr>
      </w:pPr>
      <w:r>
        <w:rPr>
          <w:sz w:val="22"/>
          <w:szCs w:val="22"/>
        </w:rPr>
        <w:br w:type="page"/>
      </w:r>
      <w:r w:rsidR="00563741" w:rsidRPr="00513407">
        <w:rPr>
          <w:sz w:val="22"/>
          <w:szCs w:val="22"/>
        </w:rPr>
        <w:lastRenderedPageBreak/>
        <w:t>Les informations à fournir sont les suivantes :</w:t>
      </w:r>
    </w:p>
    <w:p w:rsidR="00563741" w:rsidRPr="00513407" w:rsidRDefault="00F11738" w:rsidP="00E11745">
      <w:pPr>
        <w:numPr>
          <w:ilvl w:val="0"/>
          <w:numId w:val="2"/>
        </w:numPr>
        <w:jc w:val="both"/>
        <w:rPr>
          <w:sz w:val="22"/>
          <w:szCs w:val="22"/>
        </w:rPr>
      </w:pPr>
      <w:r>
        <w:rPr>
          <w:sz w:val="22"/>
          <w:szCs w:val="22"/>
        </w:rPr>
        <w:t>d</w:t>
      </w:r>
      <w:r w:rsidR="00563741" w:rsidRPr="00513407">
        <w:rPr>
          <w:sz w:val="22"/>
          <w:szCs w:val="22"/>
        </w:rPr>
        <w:t>escription de la nature des passifs éventuels ;</w:t>
      </w:r>
    </w:p>
    <w:p w:rsidR="00563741" w:rsidRPr="00513407" w:rsidRDefault="00F11738" w:rsidP="00E11745">
      <w:pPr>
        <w:numPr>
          <w:ilvl w:val="0"/>
          <w:numId w:val="2"/>
        </w:numPr>
        <w:jc w:val="both"/>
        <w:rPr>
          <w:sz w:val="22"/>
          <w:szCs w:val="22"/>
        </w:rPr>
      </w:pPr>
      <w:r>
        <w:rPr>
          <w:sz w:val="22"/>
          <w:szCs w:val="22"/>
        </w:rPr>
        <w:t>e</w:t>
      </w:r>
      <w:r w:rsidR="00563741" w:rsidRPr="00513407">
        <w:rPr>
          <w:sz w:val="22"/>
          <w:szCs w:val="22"/>
        </w:rPr>
        <w:t>stimation de leurs effets financiers ;</w:t>
      </w:r>
    </w:p>
    <w:p w:rsidR="00563741" w:rsidRPr="00513407" w:rsidRDefault="00F11738" w:rsidP="00E11745">
      <w:pPr>
        <w:numPr>
          <w:ilvl w:val="0"/>
          <w:numId w:val="2"/>
        </w:numPr>
        <w:jc w:val="both"/>
        <w:rPr>
          <w:sz w:val="22"/>
          <w:szCs w:val="22"/>
        </w:rPr>
      </w:pPr>
      <w:r>
        <w:rPr>
          <w:sz w:val="22"/>
          <w:szCs w:val="22"/>
        </w:rPr>
        <w:t>i</w:t>
      </w:r>
      <w:r w:rsidR="00563741" w:rsidRPr="00513407">
        <w:rPr>
          <w:sz w:val="22"/>
          <w:szCs w:val="22"/>
        </w:rPr>
        <w:t>ndication des incertitudes relatives au montant ou à l’échéance de toute sortie de ressources ;</w:t>
      </w:r>
    </w:p>
    <w:p w:rsidR="00563741" w:rsidRPr="00513407" w:rsidRDefault="00F11738" w:rsidP="00E11745">
      <w:pPr>
        <w:numPr>
          <w:ilvl w:val="0"/>
          <w:numId w:val="2"/>
        </w:numPr>
        <w:jc w:val="both"/>
        <w:rPr>
          <w:sz w:val="22"/>
          <w:szCs w:val="22"/>
        </w:rPr>
      </w:pPr>
      <w:r>
        <w:rPr>
          <w:sz w:val="22"/>
          <w:szCs w:val="22"/>
        </w:rPr>
        <w:t>p</w:t>
      </w:r>
      <w:r w:rsidR="00563741" w:rsidRPr="00513407">
        <w:rPr>
          <w:sz w:val="22"/>
          <w:szCs w:val="22"/>
        </w:rPr>
        <w:t>ossibilité pour l’entité d’obtenir remboursement.</w:t>
      </w:r>
    </w:p>
    <w:p w:rsidR="00563741" w:rsidRPr="00513407" w:rsidRDefault="00563741" w:rsidP="00DD3310">
      <w:pPr>
        <w:ind w:left="72"/>
        <w:jc w:val="both"/>
        <w:rPr>
          <w:b/>
          <w:sz w:val="22"/>
          <w:szCs w:val="22"/>
        </w:rPr>
      </w:pPr>
    </w:p>
    <w:p w:rsidR="00F80B5D" w:rsidRPr="00513407" w:rsidRDefault="00563741" w:rsidP="00563741">
      <w:pPr>
        <w:ind w:left="72"/>
        <w:rPr>
          <w:b/>
          <w:sz w:val="22"/>
          <w:szCs w:val="22"/>
        </w:rPr>
      </w:pPr>
      <w:r w:rsidRPr="00513407">
        <w:rPr>
          <w:b/>
          <w:bCs/>
          <w:sz w:val="22"/>
          <w:szCs w:val="22"/>
        </w:rPr>
        <w:t>5. Comptabiliser au journal de la SPPR et au journal de la SA COMBES le prêt consenti par la SPPR.</w:t>
      </w:r>
    </w:p>
    <w:p w:rsidR="00F80B5D" w:rsidRPr="00513407" w:rsidRDefault="00F80B5D" w:rsidP="00F80B5D">
      <w:pPr>
        <w:suppressAutoHyphens w:val="0"/>
        <w:autoSpaceDN w:val="0"/>
        <w:spacing w:before="100" w:beforeAutospacing="1"/>
        <w:ind w:right="72"/>
        <w:jc w:val="both"/>
        <w:rPr>
          <w:b/>
          <w:bCs/>
          <w:sz w:val="22"/>
          <w:szCs w:val="22"/>
        </w:rPr>
      </w:pPr>
      <w:r w:rsidRPr="00513407">
        <w:rPr>
          <w:b/>
          <w:bCs/>
          <w:sz w:val="22"/>
          <w:szCs w:val="22"/>
        </w:rPr>
        <w:t>Chez SPPR</w:t>
      </w: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F80B5D" w:rsidRPr="00513407" w:rsidTr="002939D6">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ind w:left="226"/>
              <w:rPr>
                <w:b/>
                <w:bCs/>
                <w:sz w:val="22"/>
                <w:szCs w:val="22"/>
                <w:lang w:val="en-US"/>
              </w:rPr>
            </w:pPr>
            <w:r w:rsidRPr="00513407">
              <w:rPr>
                <w:b/>
                <w:bCs/>
                <w:sz w:val="22"/>
                <w:szCs w:val="22"/>
                <w:lang w:val="en-US"/>
              </w:rPr>
              <w:t>N° de</w:t>
            </w:r>
          </w:p>
          <w:p w:rsidR="00F80B5D" w:rsidRPr="00513407" w:rsidRDefault="00F80B5D" w:rsidP="002939D6">
            <w:pPr>
              <w:ind w:left="149"/>
              <w:rPr>
                <w:b/>
                <w:bCs/>
                <w:sz w:val="22"/>
                <w:szCs w:val="22"/>
                <w:lang w:val="en-US"/>
              </w:rPr>
            </w:pPr>
            <w:r w:rsidRPr="00513407">
              <w:rPr>
                <w:b/>
                <w:bCs/>
                <w:sz w:val="22"/>
                <w:szCs w:val="22"/>
                <w:lang w:val="en-US"/>
              </w:rPr>
              <w:t>compte</w:t>
            </w:r>
          </w:p>
        </w:tc>
        <w:tc>
          <w:tcPr>
            <w:tcW w:w="5102"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spacing w:before="108" w:after="108"/>
              <w:ind w:left="1948"/>
              <w:rPr>
                <w:b/>
                <w:bCs/>
                <w:sz w:val="22"/>
                <w:szCs w:val="22"/>
                <w:lang w:val="en-US"/>
              </w:rPr>
            </w:pPr>
            <w:r w:rsidRPr="00513407">
              <w:rPr>
                <w:b/>
                <w:bCs/>
                <w:sz w:val="22"/>
                <w:szCs w:val="22"/>
                <w:lang w:val="en-US"/>
              </w:rPr>
              <w:t>2</w:t>
            </w:r>
            <w:r w:rsidR="00A416FA" w:rsidRPr="00513407">
              <w:rPr>
                <w:b/>
                <w:bCs/>
                <w:sz w:val="22"/>
                <w:szCs w:val="22"/>
                <w:lang w:val="en-US"/>
              </w:rPr>
              <w:t>1</w:t>
            </w:r>
            <w:r w:rsidRPr="00513407">
              <w:rPr>
                <w:b/>
                <w:bCs/>
                <w:sz w:val="22"/>
                <w:szCs w:val="22"/>
                <w:lang w:val="en-US"/>
              </w:rPr>
              <w:t>/</w:t>
            </w:r>
            <w:r w:rsidR="00A416FA" w:rsidRPr="00513407">
              <w:rPr>
                <w:b/>
                <w:bCs/>
                <w:sz w:val="22"/>
                <w:szCs w:val="22"/>
                <w:lang w:val="en-US"/>
              </w:rPr>
              <w:t>1</w:t>
            </w:r>
            <w:r w:rsidRPr="00513407">
              <w:rPr>
                <w:b/>
                <w:bCs/>
                <w:sz w:val="22"/>
                <w:szCs w:val="22"/>
                <w:lang w:val="en-US"/>
              </w:rPr>
              <w:t>2/2012</w:t>
            </w:r>
          </w:p>
          <w:p w:rsidR="00F80B5D" w:rsidRPr="00513407" w:rsidRDefault="00F80B5D" w:rsidP="002939D6">
            <w:pPr>
              <w:spacing w:before="108" w:after="108"/>
              <w:ind w:left="1948"/>
              <w:rPr>
                <w:b/>
                <w:bCs/>
                <w:sz w:val="22"/>
                <w:szCs w:val="22"/>
                <w:lang w:val="en-US"/>
              </w:rPr>
            </w:pPr>
          </w:p>
        </w:tc>
        <w:tc>
          <w:tcPr>
            <w:tcW w:w="2194"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spacing w:before="108" w:after="108"/>
              <w:ind w:left="787"/>
              <w:rPr>
                <w:b/>
                <w:bCs/>
                <w:sz w:val="22"/>
                <w:szCs w:val="22"/>
                <w:lang w:val="en-US"/>
              </w:rPr>
            </w:pPr>
            <w:r w:rsidRPr="00513407">
              <w:rPr>
                <w:b/>
                <w:bCs/>
                <w:sz w:val="22"/>
                <w:szCs w:val="22"/>
                <w:lang w:val="en-US"/>
              </w:rPr>
              <w:t>Débit</w:t>
            </w:r>
          </w:p>
        </w:tc>
        <w:tc>
          <w:tcPr>
            <w:tcW w:w="2203"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spacing w:before="108" w:after="108"/>
              <w:ind w:left="748"/>
              <w:rPr>
                <w:b/>
                <w:bCs/>
                <w:sz w:val="22"/>
                <w:szCs w:val="22"/>
                <w:lang w:val="en-US"/>
              </w:rPr>
            </w:pPr>
            <w:r w:rsidRPr="00513407">
              <w:rPr>
                <w:b/>
                <w:bCs/>
                <w:sz w:val="22"/>
                <w:szCs w:val="22"/>
                <w:lang w:val="en-US"/>
              </w:rPr>
              <w:t>Crédit</w:t>
            </w:r>
          </w:p>
        </w:tc>
      </w:tr>
      <w:tr w:rsidR="00F80B5D" w:rsidRPr="00513407" w:rsidTr="002939D6">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F80B5D" w:rsidRPr="00513407" w:rsidRDefault="00456751" w:rsidP="00C15D3D">
            <w:pPr>
              <w:ind w:left="62"/>
              <w:jc w:val="center"/>
              <w:rPr>
                <w:sz w:val="22"/>
                <w:szCs w:val="22"/>
                <w:lang w:val="en-US"/>
              </w:rPr>
            </w:pPr>
            <w:r w:rsidRPr="00513407">
              <w:rPr>
                <w:sz w:val="22"/>
                <w:szCs w:val="22"/>
                <w:lang w:val="en-US"/>
              </w:rPr>
              <w:t>267</w:t>
            </w:r>
          </w:p>
        </w:tc>
        <w:tc>
          <w:tcPr>
            <w:tcW w:w="5102" w:type="dxa"/>
            <w:tcBorders>
              <w:top w:val="single" w:sz="2" w:space="0" w:color="auto"/>
              <w:left w:val="single" w:sz="2" w:space="0" w:color="auto"/>
              <w:bottom w:val="nil"/>
              <w:right w:val="single" w:sz="2" w:space="0" w:color="auto"/>
            </w:tcBorders>
          </w:tcPr>
          <w:p w:rsidR="00F80B5D" w:rsidRPr="00513407" w:rsidRDefault="00456751" w:rsidP="002939D6">
            <w:pPr>
              <w:rPr>
                <w:sz w:val="22"/>
                <w:szCs w:val="22"/>
              </w:rPr>
            </w:pPr>
            <w:r w:rsidRPr="00513407">
              <w:rPr>
                <w:sz w:val="22"/>
                <w:szCs w:val="22"/>
              </w:rPr>
              <w:t>Créances rattachées à des participations</w:t>
            </w:r>
          </w:p>
        </w:tc>
        <w:tc>
          <w:tcPr>
            <w:tcW w:w="2194" w:type="dxa"/>
            <w:tcBorders>
              <w:top w:val="single" w:sz="2" w:space="0" w:color="auto"/>
              <w:left w:val="single" w:sz="2" w:space="0" w:color="auto"/>
              <w:bottom w:val="nil"/>
              <w:right w:val="single" w:sz="2" w:space="0" w:color="auto"/>
            </w:tcBorders>
          </w:tcPr>
          <w:p w:rsidR="00F80B5D" w:rsidRPr="00513407" w:rsidRDefault="00456751" w:rsidP="002939D6">
            <w:pPr>
              <w:ind w:right="557"/>
              <w:jc w:val="right"/>
              <w:rPr>
                <w:sz w:val="22"/>
                <w:szCs w:val="22"/>
                <w:lang w:val="en-US"/>
              </w:rPr>
            </w:pPr>
            <w:r w:rsidRPr="00513407">
              <w:rPr>
                <w:sz w:val="22"/>
                <w:szCs w:val="22"/>
                <w:lang w:val="en-US"/>
              </w:rPr>
              <w:t>150 000</w:t>
            </w:r>
            <w:r w:rsidR="00355D33" w:rsidRPr="00513407">
              <w:rPr>
                <w:sz w:val="22"/>
                <w:szCs w:val="22"/>
                <w:lang w:val="en-US"/>
              </w:rPr>
              <w:t>,</w:t>
            </w:r>
            <w:r w:rsidR="00F80B5D"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F80B5D" w:rsidRPr="00513407" w:rsidRDefault="00F80B5D" w:rsidP="002939D6">
            <w:pPr>
              <w:rPr>
                <w:sz w:val="22"/>
                <w:szCs w:val="22"/>
                <w:lang w:val="en-US"/>
              </w:rPr>
            </w:pPr>
          </w:p>
        </w:tc>
      </w:tr>
      <w:tr w:rsidR="00F80B5D" w:rsidRPr="00513407" w:rsidTr="002939D6">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F80B5D" w:rsidRPr="00513407" w:rsidRDefault="00456751" w:rsidP="00C15D3D">
            <w:pPr>
              <w:jc w:val="center"/>
              <w:rPr>
                <w:sz w:val="22"/>
                <w:szCs w:val="22"/>
                <w:lang w:val="en-US"/>
              </w:rPr>
            </w:pPr>
            <w:r w:rsidRPr="00513407">
              <w:rPr>
                <w:sz w:val="22"/>
                <w:szCs w:val="22"/>
                <w:lang w:val="en-US"/>
              </w:rPr>
              <w:t>512</w:t>
            </w:r>
          </w:p>
        </w:tc>
        <w:tc>
          <w:tcPr>
            <w:tcW w:w="5102" w:type="dxa"/>
            <w:tcBorders>
              <w:top w:val="nil"/>
              <w:left w:val="single" w:sz="2" w:space="0" w:color="auto"/>
              <w:right w:val="single" w:sz="2" w:space="0" w:color="auto"/>
            </w:tcBorders>
          </w:tcPr>
          <w:p w:rsidR="00F80B5D" w:rsidRPr="00513407" w:rsidRDefault="00456751" w:rsidP="002939D6">
            <w:pPr>
              <w:jc w:val="center"/>
              <w:rPr>
                <w:sz w:val="22"/>
                <w:szCs w:val="22"/>
              </w:rPr>
            </w:pPr>
            <w:r w:rsidRPr="00513407">
              <w:rPr>
                <w:sz w:val="22"/>
                <w:szCs w:val="22"/>
              </w:rPr>
              <w:t>Banque</w:t>
            </w:r>
          </w:p>
        </w:tc>
        <w:tc>
          <w:tcPr>
            <w:tcW w:w="2194" w:type="dxa"/>
            <w:tcBorders>
              <w:top w:val="nil"/>
              <w:left w:val="single" w:sz="2" w:space="0" w:color="auto"/>
              <w:right w:val="single" w:sz="2" w:space="0" w:color="auto"/>
            </w:tcBorders>
          </w:tcPr>
          <w:p w:rsidR="00F80B5D" w:rsidRPr="00513407" w:rsidRDefault="00F80B5D" w:rsidP="002939D6">
            <w:pPr>
              <w:rPr>
                <w:sz w:val="22"/>
                <w:szCs w:val="22"/>
              </w:rPr>
            </w:pPr>
          </w:p>
        </w:tc>
        <w:tc>
          <w:tcPr>
            <w:tcW w:w="2203" w:type="dxa"/>
            <w:tcBorders>
              <w:top w:val="nil"/>
              <w:left w:val="single" w:sz="2" w:space="0" w:color="auto"/>
              <w:right w:val="single" w:sz="2" w:space="0" w:color="auto"/>
            </w:tcBorders>
          </w:tcPr>
          <w:p w:rsidR="00F80B5D" w:rsidRPr="00513407" w:rsidRDefault="00456751" w:rsidP="002939D6">
            <w:pPr>
              <w:ind w:right="620"/>
              <w:jc w:val="right"/>
              <w:rPr>
                <w:sz w:val="22"/>
                <w:szCs w:val="22"/>
                <w:lang w:val="en-US"/>
              </w:rPr>
            </w:pPr>
            <w:r w:rsidRPr="00513407">
              <w:rPr>
                <w:sz w:val="22"/>
                <w:szCs w:val="22"/>
                <w:lang w:val="en-US"/>
              </w:rPr>
              <w:t>150 000</w:t>
            </w:r>
            <w:r w:rsidR="00355D33" w:rsidRPr="00513407">
              <w:rPr>
                <w:sz w:val="22"/>
                <w:szCs w:val="22"/>
                <w:lang w:val="en-US"/>
              </w:rPr>
              <w:t>,</w:t>
            </w:r>
            <w:r w:rsidR="00F80B5D" w:rsidRPr="00513407">
              <w:rPr>
                <w:sz w:val="22"/>
                <w:szCs w:val="22"/>
                <w:lang w:val="en-US"/>
              </w:rPr>
              <w:t>00</w:t>
            </w:r>
          </w:p>
        </w:tc>
      </w:tr>
      <w:tr w:rsidR="00F80B5D" w:rsidRPr="00513407" w:rsidTr="002939D6">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F80B5D" w:rsidRPr="00513407" w:rsidRDefault="00F80B5D" w:rsidP="002939D6">
            <w:pPr>
              <w:jc w:val="right"/>
              <w:rPr>
                <w:sz w:val="22"/>
                <w:szCs w:val="22"/>
              </w:rPr>
            </w:pPr>
          </w:p>
        </w:tc>
        <w:tc>
          <w:tcPr>
            <w:tcW w:w="5102" w:type="dxa"/>
            <w:tcBorders>
              <w:left w:val="single" w:sz="2" w:space="0" w:color="auto"/>
              <w:bottom w:val="nil"/>
              <w:right w:val="single" w:sz="2" w:space="0" w:color="auto"/>
            </w:tcBorders>
          </w:tcPr>
          <w:p w:rsidR="00F80B5D" w:rsidRPr="00513407" w:rsidRDefault="00456751" w:rsidP="002939D6">
            <w:pPr>
              <w:jc w:val="center"/>
              <w:rPr>
                <w:b/>
                <w:sz w:val="22"/>
                <w:szCs w:val="22"/>
              </w:rPr>
            </w:pPr>
            <w:r w:rsidRPr="00513407">
              <w:rPr>
                <w:b/>
                <w:sz w:val="22"/>
                <w:szCs w:val="22"/>
              </w:rPr>
              <w:t>Prêt de SPPR à COMBES</w:t>
            </w:r>
          </w:p>
        </w:tc>
        <w:tc>
          <w:tcPr>
            <w:tcW w:w="2194" w:type="dxa"/>
            <w:tcBorders>
              <w:left w:val="single" w:sz="2" w:space="0" w:color="auto"/>
              <w:bottom w:val="nil"/>
              <w:right w:val="single" w:sz="2" w:space="0" w:color="auto"/>
            </w:tcBorders>
          </w:tcPr>
          <w:p w:rsidR="00F80B5D" w:rsidRPr="00513407" w:rsidRDefault="00F80B5D" w:rsidP="002939D6">
            <w:pPr>
              <w:rPr>
                <w:sz w:val="22"/>
                <w:szCs w:val="22"/>
              </w:rPr>
            </w:pPr>
          </w:p>
        </w:tc>
        <w:tc>
          <w:tcPr>
            <w:tcW w:w="2203" w:type="dxa"/>
            <w:tcBorders>
              <w:left w:val="single" w:sz="2" w:space="0" w:color="auto"/>
              <w:bottom w:val="nil"/>
              <w:right w:val="single" w:sz="2" w:space="0" w:color="auto"/>
            </w:tcBorders>
          </w:tcPr>
          <w:p w:rsidR="00F80B5D" w:rsidRPr="00513407" w:rsidRDefault="00F80B5D" w:rsidP="002939D6">
            <w:pPr>
              <w:ind w:right="620"/>
              <w:jc w:val="right"/>
              <w:rPr>
                <w:sz w:val="22"/>
                <w:szCs w:val="22"/>
              </w:rPr>
            </w:pPr>
          </w:p>
        </w:tc>
      </w:tr>
      <w:tr w:rsidR="00F80B5D" w:rsidRPr="00513407" w:rsidTr="002939D6">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F80B5D" w:rsidRPr="00513407" w:rsidRDefault="00F80B5D" w:rsidP="002939D6">
            <w:pPr>
              <w:jc w:val="right"/>
              <w:rPr>
                <w:sz w:val="22"/>
                <w:szCs w:val="22"/>
              </w:rPr>
            </w:pPr>
          </w:p>
        </w:tc>
        <w:tc>
          <w:tcPr>
            <w:tcW w:w="5102" w:type="dxa"/>
            <w:tcBorders>
              <w:top w:val="nil"/>
              <w:left w:val="single" w:sz="2" w:space="0" w:color="auto"/>
              <w:bottom w:val="single" w:sz="4" w:space="0" w:color="auto"/>
              <w:right w:val="single" w:sz="2" w:space="0" w:color="auto"/>
            </w:tcBorders>
          </w:tcPr>
          <w:p w:rsidR="00F80B5D" w:rsidRPr="00513407" w:rsidRDefault="00F80B5D" w:rsidP="002939D6">
            <w:pPr>
              <w:jc w:val="right"/>
              <w:rPr>
                <w:sz w:val="22"/>
                <w:szCs w:val="22"/>
              </w:rPr>
            </w:pPr>
          </w:p>
        </w:tc>
        <w:tc>
          <w:tcPr>
            <w:tcW w:w="2194" w:type="dxa"/>
            <w:tcBorders>
              <w:top w:val="nil"/>
              <w:left w:val="single" w:sz="2" w:space="0" w:color="auto"/>
              <w:bottom w:val="single" w:sz="4" w:space="0" w:color="auto"/>
              <w:right w:val="single" w:sz="2" w:space="0" w:color="auto"/>
            </w:tcBorders>
          </w:tcPr>
          <w:p w:rsidR="00F80B5D" w:rsidRPr="00513407" w:rsidRDefault="00F80B5D" w:rsidP="002939D6">
            <w:pPr>
              <w:rPr>
                <w:sz w:val="22"/>
                <w:szCs w:val="22"/>
              </w:rPr>
            </w:pPr>
          </w:p>
        </w:tc>
        <w:tc>
          <w:tcPr>
            <w:tcW w:w="2203" w:type="dxa"/>
            <w:tcBorders>
              <w:top w:val="nil"/>
              <w:left w:val="single" w:sz="2" w:space="0" w:color="auto"/>
              <w:bottom w:val="single" w:sz="4" w:space="0" w:color="auto"/>
              <w:right w:val="single" w:sz="2" w:space="0" w:color="auto"/>
            </w:tcBorders>
          </w:tcPr>
          <w:p w:rsidR="00F80B5D" w:rsidRPr="00513407" w:rsidRDefault="00F80B5D" w:rsidP="002939D6">
            <w:pPr>
              <w:ind w:right="620"/>
              <w:jc w:val="right"/>
              <w:rPr>
                <w:sz w:val="22"/>
                <w:szCs w:val="22"/>
              </w:rPr>
            </w:pPr>
          </w:p>
        </w:tc>
      </w:tr>
    </w:tbl>
    <w:p w:rsidR="00F80B5D" w:rsidRPr="00513407" w:rsidRDefault="00F80B5D" w:rsidP="00F80B5D">
      <w:pPr>
        <w:suppressAutoHyphens w:val="0"/>
        <w:autoSpaceDN w:val="0"/>
        <w:spacing w:before="100" w:beforeAutospacing="1"/>
        <w:ind w:right="72"/>
        <w:jc w:val="both"/>
        <w:rPr>
          <w:b/>
          <w:bCs/>
          <w:sz w:val="22"/>
          <w:szCs w:val="22"/>
        </w:rPr>
      </w:pPr>
      <w:r w:rsidRPr="00513407">
        <w:rPr>
          <w:b/>
          <w:bCs/>
          <w:sz w:val="22"/>
          <w:szCs w:val="22"/>
        </w:rPr>
        <w:t>Chez COMBES</w:t>
      </w:r>
    </w:p>
    <w:tbl>
      <w:tblPr>
        <w:tblW w:w="10570" w:type="dxa"/>
        <w:jc w:val="center"/>
        <w:tblLayout w:type="fixed"/>
        <w:tblCellMar>
          <w:left w:w="0" w:type="dxa"/>
          <w:right w:w="0" w:type="dxa"/>
        </w:tblCellMar>
        <w:tblLook w:val="0000" w:firstRow="0" w:lastRow="0" w:firstColumn="0" w:lastColumn="0" w:noHBand="0" w:noVBand="0"/>
      </w:tblPr>
      <w:tblGrid>
        <w:gridCol w:w="1071"/>
        <w:gridCol w:w="5102"/>
        <w:gridCol w:w="2194"/>
        <w:gridCol w:w="2203"/>
      </w:tblGrid>
      <w:tr w:rsidR="00F80B5D" w:rsidRPr="00513407" w:rsidTr="002939D6">
        <w:tblPrEx>
          <w:tblCellMar>
            <w:top w:w="0" w:type="dxa"/>
            <w:left w:w="0" w:type="dxa"/>
            <w:bottom w:w="0" w:type="dxa"/>
            <w:right w:w="0" w:type="dxa"/>
          </w:tblCellMar>
        </w:tblPrEx>
        <w:trPr>
          <w:trHeight w:hRule="exact" w:val="519"/>
          <w:jc w:val="center"/>
        </w:trPr>
        <w:tc>
          <w:tcPr>
            <w:tcW w:w="1071"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ind w:left="226"/>
              <w:rPr>
                <w:b/>
                <w:bCs/>
                <w:sz w:val="22"/>
                <w:szCs w:val="22"/>
              </w:rPr>
            </w:pPr>
            <w:r w:rsidRPr="00513407">
              <w:rPr>
                <w:b/>
                <w:bCs/>
                <w:sz w:val="22"/>
                <w:szCs w:val="22"/>
              </w:rPr>
              <w:t>N° de</w:t>
            </w:r>
          </w:p>
          <w:p w:rsidR="00F80B5D" w:rsidRPr="00513407" w:rsidRDefault="00F80B5D" w:rsidP="002939D6">
            <w:pPr>
              <w:ind w:left="149"/>
              <w:rPr>
                <w:b/>
                <w:bCs/>
                <w:sz w:val="22"/>
                <w:szCs w:val="22"/>
              </w:rPr>
            </w:pPr>
            <w:r w:rsidRPr="00513407">
              <w:rPr>
                <w:b/>
                <w:bCs/>
                <w:sz w:val="22"/>
                <w:szCs w:val="22"/>
              </w:rPr>
              <w:t>compte</w:t>
            </w:r>
          </w:p>
        </w:tc>
        <w:tc>
          <w:tcPr>
            <w:tcW w:w="5102"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spacing w:before="108" w:after="108"/>
              <w:ind w:left="1948"/>
              <w:rPr>
                <w:b/>
                <w:bCs/>
                <w:sz w:val="22"/>
                <w:szCs w:val="22"/>
              </w:rPr>
            </w:pPr>
            <w:r w:rsidRPr="00513407">
              <w:rPr>
                <w:b/>
                <w:bCs/>
                <w:sz w:val="22"/>
                <w:szCs w:val="22"/>
              </w:rPr>
              <w:t>2</w:t>
            </w:r>
            <w:r w:rsidR="00A416FA" w:rsidRPr="00513407">
              <w:rPr>
                <w:b/>
                <w:bCs/>
                <w:sz w:val="22"/>
                <w:szCs w:val="22"/>
              </w:rPr>
              <w:t>1/1</w:t>
            </w:r>
            <w:r w:rsidRPr="00513407">
              <w:rPr>
                <w:b/>
                <w:bCs/>
                <w:sz w:val="22"/>
                <w:szCs w:val="22"/>
              </w:rPr>
              <w:t>2/2012</w:t>
            </w:r>
          </w:p>
          <w:p w:rsidR="00F80B5D" w:rsidRPr="00513407" w:rsidRDefault="00F80B5D" w:rsidP="002939D6">
            <w:pPr>
              <w:spacing w:before="108" w:after="108"/>
              <w:ind w:left="1948"/>
              <w:rPr>
                <w:b/>
                <w:bCs/>
                <w:sz w:val="22"/>
                <w:szCs w:val="22"/>
              </w:rPr>
            </w:pPr>
          </w:p>
        </w:tc>
        <w:tc>
          <w:tcPr>
            <w:tcW w:w="2194"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spacing w:before="108" w:after="108"/>
              <w:ind w:left="787"/>
              <w:rPr>
                <w:b/>
                <w:bCs/>
                <w:sz w:val="22"/>
                <w:szCs w:val="22"/>
              </w:rPr>
            </w:pPr>
            <w:r w:rsidRPr="00513407">
              <w:rPr>
                <w:b/>
                <w:bCs/>
                <w:sz w:val="22"/>
                <w:szCs w:val="22"/>
              </w:rPr>
              <w:t>Débit</w:t>
            </w:r>
          </w:p>
        </w:tc>
        <w:tc>
          <w:tcPr>
            <w:tcW w:w="2203" w:type="dxa"/>
            <w:tcBorders>
              <w:top w:val="single" w:sz="2" w:space="0" w:color="auto"/>
              <w:left w:val="single" w:sz="2" w:space="0" w:color="auto"/>
              <w:bottom w:val="single" w:sz="2" w:space="0" w:color="auto"/>
              <w:right w:val="single" w:sz="2" w:space="0" w:color="auto"/>
            </w:tcBorders>
          </w:tcPr>
          <w:p w:rsidR="00F80B5D" w:rsidRPr="00513407" w:rsidRDefault="00F80B5D" w:rsidP="002939D6">
            <w:pPr>
              <w:spacing w:before="108" w:after="108"/>
              <w:ind w:left="748"/>
              <w:rPr>
                <w:b/>
                <w:bCs/>
                <w:sz w:val="22"/>
                <w:szCs w:val="22"/>
              </w:rPr>
            </w:pPr>
            <w:r w:rsidRPr="00513407">
              <w:rPr>
                <w:b/>
                <w:bCs/>
                <w:sz w:val="22"/>
                <w:szCs w:val="22"/>
              </w:rPr>
              <w:t>Crédit</w:t>
            </w:r>
          </w:p>
        </w:tc>
      </w:tr>
      <w:tr w:rsidR="00F80B5D" w:rsidRPr="00513407" w:rsidTr="002939D6">
        <w:tblPrEx>
          <w:tblCellMar>
            <w:top w:w="0" w:type="dxa"/>
            <w:left w:w="0" w:type="dxa"/>
            <w:bottom w:w="0" w:type="dxa"/>
            <w:right w:w="0" w:type="dxa"/>
          </w:tblCellMar>
        </w:tblPrEx>
        <w:trPr>
          <w:trHeight w:hRule="exact" w:val="254"/>
          <w:jc w:val="center"/>
        </w:trPr>
        <w:tc>
          <w:tcPr>
            <w:tcW w:w="1071" w:type="dxa"/>
            <w:tcBorders>
              <w:top w:val="single" w:sz="2" w:space="0" w:color="auto"/>
              <w:left w:val="single" w:sz="2" w:space="0" w:color="auto"/>
              <w:bottom w:val="nil"/>
              <w:right w:val="single" w:sz="2" w:space="0" w:color="auto"/>
            </w:tcBorders>
          </w:tcPr>
          <w:p w:rsidR="00F80B5D" w:rsidRPr="00513407" w:rsidRDefault="00456751" w:rsidP="00C15D3D">
            <w:pPr>
              <w:ind w:left="62"/>
              <w:jc w:val="center"/>
              <w:rPr>
                <w:sz w:val="22"/>
                <w:szCs w:val="22"/>
              </w:rPr>
            </w:pPr>
            <w:r w:rsidRPr="00513407">
              <w:rPr>
                <w:sz w:val="22"/>
                <w:szCs w:val="22"/>
              </w:rPr>
              <w:t>512</w:t>
            </w:r>
          </w:p>
        </w:tc>
        <w:tc>
          <w:tcPr>
            <w:tcW w:w="5102" w:type="dxa"/>
            <w:tcBorders>
              <w:top w:val="single" w:sz="2" w:space="0" w:color="auto"/>
              <w:left w:val="single" w:sz="2" w:space="0" w:color="auto"/>
              <w:bottom w:val="nil"/>
              <w:right w:val="single" w:sz="2" w:space="0" w:color="auto"/>
            </w:tcBorders>
          </w:tcPr>
          <w:p w:rsidR="00F80B5D" w:rsidRPr="00513407" w:rsidRDefault="00456751" w:rsidP="002939D6">
            <w:pPr>
              <w:rPr>
                <w:sz w:val="22"/>
                <w:szCs w:val="22"/>
              </w:rPr>
            </w:pPr>
            <w:r w:rsidRPr="00513407">
              <w:rPr>
                <w:sz w:val="22"/>
                <w:szCs w:val="22"/>
              </w:rPr>
              <w:t>Banque</w:t>
            </w:r>
          </w:p>
        </w:tc>
        <w:tc>
          <w:tcPr>
            <w:tcW w:w="2194" w:type="dxa"/>
            <w:tcBorders>
              <w:top w:val="single" w:sz="2" w:space="0" w:color="auto"/>
              <w:left w:val="single" w:sz="2" w:space="0" w:color="auto"/>
              <w:bottom w:val="nil"/>
              <w:right w:val="single" w:sz="2" w:space="0" w:color="auto"/>
            </w:tcBorders>
          </w:tcPr>
          <w:p w:rsidR="00F80B5D" w:rsidRPr="00513407" w:rsidRDefault="00355D33" w:rsidP="002939D6">
            <w:pPr>
              <w:ind w:right="557"/>
              <w:jc w:val="right"/>
              <w:rPr>
                <w:sz w:val="22"/>
                <w:szCs w:val="22"/>
              </w:rPr>
            </w:pPr>
            <w:r w:rsidRPr="00513407">
              <w:rPr>
                <w:sz w:val="22"/>
                <w:szCs w:val="22"/>
                <w:lang w:val="en-US"/>
              </w:rPr>
              <w:t>150 000,</w:t>
            </w:r>
            <w:r w:rsidR="00002422" w:rsidRPr="00513407">
              <w:rPr>
                <w:sz w:val="22"/>
                <w:szCs w:val="22"/>
                <w:lang w:val="en-US"/>
              </w:rPr>
              <w:t>00</w:t>
            </w:r>
          </w:p>
        </w:tc>
        <w:tc>
          <w:tcPr>
            <w:tcW w:w="2203" w:type="dxa"/>
            <w:tcBorders>
              <w:top w:val="single" w:sz="2" w:space="0" w:color="auto"/>
              <w:left w:val="single" w:sz="2" w:space="0" w:color="auto"/>
              <w:bottom w:val="nil"/>
              <w:right w:val="single" w:sz="2" w:space="0" w:color="auto"/>
            </w:tcBorders>
          </w:tcPr>
          <w:p w:rsidR="00F80B5D" w:rsidRPr="00513407" w:rsidRDefault="00F80B5D" w:rsidP="002939D6">
            <w:pPr>
              <w:rPr>
                <w:sz w:val="22"/>
                <w:szCs w:val="22"/>
              </w:rPr>
            </w:pPr>
          </w:p>
        </w:tc>
      </w:tr>
      <w:tr w:rsidR="00F80B5D" w:rsidRPr="00513407" w:rsidTr="002939D6">
        <w:tblPrEx>
          <w:tblCellMar>
            <w:top w:w="0" w:type="dxa"/>
            <w:left w:w="0" w:type="dxa"/>
            <w:bottom w:w="0" w:type="dxa"/>
            <w:right w:w="0" w:type="dxa"/>
          </w:tblCellMar>
        </w:tblPrEx>
        <w:trPr>
          <w:trHeight w:hRule="exact" w:val="251"/>
          <w:jc w:val="center"/>
        </w:trPr>
        <w:tc>
          <w:tcPr>
            <w:tcW w:w="1071" w:type="dxa"/>
            <w:tcBorders>
              <w:top w:val="nil"/>
              <w:left w:val="single" w:sz="2" w:space="0" w:color="auto"/>
              <w:right w:val="single" w:sz="2" w:space="0" w:color="auto"/>
            </w:tcBorders>
          </w:tcPr>
          <w:p w:rsidR="00F80B5D" w:rsidRPr="00513407" w:rsidRDefault="00456751" w:rsidP="00C15D3D">
            <w:pPr>
              <w:jc w:val="center"/>
              <w:rPr>
                <w:sz w:val="22"/>
                <w:szCs w:val="22"/>
              </w:rPr>
            </w:pPr>
            <w:r w:rsidRPr="00513407">
              <w:rPr>
                <w:sz w:val="22"/>
                <w:szCs w:val="22"/>
              </w:rPr>
              <w:t>1</w:t>
            </w:r>
            <w:r w:rsidR="00F16EAF" w:rsidRPr="00513407">
              <w:rPr>
                <w:sz w:val="22"/>
                <w:szCs w:val="22"/>
              </w:rPr>
              <w:t>681</w:t>
            </w:r>
          </w:p>
        </w:tc>
        <w:tc>
          <w:tcPr>
            <w:tcW w:w="5102" w:type="dxa"/>
            <w:tcBorders>
              <w:top w:val="nil"/>
              <w:left w:val="single" w:sz="2" w:space="0" w:color="auto"/>
              <w:right w:val="single" w:sz="2" w:space="0" w:color="auto"/>
            </w:tcBorders>
          </w:tcPr>
          <w:p w:rsidR="00F80B5D" w:rsidRPr="00513407" w:rsidRDefault="00F16EAF" w:rsidP="002939D6">
            <w:pPr>
              <w:jc w:val="center"/>
              <w:rPr>
                <w:sz w:val="22"/>
                <w:szCs w:val="22"/>
              </w:rPr>
            </w:pPr>
            <w:r w:rsidRPr="00513407">
              <w:rPr>
                <w:sz w:val="22"/>
                <w:szCs w:val="22"/>
              </w:rPr>
              <w:t>Autres emprunts</w:t>
            </w:r>
          </w:p>
        </w:tc>
        <w:tc>
          <w:tcPr>
            <w:tcW w:w="2194" w:type="dxa"/>
            <w:tcBorders>
              <w:top w:val="nil"/>
              <w:left w:val="single" w:sz="2" w:space="0" w:color="auto"/>
              <w:right w:val="single" w:sz="2" w:space="0" w:color="auto"/>
            </w:tcBorders>
          </w:tcPr>
          <w:p w:rsidR="00F80B5D" w:rsidRPr="00513407" w:rsidRDefault="00F80B5D" w:rsidP="002939D6">
            <w:pPr>
              <w:rPr>
                <w:sz w:val="22"/>
                <w:szCs w:val="22"/>
              </w:rPr>
            </w:pPr>
          </w:p>
        </w:tc>
        <w:tc>
          <w:tcPr>
            <w:tcW w:w="2203" w:type="dxa"/>
            <w:tcBorders>
              <w:top w:val="nil"/>
              <w:left w:val="single" w:sz="2" w:space="0" w:color="auto"/>
              <w:right w:val="single" w:sz="2" w:space="0" w:color="auto"/>
            </w:tcBorders>
          </w:tcPr>
          <w:p w:rsidR="00F80B5D" w:rsidRPr="00513407" w:rsidRDefault="00355D33" w:rsidP="002939D6">
            <w:pPr>
              <w:ind w:right="620"/>
              <w:jc w:val="right"/>
              <w:rPr>
                <w:sz w:val="22"/>
                <w:szCs w:val="22"/>
                <w:lang w:val="en-US"/>
              </w:rPr>
            </w:pPr>
            <w:r w:rsidRPr="00513407">
              <w:rPr>
                <w:sz w:val="22"/>
                <w:szCs w:val="22"/>
                <w:lang w:val="en-US"/>
              </w:rPr>
              <w:t>150 000,</w:t>
            </w:r>
            <w:r w:rsidR="00002422" w:rsidRPr="00513407">
              <w:rPr>
                <w:sz w:val="22"/>
                <w:szCs w:val="22"/>
                <w:lang w:val="en-US"/>
              </w:rPr>
              <w:t>00</w:t>
            </w:r>
          </w:p>
        </w:tc>
      </w:tr>
      <w:tr w:rsidR="00F80B5D" w:rsidRPr="00513407" w:rsidTr="002939D6">
        <w:tblPrEx>
          <w:tblCellMar>
            <w:top w:w="0" w:type="dxa"/>
            <w:left w:w="0" w:type="dxa"/>
            <w:bottom w:w="0" w:type="dxa"/>
            <w:right w:w="0" w:type="dxa"/>
          </w:tblCellMar>
        </w:tblPrEx>
        <w:trPr>
          <w:trHeight w:hRule="exact" w:val="250"/>
          <w:jc w:val="center"/>
        </w:trPr>
        <w:tc>
          <w:tcPr>
            <w:tcW w:w="1071" w:type="dxa"/>
            <w:tcBorders>
              <w:left w:val="single" w:sz="2" w:space="0" w:color="auto"/>
              <w:bottom w:val="nil"/>
              <w:right w:val="single" w:sz="2" w:space="0" w:color="auto"/>
            </w:tcBorders>
          </w:tcPr>
          <w:p w:rsidR="00F80B5D" w:rsidRPr="00513407" w:rsidRDefault="00F80B5D" w:rsidP="002939D6">
            <w:pPr>
              <w:jc w:val="right"/>
              <w:rPr>
                <w:sz w:val="22"/>
                <w:szCs w:val="22"/>
              </w:rPr>
            </w:pPr>
          </w:p>
        </w:tc>
        <w:tc>
          <w:tcPr>
            <w:tcW w:w="5102" w:type="dxa"/>
            <w:tcBorders>
              <w:left w:val="single" w:sz="2" w:space="0" w:color="auto"/>
              <w:bottom w:val="nil"/>
              <w:right w:val="single" w:sz="2" w:space="0" w:color="auto"/>
            </w:tcBorders>
          </w:tcPr>
          <w:p w:rsidR="00F80B5D" w:rsidRPr="00513407" w:rsidRDefault="00456751" w:rsidP="002939D6">
            <w:pPr>
              <w:jc w:val="center"/>
              <w:rPr>
                <w:b/>
                <w:sz w:val="22"/>
                <w:szCs w:val="22"/>
              </w:rPr>
            </w:pPr>
            <w:r w:rsidRPr="00513407">
              <w:rPr>
                <w:b/>
                <w:sz w:val="22"/>
                <w:szCs w:val="22"/>
              </w:rPr>
              <w:t>Prêt de SPPR</w:t>
            </w:r>
          </w:p>
        </w:tc>
        <w:tc>
          <w:tcPr>
            <w:tcW w:w="2194" w:type="dxa"/>
            <w:tcBorders>
              <w:left w:val="single" w:sz="2" w:space="0" w:color="auto"/>
              <w:bottom w:val="nil"/>
              <w:right w:val="single" w:sz="2" w:space="0" w:color="auto"/>
            </w:tcBorders>
          </w:tcPr>
          <w:p w:rsidR="00F80B5D" w:rsidRPr="00513407" w:rsidRDefault="00F80B5D" w:rsidP="002939D6">
            <w:pPr>
              <w:rPr>
                <w:sz w:val="22"/>
                <w:szCs w:val="22"/>
              </w:rPr>
            </w:pPr>
          </w:p>
        </w:tc>
        <w:tc>
          <w:tcPr>
            <w:tcW w:w="2203" w:type="dxa"/>
            <w:tcBorders>
              <w:left w:val="single" w:sz="2" w:space="0" w:color="auto"/>
              <w:bottom w:val="nil"/>
              <w:right w:val="single" w:sz="2" w:space="0" w:color="auto"/>
            </w:tcBorders>
          </w:tcPr>
          <w:p w:rsidR="00F80B5D" w:rsidRPr="00513407" w:rsidRDefault="00F80B5D" w:rsidP="002939D6">
            <w:pPr>
              <w:ind w:right="620"/>
              <w:jc w:val="right"/>
              <w:rPr>
                <w:sz w:val="22"/>
                <w:szCs w:val="22"/>
              </w:rPr>
            </w:pPr>
          </w:p>
        </w:tc>
      </w:tr>
      <w:tr w:rsidR="00F80B5D" w:rsidRPr="00513407" w:rsidTr="002939D6">
        <w:tblPrEx>
          <w:tblCellMar>
            <w:top w:w="0" w:type="dxa"/>
            <w:left w:w="0" w:type="dxa"/>
            <w:bottom w:w="0" w:type="dxa"/>
            <w:right w:w="0" w:type="dxa"/>
          </w:tblCellMar>
        </w:tblPrEx>
        <w:trPr>
          <w:trHeight w:hRule="exact" w:val="259"/>
          <w:jc w:val="center"/>
        </w:trPr>
        <w:tc>
          <w:tcPr>
            <w:tcW w:w="1071" w:type="dxa"/>
            <w:tcBorders>
              <w:top w:val="nil"/>
              <w:left w:val="single" w:sz="2" w:space="0" w:color="auto"/>
              <w:bottom w:val="single" w:sz="4" w:space="0" w:color="auto"/>
              <w:right w:val="single" w:sz="2" w:space="0" w:color="auto"/>
            </w:tcBorders>
          </w:tcPr>
          <w:p w:rsidR="00F80B5D" w:rsidRPr="00513407" w:rsidRDefault="00F80B5D" w:rsidP="002939D6">
            <w:pPr>
              <w:jc w:val="right"/>
              <w:rPr>
                <w:sz w:val="22"/>
                <w:szCs w:val="22"/>
              </w:rPr>
            </w:pPr>
          </w:p>
        </w:tc>
        <w:tc>
          <w:tcPr>
            <w:tcW w:w="5102" w:type="dxa"/>
            <w:tcBorders>
              <w:top w:val="nil"/>
              <w:left w:val="single" w:sz="2" w:space="0" w:color="auto"/>
              <w:bottom w:val="single" w:sz="4" w:space="0" w:color="auto"/>
              <w:right w:val="single" w:sz="2" w:space="0" w:color="auto"/>
            </w:tcBorders>
          </w:tcPr>
          <w:p w:rsidR="00F80B5D" w:rsidRPr="00513407" w:rsidRDefault="00F80B5D" w:rsidP="002939D6">
            <w:pPr>
              <w:jc w:val="right"/>
              <w:rPr>
                <w:sz w:val="22"/>
                <w:szCs w:val="22"/>
              </w:rPr>
            </w:pPr>
          </w:p>
        </w:tc>
        <w:tc>
          <w:tcPr>
            <w:tcW w:w="2194" w:type="dxa"/>
            <w:tcBorders>
              <w:top w:val="nil"/>
              <w:left w:val="single" w:sz="2" w:space="0" w:color="auto"/>
              <w:bottom w:val="single" w:sz="4" w:space="0" w:color="auto"/>
              <w:right w:val="single" w:sz="2" w:space="0" w:color="auto"/>
            </w:tcBorders>
          </w:tcPr>
          <w:p w:rsidR="00F80B5D" w:rsidRPr="00513407" w:rsidRDefault="00F80B5D" w:rsidP="002939D6">
            <w:pPr>
              <w:rPr>
                <w:sz w:val="22"/>
                <w:szCs w:val="22"/>
              </w:rPr>
            </w:pPr>
          </w:p>
        </w:tc>
        <w:tc>
          <w:tcPr>
            <w:tcW w:w="2203" w:type="dxa"/>
            <w:tcBorders>
              <w:top w:val="nil"/>
              <w:left w:val="single" w:sz="2" w:space="0" w:color="auto"/>
              <w:bottom w:val="single" w:sz="4" w:space="0" w:color="auto"/>
              <w:right w:val="single" w:sz="2" w:space="0" w:color="auto"/>
            </w:tcBorders>
          </w:tcPr>
          <w:p w:rsidR="00F80B5D" w:rsidRPr="00513407" w:rsidRDefault="00F80B5D" w:rsidP="002939D6">
            <w:pPr>
              <w:ind w:right="620"/>
              <w:jc w:val="right"/>
              <w:rPr>
                <w:sz w:val="22"/>
                <w:szCs w:val="22"/>
              </w:rPr>
            </w:pPr>
          </w:p>
        </w:tc>
      </w:tr>
    </w:tbl>
    <w:p w:rsidR="00F80B5D" w:rsidRPr="00513407" w:rsidRDefault="00F80B5D" w:rsidP="00513407">
      <w:pPr>
        <w:suppressAutoHyphens w:val="0"/>
        <w:autoSpaceDN w:val="0"/>
        <w:ind w:right="74"/>
        <w:jc w:val="both"/>
        <w:rPr>
          <w:b/>
          <w:bCs/>
          <w:sz w:val="22"/>
          <w:szCs w:val="22"/>
        </w:rPr>
      </w:pPr>
    </w:p>
    <w:p w:rsidR="0090290F" w:rsidRDefault="0090290F" w:rsidP="00F11738">
      <w:pPr>
        <w:suppressAutoHyphens w:val="0"/>
        <w:autoSpaceDN w:val="0"/>
        <w:ind w:right="74"/>
        <w:jc w:val="both"/>
        <w:rPr>
          <w:b/>
          <w:bCs/>
          <w:sz w:val="22"/>
          <w:szCs w:val="22"/>
        </w:rPr>
      </w:pPr>
    </w:p>
    <w:p w:rsidR="00563741" w:rsidRDefault="00563741" w:rsidP="00F11738">
      <w:pPr>
        <w:suppressAutoHyphens w:val="0"/>
        <w:autoSpaceDN w:val="0"/>
        <w:ind w:right="74"/>
        <w:jc w:val="both"/>
        <w:rPr>
          <w:b/>
          <w:bCs/>
          <w:sz w:val="22"/>
          <w:szCs w:val="22"/>
        </w:rPr>
      </w:pPr>
      <w:r w:rsidRPr="00513407">
        <w:rPr>
          <w:b/>
          <w:bCs/>
          <w:sz w:val="22"/>
          <w:szCs w:val="22"/>
        </w:rPr>
        <w:t>6. Préciser les conséquences sur les comptes annuels du cautionnement du prêt accordé par SORGUES dans</w:t>
      </w:r>
      <w:r w:rsidR="00513407" w:rsidRPr="00513407">
        <w:rPr>
          <w:b/>
          <w:bCs/>
          <w:sz w:val="22"/>
          <w:szCs w:val="22"/>
        </w:rPr>
        <w:t xml:space="preserve"> </w:t>
      </w:r>
      <w:r w:rsidRPr="00513407">
        <w:rPr>
          <w:b/>
          <w:bCs/>
          <w:sz w:val="22"/>
          <w:szCs w:val="22"/>
        </w:rPr>
        <w:t>les différentes sociétés concernées. (Les écritures relatives aux engagements ne sont pas demandées).</w:t>
      </w:r>
    </w:p>
    <w:p w:rsidR="0090290F" w:rsidRPr="00513407" w:rsidRDefault="0090290F" w:rsidP="00F11738">
      <w:pPr>
        <w:suppressAutoHyphens w:val="0"/>
        <w:autoSpaceDN w:val="0"/>
        <w:ind w:right="74"/>
        <w:jc w:val="both"/>
        <w:rPr>
          <w:b/>
          <w:bCs/>
          <w:sz w:val="22"/>
          <w:szCs w:val="22"/>
        </w:rPr>
      </w:pPr>
    </w:p>
    <w:p w:rsidR="00563741" w:rsidRPr="00513407" w:rsidRDefault="00F11738" w:rsidP="00E11745">
      <w:pPr>
        <w:numPr>
          <w:ilvl w:val="0"/>
          <w:numId w:val="2"/>
        </w:numPr>
        <w:rPr>
          <w:sz w:val="22"/>
          <w:szCs w:val="22"/>
        </w:rPr>
      </w:pPr>
      <w:r>
        <w:rPr>
          <w:sz w:val="22"/>
          <w:szCs w:val="22"/>
        </w:rPr>
        <w:t>d</w:t>
      </w:r>
      <w:r w:rsidR="00563741" w:rsidRPr="00513407">
        <w:rPr>
          <w:sz w:val="22"/>
          <w:szCs w:val="22"/>
        </w:rPr>
        <w:t>ans la société COMBES : aucun engagement dans l’annexe ;</w:t>
      </w:r>
    </w:p>
    <w:p w:rsidR="00563741" w:rsidRPr="00513407" w:rsidRDefault="00F11738" w:rsidP="00E11745">
      <w:pPr>
        <w:numPr>
          <w:ilvl w:val="0"/>
          <w:numId w:val="2"/>
        </w:numPr>
        <w:rPr>
          <w:sz w:val="22"/>
          <w:szCs w:val="22"/>
        </w:rPr>
      </w:pPr>
      <w:r>
        <w:rPr>
          <w:sz w:val="22"/>
          <w:szCs w:val="22"/>
        </w:rPr>
        <w:t>d</w:t>
      </w:r>
      <w:r w:rsidR="00563741" w:rsidRPr="00513407">
        <w:rPr>
          <w:sz w:val="22"/>
          <w:szCs w:val="22"/>
        </w:rPr>
        <w:t xml:space="preserve">ans la société SORGUES : </w:t>
      </w:r>
      <w:r w:rsidR="00030323">
        <w:rPr>
          <w:sz w:val="22"/>
          <w:szCs w:val="22"/>
        </w:rPr>
        <w:t xml:space="preserve">en annexe, </w:t>
      </w:r>
      <w:r w:rsidR="00563741" w:rsidRPr="00513407">
        <w:rPr>
          <w:sz w:val="22"/>
          <w:szCs w:val="22"/>
        </w:rPr>
        <w:t>un engagement donné de  150 000 € ;</w:t>
      </w:r>
    </w:p>
    <w:p w:rsidR="008D2011" w:rsidRPr="00513407" w:rsidRDefault="00F11738" w:rsidP="00E11745">
      <w:pPr>
        <w:numPr>
          <w:ilvl w:val="0"/>
          <w:numId w:val="2"/>
        </w:numPr>
        <w:rPr>
          <w:sz w:val="22"/>
          <w:szCs w:val="22"/>
        </w:rPr>
      </w:pPr>
      <w:r>
        <w:rPr>
          <w:sz w:val="22"/>
          <w:szCs w:val="22"/>
        </w:rPr>
        <w:t>d</w:t>
      </w:r>
      <w:r w:rsidR="00563741" w:rsidRPr="00513407">
        <w:rPr>
          <w:sz w:val="22"/>
          <w:szCs w:val="22"/>
        </w:rPr>
        <w:t xml:space="preserve">ans la société SPPR : </w:t>
      </w:r>
      <w:r w:rsidR="00030323">
        <w:rPr>
          <w:sz w:val="22"/>
          <w:szCs w:val="22"/>
        </w:rPr>
        <w:t xml:space="preserve">en annexe, </w:t>
      </w:r>
      <w:r w:rsidR="00563741" w:rsidRPr="00513407">
        <w:rPr>
          <w:sz w:val="22"/>
          <w:szCs w:val="22"/>
        </w:rPr>
        <w:t>un engagement reçu de 150 000 €.</w:t>
      </w:r>
    </w:p>
    <w:p w:rsidR="00563741" w:rsidRPr="00A72CB7" w:rsidRDefault="002D6BE9" w:rsidP="00A72CB7">
      <w:pPr>
        <w:rPr>
          <w:sz w:val="22"/>
          <w:szCs w:val="22"/>
        </w:rPr>
      </w:pPr>
      <w:r w:rsidRPr="00A72CB7">
        <w:rPr>
          <w:sz w:val="22"/>
          <w:szCs w:val="22"/>
        </w:rPr>
        <w:t>La caution est une convention entre les sociétés</w:t>
      </w:r>
      <w:r w:rsidR="00A72CB7" w:rsidRPr="00A72CB7">
        <w:rPr>
          <w:sz w:val="22"/>
          <w:szCs w:val="22"/>
        </w:rPr>
        <w:t xml:space="preserve"> </w:t>
      </w:r>
      <w:r w:rsidRPr="00A72CB7">
        <w:rPr>
          <w:sz w:val="22"/>
          <w:szCs w:val="22"/>
        </w:rPr>
        <w:t>SORGUES et SPPR.</w:t>
      </w:r>
    </w:p>
    <w:p w:rsidR="00563741" w:rsidRPr="00513407" w:rsidRDefault="0090290F" w:rsidP="00563741">
      <w:pPr>
        <w:ind w:left="720"/>
      </w:pPr>
      <w:r>
        <w:br w:type="page"/>
      </w:r>
    </w:p>
    <w:p w:rsidR="008D2011" w:rsidRPr="00513407" w:rsidRDefault="008D2011" w:rsidP="008D2011">
      <w:pPr>
        <w:pBdr>
          <w:top w:val="single" w:sz="4" w:space="9" w:color="000000"/>
          <w:left w:val="single" w:sz="4" w:space="1" w:color="auto"/>
          <w:bottom w:val="single" w:sz="4" w:space="14" w:color="000000"/>
          <w:right w:val="single" w:sz="4" w:space="0" w:color="000000"/>
        </w:pBdr>
        <w:shd w:val="solid" w:color="C0C0C0" w:fill="auto"/>
        <w:spacing w:after="221"/>
        <w:ind w:left="53"/>
        <w:jc w:val="center"/>
        <w:rPr>
          <w:b/>
          <w:bCs/>
          <w:color w:val="000000"/>
          <w:spacing w:val="14"/>
          <w:sz w:val="26"/>
          <w:szCs w:val="26"/>
        </w:rPr>
      </w:pPr>
      <w:r w:rsidRPr="00513407">
        <w:rPr>
          <w:b/>
          <w:bCs/>
          <w:color w:val="000000"/>
          <w:spacing w:val="14"/>
          <w:sz w:val="26"/>
          <w:szCs w:val="26"/>
        </w:rPr>
        <w:lastRenderedPageBreak/>
        <w:t>DOSSIER 4 – INTRODUCTION A LA CONSOLIDATION</w:t>
      </w:r>
    </w:p>
    <w:p w:rsidR="00563741" w:rsidRPr="00513407" w:rsidRDefault="00F11738" w:rsidP="00F11738">
      <w:pPr>
        <w:suppressAutoHyphens w:val="0"/>
        <w:autoSpaceDN w:val="0"/>
        <w:ind w:right="74"/>
        <w:jc w:val="both"/>
        <w:rPr>
          <w:b/>
          <w:bCs/>
          <w:sz w:val="22"/>
          <w:szCs w:val="22"/>
        </w:rPr>
      </w:pPr>
      <w:r>
        <w:rPr>
          <w:b/>
          <w:bCs/>
          <w:sz w:val="22"/>
          <w:szCs w:val="22"/>
        </w:rPr>
        <w:t xml:space="preserve">1. </w:t>
      </w:r>
      <w:r w:rsidR="00563741" w:rsidRPr="00513407">
        <w:rPr>
          <w:b/>
          <w:bCs/>
          <w:sz w:val="22"/>
          <w:szCs w:val="22"/>
        </w:rPr>
        <w:t>Indiquer le référentiel comptable applicable pour la présentation des comptes consolidés des sociétés cotées.</w:t>
      </w:r>
    </w:p>
    <w:p w:rsidR="0090290F" w:rsidRDefault="0090290F" w:rsidP="006D480A">
      <w:pPr>
        <w:widowControl/>
        <w:adjustRightInd w:val="0"/>
        <w:jc w:val="both"/>
        <w:rPr>
          <w:sz w:val="22"/>
          <w:szCs w:val="22"/>
        </w:rPr>
      </w:pPr>
    </w:p>
    <w:p w:rsidR="008D2011" w:rsidRPr="00513407" w:rsidRDefault="00563741" w:rsidP="006D480A">
      <w:pPr>
        <w:widowControl/>
        <w:adjustRightInd w:val="0"/>
        <w:jc w:val="both"/>
        <w:rPr>
          <w:sz w:val="22"/>
          <w:szCs w:val="22"/>
        </w:rPr>
      </w:pPr>
      <w:r w:rsidRPr="00513407">
        <w:rPr>
          <w:sz w:val="22"/>
          <w:szCs w:val="22"/>
        </w:rPr>
        <w:t>Il s’agit du référentiel</w:t>
      </w:r>
      <w:r w:rsidR="008D2011" w:rsidRPr="00513407">
        <w:rPr>
          <w:b/>
          <w:sz w:val="22"/>
          <w:szCs w:val="22"/>
        </w:rPr>
        <w:t xml:space="preserve"> IFRS</w:t>
      </w:r>
      <w:r w:rsidRPr="00513407">
        <w:rPr>
          <w:sz w:val="22"/>
          <w:szCs w:val="22"/>
        </w:rPr>
        <w:t xml:space="preserve"> qui est obligatoire</w:t>
      </w:r>
      <w:r w:rsidR="008D2011" w:rsidRPr="00513407">
        <w:rPr>
          <w:sz w:val="22"/>
          <w:szCs w:val="22"/>
        </w:rPr>
        <w:t xml:space="preserve"> pour les sociétés cotées sur un marché réglementé.</w:t>
      </w:r>
    </w:p>
    <w:p w:rsidR="006D480A" w:rsidRPr="00513407" w:rsidRDefault="006D480A" w:rsidP="006D480A">
      <w:pPr>
        <w:widowControl/>
        <w:adjustRightInd w:val="0"/>
        <w:jc w:val="both"/>
      </w:pPr>
    </w:p>
    <w:p w:rsidR="008D2011" w:rsidRPr="00513407" w:rsidRDefault="00F11738" w:rsidP="00F11738">
      <w:pPr>
        <w:suppressAutoHyphens w:val="0"/>
        <w:autoSpaceDN w:val="0"/>
        <w:spacing w:before="100" w:beforeAutospacing="1"/>
        <w:ind w:right="72"/>
        <w:jc w:val="both"/>
        <w:rPr>
          <w:b/>
          <w:bCs/>
          <w:sz w:val="22"/>
          <w:szCs w:val="22"/>
        </w:rPr>
      </w:pPr>
      <w:r>
        <w:rPr>
          <w:b/>
          <w:bCs/>
          <w:sz w:val="22"/>
          <w:szCs w:val="22"/>
        </w:rPr>
        <w:t xml:space="preserve">2. </w:t>
      </w:r>
      <w:r w:rsidR="008D2011" w:rsidRPr="00513407">
        <w:rPr>
          <w:b/>
          <w:bCs/>
          <w:sz w:val="22"/>
          <w:szCs w:val="22"/>
        </w:rPr>
        <w:t>Définir les expressions « pourcentage de contrôle » et « pourcentage d’intérêt ».</w:t>
      </w:r>
    </w:p>
    <w:p w:rsidR="0090290F" w:rsidRDefault="0090290F" w:rsidP="006D480A">
      <w:pPr>
        <w:jc w:val="both"/>
        <w:rPr>
          <w:sz w:val="22"/>
          <w:szCs w:val="22"/>
          <w:lang w:eastAsia="x-none"/>
        </w:rPr>
      </w:pPr>
    </w:p>
    <w:p w:rsidR="008D2011" w:rsidRPr="00513407" w:rsidRDefault="008D2011" w:rsidP="006D480A">
      <w:pPr>
        <w:jc w:val="both"/>
        <w:rPr>
          <w:sz w:val="22"/>
          <w:szCs w:val="22"/>
          <w:lang w:eastAsia="x-none"/>
        </w:rPr>
      </w:pPr>
      <w:r w:rsidRPr="00513407">
        <w:rPr>
          <w:sz w:val="22"/>
          <w:szCs w:val="22"/>
          <w:lang w:eastAsia="x-none"/>
        </w:rPr>
        <w:t xml:space="preserve">Pourcentage de contrôle : </w:t>
      </w:r>
      <w:r w:rsidR="008E0138" w:rsidRPr="008E0138">
        <w:rPr>
          <w:b/>
          <w:sz w:val="22"/>
          <w:szCs w:val="22"/>
          <w:lang w:eastAsia="x-none"/>
        </w:rPr>
        <w:t>pourcentage</w:t>
      </w:r>
      <w:r w:rsidR="008E0138">
        <w:rPr>
          <w:sz w:val="22"/>
          <w:szCs w:val="22"/>
          <w:lang w:eastAsia="x-none"/>
        </w:rPr>
        <w:t xml:space="preserve"> (</w:t>
      </w:r>
      <w:r w:rsidRPr="00513407">
        <w:rPr>
          <w:b/>
          <w:sz w:val="22"/>
          <w:szCs w:val="22"/>
          <w:lang w:eastAsia="x-none"/>
        </w:rPr>
        <w:t>fraction</w:t>
      </w:r>
      <w:r w:rsidR="008E0138">
        <w:rPr>
          <w:b/>
          <w:sz w:val="22"/>
          <w:szCs w:val="22"/>
          <w:lang w:eastAsia="x-none"/>
        </w:rPr>
        <w:t>)</w:t>
      </w:r>
      <w:r w:rsidRPr="00513407">
        <w:rPr>
          <w:b/>
          <w:sz w:val="22"/>
          <w:szCs w:val="22"/>
          <w:lang w:eastAsia="x-none"/>
        </w:rPr>
        <w:t xml:space="preserve"> des droits de vote </w:t>
      </w:r>
      <w:r w:rsidRPr="00513407">
        <w:rPr>
          <w:sz w:val="22"/>
          <w:szCs w:val="22"/>
          <w:lang w:eastAsia="x-none"/>
        </w:rPr>
        <w:t xml:space="preserve">attachés aux actions détenues par la société </w:t>
      </w:r>
      <w:r w:rsidRPr="00513407">
        <w:rPr>
          <w:b/>
          <w:sz w:val="22"/>
          <w:szCs w:val="22"/>
          <w:lang w:eastAsia="x-none"/>
        </w:rPr>
        <w:t>consolid</w:t>
      </w:r>
      <w:r w:rsidR="00156D42" w:rsidRPr="00513407">
        <w:rPr>
          <w:b/>
          <w:sz w:val="22"/>
          <w:szCs w:val="22"/>
          <w:lang w:eastAsia="x-none"/>
        </w:rPr>
        <w:t>ante elle-même</w:t>
      </w:r>
      <w:r w:rsidR="00156D42" w:rsidRPr="00513407">
        <w:rPr>
          <w:sz w:val="22"/>
          <w:szCs w:val="22"/>
          <w:lang w:eastAsia="x-none"/>
        </w:rPr>
        <w:t xml:space="preserve"> (contrôle direct</w:t>
      </w:r>
      <w:r w:rsidRPr="00513407">
        <w:rPr>
          <w:sz w:val="22"/>
          <w:szCs w:val="22"/>
          <w:lang w:eastAsia="x-none"/>
        </w:rPr>
        <w:t>) et par toutes les autr</w:t>
      </w:r>
      <w:r w:rsidRPr="00513407">
        <w:rPr>
          <w:b/>
          <w:sz w:val="22"/>
          <w:szCs w:val="22"/>
          <w:lang w:eastAsia="x-none"/>
        </w:rPr>
        <w:t>es entreprises qu’elle contrôle de manière exclusive</w:t>
      </w:r>
      <w:r w:rsidRPr="00513407">
        <w:rPr>
          <w:sz w:val="22"/>
          <w:szCs w:val="22"/>
          <w:lang w:eastAsia="x-none"/>
        </w:rPr>
        <w:t xml:space="preserve"> (contrôle indirect).</w:t>
      </w:r>
    </w:p>
    <w:p w:rsidR="008D2011" w:rsidRPr="00513407" w:rsidRDefault="008D2011" w:rsidP="006D480A">
      <w:pPr>
        <w:jc w:val="both"/>
        <w:rPr>
          <w:sz w:val="22"/>
          <w:szCs w:val="22"/>
          <w:lang w:eastAsia="x-none"/>
        </w:rPr>
      </w:pPr>
      <w:r w:rsidRPr="00513407">
        <w:rPr>
          <w:sz w:val="22"/>
          <w:szCs w:val="22"/>
          <w:lang w:eastAsia="x-none"/>
        </w:rPr>
        <w:t xml:space="preserve">Pourcentage d’intérêt : </w:t>
      </w:r>
      <w:r w:rsidR="00E97539" w:rsidRPr="00E97539">
        <w:rPr>
          <w:b/>
          <w:sz w:val="22"/>
          <w:szCs w:val="22"/>
          <w:lang w:eastAsia="x-none"/>
        </w:rPr>
        <w:t>part</w:t>
      </w:r>
      <w:r w:rsidR="00E97539">
        <w:rPr>
          <w:sz w:val="22"/>
          <w:szCs w:val="22"/>
          <w:lang w:eastAsia="x-none"/>
        </w:rPr>
        <w:t xml:space="preserve"> (</w:t>
      </w:r>
      <w:r w:rsidRPr="00513407">
        <w:rPr>
          <w:b/>
          <w:sz w:val="22"/>
          <w:szCs w:val="22"/>
          <w:lang w:eastAsia="x-none"/>
        </w:rPr>
        <w:t>fraction</w:t>
      </w:r>
      <w:r w:rsidR="00E97539">
        <w:rPr>
          <w:b/>
          <w:sz w:val="22"/>
          <w:szCs w:val="22"/>
          <w:lang w:eastAsia="x-none"/>
        </w:rPr>
        <w:t>, pourcentage)</w:t>
      </w:r>
      <w:r w:rsidRPr="00513407">
        <w:rPr>
          <w:b/>
          <w:sz w:val="22"/>
          <w:szCs w:val="22"/>
          <w:lang w:eastAsia="x-none"/>
        </w:rPr>
        <w:t xml:space="preserve"> du patrimoine</w:t>
      </w:r>
      <w:r w:rsidRPr="00513407">
        <w:rPr>
          <w:sz w:val="22"/>
          <w:szCs w:val="22"/>
          <w:lang w:eastAsia="x-none"/>
        </w:rPr>
        <w:t xml:space="preserve"> d’une filiale dont la société consolidante est, </w:t>
      </w:r>
      <w:r w:rsidRPr="00513407">
        <w:rPr>
          <w:b/>
          <w:sz w:val="22"/>
          <w:szCs w:val="22"/>
          <w:lang w:eastAsia="x-none"/>
        </w:rPr>
        <w:t>directement ou indirectement, propriétaire</w:t>
      </w:r>
      <w:r w:rsidRPr="00513407">
        <w:rPr>
          <w:sz w:val="22"/>
          <w:szCs w:val="22"/>
          <w:lang w:eastAsia="x-none"/>
        </w:rPr>
        <w:t>.</w:t>
      </w:r>
    </w:p>
    <w:p w:rsidR="00563741" w:rsidRPr="00513407" w:rsidRDefault="00563741" w:rsidP="00F11738">
      <w:pPr>
        <w:jc w:val="both"/>
        <w:rPr>
          <w:sz w:val="22"/>
          <w:szCs w:val="22"/>
        </w:rPr>
      </w:pPr>
    </w:p>
    <w:p w:rsidR="008D2011" w:rsidRPr="00513407" w:rsidRDefault="00F11738" w:rsidP="00F11738">
      <w:pPr>
        <w:suppressAutoHyphens w:val="0"/>
        <w:autoSpaceDN w:val="0"/>
        <w:ind w:right="72"/>
        <w:jc w:val="both"/>
        <w:rPr>
          <w:b/>
          <w:bCs/>
          <w:sz w:val="22"/>
          <w:szCs w:val="22"/>
        </w:rPr>
      </w:pPr>
      <w:r>
        <w:rPr>
          <w:b/>
          <w:bCs/>
          <w:sz w:val="22"/>
          <w:szCs w:val="22"/>
        </w:rPr>
        <w:t xml:space="preserve">3. </w:t>
      </w:r>
      <w:r w:rsidR="008D2011" w:rsidRPr="00513407">
        <w:rPr>
          <w:b/>
          <w:bCs/>
          <w:sz w:val="22"/>
          <w:szCs w:val="22"/>
        </w:rPr>
        <w:t>Définir les</w:t>
      </w:r>
      <w:r w:rsidR="007C754A" w:rsidRPr="00513407">
        <w:rPr>
          <w:b/>
          <w:bCs/>
          <w:sz w:val="22"/>
          <w:szCs w:val="22"/>
        </w:rPr>
        <w:t xml:space="preserve"> trois</w:t>
      </w:r>
      <w:r w:rsidR="008D2011" w:rsidRPr="00513407">
        <w:rPr>
          <w:b/>
          <w:bCs/>
          <w:sz w:val="22"/>
          <w:szCs w:val="22"/>
        </w:rPr>
        <w:t xml:space="preserve"> différents types de contrôle. </w:t>
      </w:r>
    </w:p>
    <w:p w:rsidR="0090290F" w:rsidRDefault="0090290F" w:rsidP="006D480A">
      <w:pPr>
        <w:jc w:val="both"/>
        <w:rPr>
          <w:sz w:val="22"/>
          <w:szCs w:val="22"/>
        </w:rPr>
      </w:pPr>
    </w:p>
    <w:p w:rsidR="008D2011" w:rsidRPr="00513407" w:rsidRDefault="008D2011" w:rsidP="006D480A">
      <w:pPr>
        <w:jc w:val="both"/>
        <w:rPr>
          <w:sz w:val="22"/>
          <w:szCs w:val="22"/>
        </w:rPr>
      </w:pPr>
      <w:r w:rsidRPr="00513407">
        <w:rPr>
          <w:sz w:val="22"/>
          <w:szCs w:val="22"/>
        </w:rPr>
        <w:t>D’après le CRC 99-02</w:t>
      </w:r>
    </w:p>
    <w:p w:rsidR="008D2011" w:rsidRPr="00513407" w:rsidRDefault="008D2011" w:rsidP="006D480A">
      <w:pPr>
        <w:widowControl/>
        <w:adjustRightInd w:val="0"/>
        <w:jc w:val="both"/>
        <w:rPr>
          <w:sz w:val="22"/>
          <w:szCs w:val="22"/>
        </w:rPr>
      </w:pPr>
      <w:r w:rsidRPr="00513407">
        <w:rPr>
          <w:b/>
          <w:bCs/>
          <w:i/>
          <w:iCs/>
          <w:sz w:val="22"/>
          <w:szCs w:val="22"/>
        </w:rPr>
        <w:t>1002 - Entreprises sous contrôle exclusif (Règlement n°2004-03 du CRC)</w:t>
      </w:r>
    </w:p>
    <w:p w:rsidR="008D2011" w:rsidRPr="00513407" w:rsidRDefault="008D2011" w:rsidP="006D480A">
      <w:pPr>
        <w:jc w:val="both"/>
        <w:rPr>
          <w:sz w:val="22"/>
          <w:szCs w:val="22"/>
        </w:rPr>
      </w:pPr>
      <w:r w:rsidRPr="00513407">
        <w:rPr>
          <w:sz w:val="22"/>
          <w:szCs w:val="22"/>
        </w:rPr>
        <w:t xml:space="preserve">Le contrôle exclusif est le </w:t>
      </w:r>
      <w:r w:rsidRPr="00513407">
        <w:rPr>
          <w:b/>
          <w:sz w:val="22"/>
          <w:szCs w:val="22"/>
        </w:rPr>
        <w:t>pouvoir de diriger</w:t>
      </w:r>
      <w:r w:rsidRPr="00513407">
        <w:rPr>
          <w:sz w:val="22"/>
          <w:szCs w:val="22"/>
        </w:rPr>
        <w:t xml:space="preserve"> les politiques financière et opérationnelle d’une entreprise afin de </w:t>
      </w:r>
      <w:r w:rsidRPr="00513407">
        <w:rPr>
          <w:b/>
          <w:sz w:val="22"/>
          <w:szCs w:val="22"/>
        </w:rPr>
        <w:t>tirer avantage de ses activités</w:t>
      </w:r>
      <w:r w:rsidRPr="00513407">
        <w:rPr>
          <w:sz w:val="22"/>
          <w:szCs w:val="22"/>
        </w:rPr>
        <w:t>.</w:t>
      </w:r>
    </w:p>
    <w:p w:rsidR="0090290F" w:rsidRDefault="0090290F" w:rsidP="006D480A">
      <w:pPr>
        <w:widowControl/>
        <w:adjustRightInd w:val="0"/>
        <w:jc w:val="both"/>
        <w:rPr>
          <w:b/>
          <w:bCs/>
          <w:i/>
          <w:iCs/>
          <w:sz w:val="22"/>
          <w:szCs w:val="22"/>
        </w:rPr>
      </w:pPr>
    </w:p>
    <w:p w:rsidR="008D2011" w:rsidRPr="00513407" w:rsidRDefault="008D2011" w:rsidP="006D480A">
      <w:pPr>
        <w:widowControl/>
        <w:adjustRightInd w:val="0"/>
        <w:jc w:val="both"/>
        <w:rPr>
          <w:b/>
          <w:bCs/>
          <w:i/>
          <w:iCs/>
          <w:sz w:val="22"/>
          <w:szCs w:val="22"/>
        </w:rPr>
      </w:pPr>
      <w:r w:rsidRPr="00513407">
        <w:rPr>
          <w:b/>
          <w:bCs/>
          <w:i/>
          <w:iCs/>
          <w:sz w:val="22"/>
          <w:szCs w:val="22"/>
        </w:rPr>
        <w:t>1003 - Entreprises sous contrôle conjoint</w:t>
      </w:r>
    </w:p>
    <w:p w:rsidR="008D2011" w:rsidRPr="00513407" w:rsidRDefault="008D2011" w:rsidP="006D480A">
      <w:pPr>
        <w:widowControl/>
        <w:adjustRightInd w:val="0"/>
        <w:jc w:val="both"/>
        <w:rPr>
          <w:sz w:val="22"/>
          <w:szCs w:val="22"/>
        </w:rPr>
      </w:pPr>
      <w:r w:rsidRPr="00513407">
        <w:rPr>
          <w:sz w:val="22"/>
          <w:szCs w:val="22"/>
        </w:rPr>
        <w:t xml:space="preserve">Le contrôle conjoint est le </w:t>
      </w:r>
      <w:r w:rsidRPr="00513407">
        <w:rPr>
          <w:b/>
          <w:sz w:val="22"/>
          <w:szCs w:val="22"/>
        </w:rPr>
        <w:t>partage du contrôle</w:t>
      </w:r>
      <w:r w:rsidRPr="00513407">
        <w:rPr>
          <w:sz w:val="22"/>
          <w:szCs w:val="22"/>
        </w:rPr>
        <w:t xml:space="preserve"> d'une entreprise exploitée en commun par un </w:t>
      </w:r>
      <w:r w:rsidRPr="00513407">
        <w:rPr>
          <w:b/>
          <w:sz w:val="22"/>
          <w:szCs w:val="22"/>
        </w:rPr>
        <w:t>nombre limité d'associés ou d'actionnaires</w:t>
      </w:r>
      <w:r w:rsidRPr="00513407">
        <w:rPr>
          <w:sz w:val="22"/>
          <w:szCs w:val="22"/>
        </w:rPr>
        <w:t>, de sorte que les politiques financière et opérationnelle résultent de leur accord.</w:t>
      </w:r>
    </w:p>
    <w:p w:rsidR="0090290F" w:rsidRDefault="0090290F" w:rsidP="006D480A">
      <w:pPr>
        <w:widowControl/>
        <w:adjustRightInd w:val="0"/>
        <w:jc w:val="both"/>
        <w:rPr>
          <w:b/>
          <w:bCs/>
          <w:i/>
          <w:iCs/>
          <w:sz w:val="22"/>
          <w:szCs w:val="22"/>
        </w:rPr>
      </w:pPr>
    </w:p>
    <w:p w:rsidR="008D2011" w:rsidRPr="00513407" w:rsidRDefault="008D2011" w:rsidP="006D480A">
      <w:pPr>
        <w:widowControl/>
        <w:adjustRightInd w:val="0"/>
        <w:jc w:val="both"/>
        <w:rPr>
          <w:b/>
          <w:bCs/>
          <w:i/>
          <w:iCs/>
          <w:sz w:val="22"/>
          <w:szCs w:val="22"/>
        </w:rPr>
      </w:pPr>
      <w:r w:rsidRPr="00513407">
        <w:rPr>
          <w:b/>
          <w:bCs/>
          <w:i/>
          <w:iCs/>
          <w:sz w:val="22"/>
          <w:szCs w:val="22"/>
        </w:rPr>
        <w:t>1004 - Entreprises sous influence notable</w:t>
      </w:r>
    </w:p>
    <w:p w:rsidR="008D2011" w:rsidRPr="00513407" w:rsidRDefault="008D2011" w:rsidP="006D480A">
      <w:pPr>
        <w:jc w:val="both"/>
        <w:rPr>
          <w:sz w:val="22"/>
          <w:szCs w:val="22"/>
        </w:rPr>
      </w:pPr>
      <w:r w:rsidRPr="00513407">
        <w:rPr>
          <w:sz w:val="22"/>
          <w:szCs w:val="22"/>
        </w:rPr>
        <w:t xml:space="preserve">L'influence notable est le </w:t>
      </w:r>
      <w:r w:rsidRPr="00513407">
        <w:rPr>
          <w:b/>
          <w:sz w:val="22"/>
          <w:szCs w:val="22"/>
        </w:rPr>
        <w:t>pouvoir de participer</w:t>
      </w:r>
      <w:r w:rsidRPr="00513407">
        <w:rPr>
          <w:sz w:val="22"/>
          <w:szCs w:val="22"/>
        </w:rPr>
        <w:t xml:space="preserve"> aux politiques financière et opérationnelle d'une entreprise </w:t>
      </w:r>
      <w:r w:rsidRPr="00513407">
        <w:rPr>
          <w:b/>
          <w:sz w:val="22"/>
          <w:szCs w:val="22"/>
        </w:rPr>
        <w:t>sans en détenir le contrôle</w:t>
      </w:r>
      <w:r w:rsidR="00F25F51">
        <w:rPr>
          <w:sz w:val="22"/>
          <w:szCs w:val="22"/>
        </w:rPr>
        <w:t xml:space="preserve"> (au moins 20 % des droits de vote).</w:t>
      </w:r>
    </w:p>
    <w:p w:rsidR="008D2011" w:rsidRPr="00513407" w:rsidRDefault="008D2011" w:rsidP="006D480A">
      <w:pPr>
        <w:jc w:val="both"/>
        <w:rPr>
          <w:sz w:val="22"/>
          <w:szCs w:val="22"/>
        </w:rPr>
      </w:pPr>
    </w:p>
    <w:p w:rsidR="008D2011" w:rsidRPr="00513407" w:rsidRDefault="00F11738" w:rsidP="00F11738">
      <w:pPr>
        <w:suppressAutoHyphens w:val="0"/>
        <w:autoSpaceDN w:val="0"/>
        <w:spacing w:before="100" w:beforeAutospacing="1"/>
        <w:ind w:right="72"/>
        <w:jc w:val="both"/>
        <w:rPr>
          <w:b/>
          <w:bCs/>
          <w:sz w:val="22"/>
          <w:szCs w:val="22"/>
        </w:rPr>
      </w:pPr>
      <w:r>
        <w:rPr>
          <w:b/>
          <w:bCs/>
          <w:sz w:val="22"/>
          <w:szCs w:val="22"/>
        </w:rPr>
        <w:t xml:space="preserve">4. </w:t>
      </w:r>
      <w:r w:rsidR="008D2011" w:rsidRPr="00513407">
        <w:rPr>
          <w:b/>
          <w:bCs/>
          <w:sz w:val="22"/>
          <w:szCs w:val="22"/>
        </w:rPr>
        <w:t>Définir l’expression  « périmètre de consolidation ».</w:t>
      </w:r>
    </w:p>
    <w:p w:rsidR="0090290F" w:rsidRDefault="0090290F" w:rsidP="006D480A">
      <w:pPr>
        <w:jc w:val="both"/>
        <w:rPr>
          <w:sz w:val="22"/>
          <w:szCs w:val="22"/>
        </w:rPr>
      </w:pPr>
    </w:p>
    <w:p w:rsidR="008D2011" w:rsidRPr="00513407" w:rsidRDefault="008D2011" w:rsidP="006D480A">
      <w:pPr>
        <w:jc w:val="both"/>
        <w:rPr>
          <w:sz w:val="22"/>
          <w:szCs w:val="22"/>
        </w:rPr>
      </w:pPr>
      <w:r w:rsidRPr="00513407">
        <w:rPr>
          <w:sz w:val="22"/>
          <w:szCs w:val="22"/>
        </w:rPr>
        <w:t>D’après le CRC 99-02</w:t>
      </w:r>
    </w:p>
    <w:p w:rsidR="008D2011" w:rsidRPr="00513407" w:rsidRDefault="008D2011" w:rsidP="006D480A">
      <w:pPr>
        <w:widowControl/>
        <w:adjustRightInd w:val="0"/>
        <w:jc w:val="both"/>
        <w:rPr>
          <w:b/>
          <w:bCs/>
          <w:i/>
          <w:iCs/>
          <w:sz w:val="22"/>
          <w:szCs w:val="22"/>
        </w:rPr>
      </w:pPr>
      <w:r w:rsidRPr="00513407">
        <w:rPr>
          <w:b/>
          <w:bCs/>
          <w:i/>
          <w:iCs/>
          <w:sz w:val="22"/>
          <w:szCs w:val="22"/>
        </w:rPr>
        <w:t>1000 - Principes généraux</w:t>
      </w:r>
    </w:p>
    <w:p w:rsidR="008D2011" w:rsidRPr="00513407" w:rsidRDefault="008D2011" w:rsidP="006D480A">
      <w:pPr>
        <w:widowControl/>
        <w:adjustRightInd w:val="0"/>
        <w:jc w:val="both"/>
        <w:rPr>
          <w:sz w:val="22"/>
          <w:szCs w:val="22"/>
        </w:rPr>
      </w:pPr>
      <w:r w:rsidRPr="00513407">
        <w:rPr>
          <w:sz w:val="22"/>
          <w:szCs w:val="22"/>
        </w:rPr>
        <w:t>Toutes les entreprises contrôlées (contrôle exclusif ou contrôle conjoint) ou sous influence notable doivent être consolidée</w:t>
      </w:r>
      <w:r w:rsidR="00F11738">
        <w:rPr>
          <w:sz w:val="22"/>
          <w:szCs w:val="22"/>
        </w:rPr>
        <w:t>s.</w:t>
      </w:r>
    </w:p>
    <w:p w:rsidR="008D2011" w:rsidRPr="00513407" w:rsidRDefault="008D2011" w:rsidP="00F11738">
      <w:pPr>
        <w:widowControl/>
        <w:adjustRightInd w:val="0"/>
        <w:spacing w:after="80"/>
        <w:jc w:val="both"/>
        <w:rPr>
          <w:sz w:val="22"/>
          <w:szCs w:val="22"/>
        </w:rPr>
      </w:pPr>
      <w:r w:rsidRPr="00513407">
        <w:rPr>
          <w:sz w:val="22"/>
          <w:szCs w:val="22"/>
        </w:rPr>
        <w:t>Les entreprises à retenir en vue de l'établissement de comptes consolidés sont :</w:t>
      </w:r>
    </w:p>
    <w:p w:rsidR="008D2011" w:rsidRPr="00513407" w:rsidRDefault="008D2011" w:rsidP="00E11745">
      <w:pPr>
        <w:widowControl/>
        <w:numPr>
          <w:ilvl w:val="0"/>
          <w:numId w:val="8"/>
        </w:numPr>
        <w:adjustRightInd w:val="0"/>
        <w:jc w:val="both"/>
        <w:rPr>
          <w:sz w:val="22"/>
          <w:szCs w:val="22"/>
        </w:rPr>
      </w:pPr>
      <w:r w:rsidRPr="00513407">
        <w:rPr>
          <w:b/>
          <w:sz w:val="22"/>
          <w:szCs w:val="22"/>
        </w:rPr>
        <w:t>l'entreprise consolidante</w:t>
      </w:r>
      <w:r w:rsidR="003E7981" w:rsidRPr="00513407">
        <w:rPr>
          <w:sz w:val="22"/>
          <w:szCs w:val="22"/>
        </w:rPr>
        <w:t xml:space="preserve"> </w:t>
      </w:r>
      <w:r w:rsidRPr="00513407">
        <w:rPr>
          <w:sz w:val="22"/>
          <w:szCs w:val="22"/>
        </w:rPr>
        <w:t>;</w:t>
      </w:r>
    </w:p>
    <w:p w:rsidR="008D2011" w:rsidRPr="00513407" w:rsidRDefault="008D2011" w:rsidP="00E11745">
      <w:pPr>
        <w:widowControl/>
        <w:numPr>
          <w:ilvl w:val="0"/>
          <w:numId w:val="8"/>
        </w:numPr>
        <w:adjustRightInd w:val="0"/>
        <w:jc w:val="both"/>
        <w:rPr>
          <w:sz w:val="22"/>
          <w:szCs w:val="22"/>
        </w:rPr>
      </w:pPr>
      <w:r w:rsidRPr="00513407">
        <w:rPr>
          <w:sz w:val="22"/>
          <w:szCs w:val="22"/>
        </w:rPr>
        <w:t xml:space="preserve">les </w:t>
      </w:r>
      <w:r w:rsidRPr="00513407">
        <w:rPr>
          <w:b/>
          <w:sz w:val="22"/>
          <w:szCs w:val="22"/>
        </w:rPr>
        <w:t>entreprises contrôlées de manière exclusive</w:t>
      </w:r>
      <w:r w:rsidR="003E7981" w:rsidRPr="00513407">
        <w:rPr>
          <w:b/>
          <w:sz w:val="22"/>
          <w:szCs w:val="22"/>
        </w:rPr>
        <w:t xml:space="preserve"> </w:t>
      </w:r>
      <w:r w:rsidRPr="00513407">
        <w:rPr>
          <w:sz w:val="22"/>
          <w:szCs w:val="22"/>
        </w:rPr>
        <w:t>;</w:t>
      </w:r>
    </w:p>
    <w:p w:rsidR="008D2011" w:rsidRPr="00513407" w:rsidRDefault="008D2011" w:rsidP="00E11745">
      <w:pPr>
        <w:widowControl/>
        <w:numPr>
          <w:ilvl w:val="0"/>
          <w:numId w:val="8"/>
        </w:numPr>
        <w:adjustRightInd w:val="0"/>
        <w:jc w:val="both"/>
        <w:rPr>
          <w:sz w:val="22"/>
          <w:szCs w:val="22"/>
        </w:rPr>
      </w:pPr>
      <w:r w:rsidRPr="00513407">
        <w:rPr>
          <w:sz w:val="22"/>
          <w:szCs w:val="22"/>
        </w:rPr>
        <w:t xml:space="preserve">les </w:t>
      </w:r>
      <w:r w:rsidRPr="00513407">
        <w:rPr>
          <w:b/>
          <w:sz w:val="22"/>
          <w:szCs w:val="22"/>
        </w:rPr>
        <w:t>entreprises contrôlées conjointement</w:t>
      </w:r>
      <w:r w:rsidR="003E7981" w:rsidRPr="00513407">
        <w:rPr>
          <w:sz w:val="22"/>
          <w:szCs w:val="22"/>
        </w:rPr>
        <w:t xml:space="preserve"> </w:t>
      </w:r>
      <w:r w:rsidRPr="00513407">
        <w:rPr>
          <w:sz w:val="22"/>
          <w:szCs w:val="22"/>
        </w:rPr>
        <w:t>;</w:t>
      </w:r>
    </w:p>
    <w:p w:rsidR="008D2011" w:rsidRPr="00513407" w:rsidRDefault="008D2011" w:rsidP="00E11745">
      <w:pPr>
        <w:widowControl/>
        <w:numPr>
          <w:ilvl w:val="0"/>
          <w:numId w:val="8"/>
        </w:numPr>
        <w:adjustRightInd w:val="0"/>
        <w:jc w:val="both"/>
        <w:rPr>
          <w:sz w:val="22"/>
          <w:szCs w:val="22"/>
        </w:rPr>
      </w:pPr>
      <w:r w:rsidRPr="00513407">
        <w:rPr>
          <w:sz w:val="22"/>
          <w:szCs w:val="22"/>
        </w:rPr>
        <w:t xml:space="preserve">les </w:t>
      </w:r>
      <w:r w:rsidRPr="00513407">
        <w:rPr>
          <w:b/>
          <w:sz w:val="22"/>
          <w:szCs w:val="22"/>
        </w:rPr>
        <w:t>entreprises sur lesquelles est exercée une influence notable</w:t>
      </w:r>
      <w:r w:rsidRPr="00513407">
        <w:rPr>
          <w:sz w:val="22"/>
          <w:szCs w:val="22"/>
        </w:rPr>
        <w:t>.</w:t>
      </w:r>
    </w:p>
    <w:p w:rsidR="008D2011" w:rsidRPr="00513407" w:rsidRDefault="008D2011" w:rsidP="006D480A">
      <w:pPr>
        <w:jc w:val="both"/>
        <w:rPr>
          <w:sz w:val="22"/>
          <w:szCs w:val="22"/>
        </w:rPr>
      </w:pPr>
    </w:p>
    <w:p w:rsidR="008D2011" w:rsidRPr="00513407" w:rsidRDefault="00F11738" w:rsidP="00F11738">
      <w:pPr>
        <w:suppressAutoHyphens w:val="0"/>
        <w:autoSpaceDN w:val="0"/>
        <w:spacing w:before="100" w:beforeAutospacing="1"/>
        <w:ind w:right="72"/>
        <w:jc w:val="both"/>
        <w:rPr>
          <w:b/>
          <w:bCs/>
          <w:sz w:val="22"/>
          <w:szCs w:val="22"/>
        </w:rPr>
      </w:pPr>
      <w:r>
        <w:rPr>
          <w:b/>
          <w:bCs/>
          <w:sz w:val="22"/>
          <w:szCs w:val="22"/>
        </w:rPr>
        <w:t xml:space="preserve">5. </w:t>
      </w:r>
      <w:r w:rsidR="008D2011" w:rsidRPr="00513407">
        <w:rPr>
          <w:b/>
          <w:bCs/>
          <w:sz w:val="22"/>
          <w:szCs w:val="22"/>
        </w:rPr>
        <w:t xml:space="preserve">Définir les </w:t>
      </w:r>
      <w:r w:rsidR="007C754A" w:rsidRPr="00513407">
        <w:rPr>
          <w:b/>
          <w:bCs/>
          <w:sz w:val="22"/>
          <w:szCs w:val="22"/>
        </w:rPr>
        <w:t xml:space="preserve">trois </w:t>
      </w:r>
      <w:r w:rsidR="008D2011" w:rsidRPr="00513407">
        <w:rPr>
          <w:b/>
          <w:bCs/>
          <w:sz w:val="22"/>
          <w:szCs w:val="22"/>
        </w:rPr>
        <w:t>différentes méthodes de consolidation.</w:t>
      </w:r>
    </w:p>
    <w:p w:rsidR="008D2011" w:rsidRPr="00513407" w:rsidRDefault="008D2011" w:rsidP="006D480A">
      <w:pPr>
        <w:jc w:val="both"/>
        <w:rPr>
          <w:sz w:val="22"/>
          <w:szCs w:val="22"/>
        </w:rPr>
      </w:pPr>
      <w:r w:rsidRPr="00513407">
        <w:rPr>
          <w:sz w:val="22"/>
          <w:szCs w:val="22"/>
        </w:rPr>
        <w:t>D’après le CRC 99-02</w:t>
      </w:r>
    </w:p>
    <w:p w:rsidR="008D2011" w:rsidRPr="00513407" w:rsidRDefault="008D2011" w:rsidP="006D480A">
      <w:pPr>
        <w:widowControl/>
        <w:adjustRightInd w:val="0"/>
        <w:jc w:val="both"/>
        <w:rPr>
          <w:b/>
          <w:bCs/>
          <w:i/>
          <w:iCs/>
          <w:sz w:val="22"/>
          <w:szCs w:val="22"/>
        </w:rPr>
      </w:pPr>
      <w:r w:rsidRPr="00513407">
        <w:rPr>
          <w:b/>
          <w:bCs/>
          <w:i/>
          <w:iCs/>
          <w:sz w:val="22"/>
          <w:szCs w:val="22"/>
        </w:rPr>
        <w:t>1100 - Intégration globale</w:t>
      </w:r>
    </w:p>
    <w:p w:rsidR="008D2011" w:rsidRPr="00513407" w:rsidRDefault="008D2011" w:rsidP="00F11738">
      <w:pPr>
        <w:widowControl/>
        <w:adjustRightInd w:val="0"/>
        <w:spacing w:after="80"/>
        <w:jc w:val="both"/>
        <w:rPr>
          <w:sz w:val="22"/>
          <w:szCs w:val="22"/>
        </w:rPr>
      </w:pPr>
      <w:r w:rsidRPr="00513407">
        <w:rPr>
          <w:sz w:val="22"/>
          <w:szCs w:val="22"/>
        </w:rPr>
        <w:t>L'intégration globale consiste à :</w:t>
      </w:r>
    </w:p>
    <w:p w:rsidR="007C754A" w:rsidRPr="00513407" w:rsidRDefault="008D2011" w:rsidP="00E11745">
      <w:pPr>
        <w:widowControl/>
        <w:numPr>
          <w:ilvl w:val="0"/>
          <w:numId w:val="9"/>
        </w:numPr>
        <w:adjustRightInd w:val="0"/>
        <w:jc w:val="both"/>
        <w:rPr>
          <w:sz w:val="22"/>
          <w:szCs w:val="22"/>
        </w:rPr>
      </w:pPr>
      <w:r w:rsidRPr="00513407">
        <w:rPr>
          <w:sz w:val="22"/>
          <w:szCs w:val="22"/>
        </w:rPr>
        <w:t xml:space="preserve">intégrer dans les comptes de l'entreprise consolidante les </w:t>
      </w:r>
      <w:r w:rsidRPr="00513407">
        <w:rPr>
          <w:b/>
          <w:sz w:val="22"/>
          <w:szCs w:val="22"/>
        </w:rPr>
        <w:t>éléments des comptes des entreprises consolidées,</w:t>
      </w:r>
      <w:r w:rsidR="00156D42" w:rsidRPr="00513407">
        <w:rPr>
          <w:sz w:val="22"/>
          <w:szCs w:val="22"/>
        </w:rPr>
        <w:t xml:space="preserve"> après retraitements éventuels ;</w:t>
      </w:r>
    </w:p>
    <w:p w:rsidR="00156D42" w:rsidRDefault="007C754A" w:rsidP="00E11745">
      <w:pPr>
        <w:widowControl/>
        <w:numPr>
          <w:ilvl w:val="0"/>
          <w:numId w:val="9"/>
        </w:numPr>
        <w:adjustRightInd w:val="0"/>
        <w:jc w:val="both"/>
        <w:rPr>
          <w:sz w:val="22"/>
          <w:szCs w:val="22"/>
        </w:rPr>
      </w:pPr>
      <w:r w:rsidRPr="00513407">
        <w:rPr>
          <w:b/>
          <w:sz w:val="22"/>
          <w:szCs w:val="22"/>
        </w:rPr>
        <w:t>r</w:t>
      </w:r>
      <w:r w:rsidR="00156D42" w:rsidRPr="00513407">
        <w:rPr>
          <w:b/>
          <w:sz w:val="22"/>
          <w:szCs w:val="22"/>
        </w:rPr>
        <w:t>épartir les capitaux propres et le résultat</w:t>
      </w:r>
      <w:r w:rsidR="00156D42" w:rsidRPr="00513407">
        <w:rPr>
          <w:sz w:val="22"/>
          <w:szCs w:val="22"/>
        </w:rPr>
        <w:t xml:space="preserve"> </w:t>
      </w:r>
      <w:r w:rsidR="00156D42" w:rsidRPr="00513407">
        <w:rPr>
          <w:b/>
          <w:sz w:val="22"/>
          <w:szCs w:val="22"/>
        </w:rPr>
        <w:t>entre les intérêts de l’entreprise consolidante</w:t>
      </w:r>
      <w:r w:rsidR="00156D42" w:rsidRPr="00513407">
        <w:rPr>
          <w:sz w:val="22"/>
          <w:szCs w:val="22"/>
        </w:rPr>
        <w:t xml:space="preserve"> et les intérêts des autres actionnaires ou associés dits </w:t>
      </w:r>
      <w:r w:rsidR="00156D42" w:rsidRPr="00513407">
        <w:rPr>
          <w:b/>
          <w:sz w:val="22"/>
          <w:szCs w:val="22"/>
        </w:rPr>
        <w:t>« intérêts minoritaires</w:t>
      </w:r>
      <w:r w:rsidR="00156D42" w:rsidRPr="00513407">
        <w:rPr>
          <w:sz w:val="22"/>
          <w:szCs w:val="22"/>
        </w:rPr>
        <w:t> » ; […]</w:t>
      </w:r>
    </w:p>
    <w:p w:rsidR="00F11738" w:rsidRPr="00513407" w:rsidRDefault="00F11738" w:rsidP="00F11738">
      <w:pPr>
        <w:widowControl/>
        <w:adjustRightInd w:val="0"/>
        <w:ind w:left="720"/>
        <w:jc w:val="both"/>
        <w:rPr>
          <w:sz w:val="22"/>
          <w:szCs w:val="22"/>
        </w:rPr>
      </w:pPr>
    </w:p>
    <w:p w:rsidR="008D2011" w:rsidRPr="00513407" w:rsidRDefault="008D2011" w:rsidP="006D480A">
      <w:pPr>
        <w:widowControl/>
        <w:adjustRightInd w:val="0"/>
        <w:jc w:val="both"/>
        <w:rPr>
          <w:b/>
          <w:bCs/>
          <w:i/>
          <w:iCs/>
          <w:sz w:val="22"/>
          <w:szCs w:val="22"/>
        </w:rPr>
      </w:pPr>
      <w:r w:rsidRPr="00513407">
        <w:rPr>
          <w:b/>
          <w:bCs/>
          <w:i/>
          <w:iCs/>
          <w:sz w:val="22"/>
          <w:szCs w:val="22"/>
        </w:rPr>
        <w:t>1101 - Intégration proportionnelle</w:t>
      </w:r>
    </w:p>
    <w:p w:rsidR="008D2011" w:rsidRPr="00513407" w:rsidRDefault="008D2011" w:rsidP="00F11738">
      <w:pPr>
        <w:widowControl/>
        <w:adjustRightInd w:val="0"/>
        <w:spacing w:after="80"/>
        <w:jc w:val="both"/>
        <w:rPr>
          <w:sz w:val="22"/>
          <w:szCs w:val="22"/>
        </w:rPr>
      </w:pPr>
      <w:r w:rsidRPr="00513407">
        <w:rPr>
          <w:sz w:val="22"/>
          <w:szCs w:val="22"/>
        </w:rPr>
        <w:t>L'intégration proportionnelle consiste à :</w:t>
      </w:r>
    </w:p>
    <w:p w:rsidR="008D2011" w:rsidRDefault="008D2011" w:rsidP="00E11745">
      <w:pPr>
        <w:widowControl/>
        <w:numPr>
          <w:ilvl w:val="0"/>
          <w:numId w:val="10"/>
        </w:numPr>
        <w:adjustRightInd w:val="0"/>
        <w:jc w:val="both"/>
        <w:rPr>
          <w:sz w:val="22"/>
          <w:szCs w:val="22"/>
        </w:rPr>
      </w:pPr>
      <w:r w:rsidRPr="00513407">
        <w:rPr>
          <w:sz w:val="22"/>
          <w:szCs w:val="22"/>
        </w:rPr>
        <w:t xml:space="preserve">intégrer dans les comptes de l'entreprise consolidante </w:t>
      </w:r>
      <w:r w:rsidRPr="00513407">
        <w:rPr>
          <w:b/>
          <w:sz w:val="22"/>
          <w:szCs w:val="22"/>
        </w:rPr>
        <w:t>la fraction représentative de ses intérêts dans les comptes de l'entreprise consolidée</w:t>
      </w:r>
      <w:r w:rsidRPr="00513407">
        <w:rPr>
          <w:sz w:val="22"/>
          <w:szCs w:val="22"/>
        </w:rPr>
        <w:t xml:space="preserve">, après retraitements éventuels ; </w:t>
      </w:r>
      <w:r w:rsidRPr="00513407">
        <w:rPr>
          <w:b/>
          <w:sz w:val="22"/>
          <w:szCs w:val="22"/>
        </w:rPr>
        <w:t>aucun intérêt minoritaire n’est donc constaté</w:t>
      </w:r>
      <w:r w:rsidRPr="00513407">
        <w:rPr>
          <w:sz w:val="22"/>
          <w:szCs w:val="22"/>
        </w:rPr>
        <w:t xml:space="preserve"> ; […]</w:t>
      </w:r>
    </w:p>
    <w:p w:rsidR="00F11738" w:rsidRPr="00513407" w:rsidRDefault="00F11738" w:rsidP="00F11738">
      <w:pPr>
        <w:widowControl/>
        <w:adjustRightInd w:val="0"/>
        <w:ind w:left="720"/>
        <w:jc w:val="both"/>
        <w:rPr>
          <w:sz w:val="22"/>
          <w:szCs w:val="22"/>
        </w:rPr>
      </w:pPr>
    </w:p>
    <w:p w:rsidR="008D2011" w:rsidRPr="00513407" w:rsidRDefault="008D2011" w:rsidP="006D480A">
      <w:pPr>
        <w:widowControl/>
        <w:adjustRightInd w:val="0"/>
        <w:jc w:val="both"/>
        <w:rPr>
          <w:b/>
          <w:bCs/>
          <w:i/>
          <w:iCs/>
          <w:sz w:val="22"/>
          <w:szCs w:val="22"/>
        </w:rPr>
      </w:pPr>
      <w:r w:rsidRPr="00513407">
        <w:rPr>
          <w:b/>
          <w:bCs/>
          <w:i/>
          <w:iCs/>
          <w:sz w:val="22"/>
          <w:szCs w:val="22"/>
        </w:rPr>
        <w:t>1102 - Mise en équivalence</w:t>
      </w:r>
    </w:p>
    <w:p w:rsidR="008D2011" w:rsidRPr="00513407" w:rsidRDefault="008D2011" w:rsidP="00F11738">
      <w:pPr>
        <w:widowControl/>
        <w:adjustRightInd w:val="0"/>
        <w:spacing w:after="80"/>
        <w:jc w:val="both"/>
        <w:rPr>
          <w:sz w:val="22"/>
          <w:szCs w:val="22"/>
        </w:rPr>
      </w:pPr>
      <w:r w:rsidRPr="00513407">
        <w:rPr>
          <w:sz w:val="22"/>
          <w:szCs w:val="22"/>
        </w:rPr>
        <w:t>La mise en équivalence consiste à :</w:t>
      </w:r>
    </w:p>
    <w:p w:rsidR="008D2011" w:rsidRPr="00513407" w:rsidRDefault="008D2011" w:rsidP="00E11745">
      <w:pPr>
        <w:widowControl/>
        <w:numPr>
          <w:ilvl w:val="0"/>
          <w:numId w:val="10"/>
        </w:numPr>
        <w:adjustRightInd w:val="0"/>
        <w:jc w:val="both"/>
        <w:rPr>
          <w:sz w:val="22"/>
          <w:szCs w:val="22"/>
        </w:rPr>
      </w:pPr>
      <w:r w:rsidRPr="00513407">
        <w:rPr>
          <w:b/>
          <w:sz w:val="22"/>
          <w:szCs w:val="22"/>
        </w:rPr>
        <w:t>substituer à la valeur comptable des titres détenus, la quote-part des capitaux propres, y compris le résultat</w:t>
      </w:r>
      <w:r w:rsidRPr="00513407">
        <w:rPr>
          <w:sz w:val="22"/>
          <w:szCs w:val="22"/>
        </w:rPr>
        <w:t xml:space="preserve"> de l'exercice déterminé d'après les règles de consolidation ; […]</w:t>
      </w:r>
    </w:p>
    <w:p w:rsidR="008D2011" w:rsidRPr="00513407" w:rsidRDefault="008D2011" w:rsidP="006D480A">
      <w:pPr>
        <w:jc w:val="both"/>
        <w:rPr>
          <w:sz w:val="22"/>
          <w:szCs w:val="22"/>
        </w:rPr>
      </w:pPr>
    </w:p>
    <w:p w:rsidR="008D2011" w:rsidRPr="00513407" w:rsidRDefault="00F11738" w:rsidP="00F11738">
      <w:pPr>
        <w:suppressAutoHyphens w:val="0"/>
        <w:autoSpaceDN w:val="0"/>
        <w:spacing w:before="100" w:beforeAutospacing="1"/>
        <w:ind w:right="72"/>
        <w:jc w:val="both"/>
        <w:rPr>
          <w:b/>
          <w:bCs/>
          <w:sz w:val="22"/>
          <w:szCs w:val="22"/>
        </w:rPr>
      </w:pPr>
      <w:r>
        <w:rPr>
          <w:b/>
          <w:bCs/>
          <w:sz w:val="22"/>
          <w:szCs w:val="22"/>
        </w:rPr>
        <w:t xml:space="preserve">6. </w:t>
      </w:r>
      <w:r w:rsidR="008D2011" w:rsidRPr="00513407">
        <w:rPr>
          <w:b/>
          <w:bCs/>
          <w:sz w:val="22"/>
          <w:szCs w:val="22"/>
        </w:rPr>
        <w:t>Compléter le tableau d’analyse du p</w:t>
      </w:r>
      <w:r w:rsidR="00157FCC" w:rsidRPr="00513407">
        <w:rPr>
          <w:b/>
          <w:bCs/>
          <w:sz w:val="22"/>
          <w:szCs w:val="22"/>
        </w:rPr>
        <w:t>érimè</w:t>
      </w:r>
      <w:r w:rsidR="005A6911">
        <w:rPr>
          <w:b/>
          <w:bCs/>
          <w:sz w:val="22"/>
          <w:szCs w:val="22"/>
        </w:rPr>
        <w:t>tre de consolidation de la</w:t>
      </w:r>
      <w:r w:rsidR="000822CA">
        <w:rPr>
          <w:b/>
          <w:bCs/>
          <w:sz w:val="22"/>
          <w:szCs w:val="22"/>
        </w:rPr>
        <w:t xml:space="preserve"> SP</w:t>
      </w:r>
      <w:r w:rsidR="00157FCC" w:rsidRPr="00513407">
        <w:rPr>
          <w:b/>
          <w:bCs/>
          <w:sz w:val="22"/>
          <w:szCs w:val="22"/>
        </w:rPr>
        <w:t>PR</w:t>
      </w:r>
      <w:r w:rsidR="008D2011" w:rsidRPr="00513407">
        <w:rPr>
          <w:b/>
          <w:bCs/>
          <w:sz w:val="22"/>
          <w:szCs w:val="22"/>
        </w:rPr>
        <w:t xml:space="preserve"> (</w:t>
      </w:r>
      <w:r w:rsidR="008D2011" w:rsidRPr="00513407">
        <w:rPr>
          <w:b/>
          <w:bCs/>
          <w:i/>
          <w:sz w:val="22"/>
          <w:szCs w:val="22"/>
        </w:rPr>
        <w:t>annexe</w:t>
      </w:r>
      <w:r w:rsidR="008D2011" w:rsidRPr="00513407">
        <w:rPr>
          <w:b/>
          <w:bCs/>
          <w:sz w:val="22"/>
          <w:szCs w:val="22"/>
        </w:rPr>
        <w:t xml:space="preserve"> A à rendre avec la copie)</w:t>
      </w:r>
      <w:r>
        <w:rPr>
          <w:b/>
          <w:bCs/>
          <w:sz w:val="22"/>
          <w:szCs w:val="22"/>
        </w:rPr>
        <w:t>.</w:t>
      </w:r>
    </w:p>
    <w:p w:rsidR="008D2011" w:rsidRPr="00513407" w:rsidRDefault="008D2011" w:rsidP="008D2011">
      <w:pPr>
        <w:rPr>
          <w:sz w:val="22"/>
          <w:szCs w:val="22"/>
        </w:rPr>
      </w:pPr>
    </w:p>
    <w:p w:rsidR="00157FCC" w:rsidRPr="00513407" w:rsidRDefault="00157FCC" w:rsidP="00157FCC">
      <w:pPr>
        <w:jc w:val="center"/>
        <w:rPr>
          <w:b/>
          <w:sz w:val="22"/>
          <w:szCs w:val="22"/>
        </w:rPr>
      </w:pPr>
      <w:r w:rsidRPr="00513407">
        <w:rPr>
          <w:b/>
          <w:sz w:val="22"/>
          <w:szCs w:val="22"/>
        </w:rPr>
        <w:t>Tableau d’analyse du périmètre de consolidation</w:t>
      </w:r>
    </w:p>
    <w:p w:rsidR="00157FCC" w:rsidRPr="00F11738" w:rsidRDefault="00157FCC" w:rsidP="00157FCC">
      <w:pP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737"/>
        <w:gridCol w:w="1772"/>
        <w:gridCol w:w="1776"/>
        <w:gridCol w:w="2114"/>
      </w:tblGrid>
      <w:tr w:rsidR="00157FCC" w:rsidRPr="00513407" w:rsidTr="00F11738">
        <w:trPr>
          <w:trHeight w:val="636"/>
          <w:jc w:val="center"/>
        </w:trPr>
        <w:tc>
          <w:tcPr>
            <w:tcW w:w="3085" w:type="dxa"/>
            <w:shd w:val="clear" w:color="auto" w:fill="auto"/>
            <w:vAlign w:val="center"/>
          </w:tcPr>
          <w:p w:rsidR="00157FCC" w:rsidRPr="00513407" w:rsidRDefault="00157FCC" w:rsidP="00157FCC">
            <w:pPr>
              <w:jc w:val="center"/>
              <w:rPr>
                <w:b/>
                <w:sz w:val="22"/>
                <w:szCs w:val="22"/>
              </w:rPr>
            </w:pPr>
            <w:r w:rsidRPr="00513407">
              <w:rPr>
                <w:b/>
                <w:sz w:val="22"/>
                <w:szCs w:val="22"/>
              </w:rPr>
              <w:t>Sociétés</w:t>
            </w:r>
          </w:p>
        </w:tc>
        <w:tc>
          <w:tcPr>
            <w:tcW w:w="3085" w:type="dxa"/>
            <w:shd w:val="clear" w:color="auto" w:fill="auto"/>
            <w:vAlign w:val="center"/>
          </w:tcPr>
          <w:p w:rsidR="00157FCC" w:rsidRPr="00513407" w:rsidRDefault="00157FCC" w:rsidP="00157FCC">
            <w:pPr>
              <w:jc w:val="center"/>
              <w:rPr>
                <w:b/>
                <w:sz w:val="22"/>
                <w:szCs w:val="22"/>
              </w:rPr>
            </w:pPr>
            <w:r w:rsidRPr="00513407">
              <w:rPr>
                <w:b/>
                <w:sz w:val="22"/>
                <w:szCs w:val="22"/>
              </w:rPr>
              <w:t>% de contrôle</w:t>
            </w:r>
          </w:p>
        </w:tc>
        <w:tc>
          <w:tcPr>
            <w:tcW w:w="3086" w:type="dxa"/>
            <w:shd w:val="clear" w:color="auto" w:fill="auto"/>
            <w:vAlign w:val="center"/>
          </w:tcPr>
          <w:p w:rsidR="00157FCC" w:rsidRPr="00513407" w:rsidRDefault="00157FCC" w:rsidP="00157FCC">
            <w:pPr>
              <w:jc w:val="center"/>
              <w:rPr>
                <w:b/>
                <w:sz w:val="22"/>
                <w:szCs w:val="22"/>
              </w:rPr>
            </w:pPr>
            <w:r w:rsidRPr="00513407">
              <w:rPr>
                <w:b/>
                <w:sz w:val="22"/>
                <w:szCs w:val="22"/>
              </w:rPr>
              <w:t>% d’intérêt</w:t>
            </w:r>
          </w:p>
        </w:tc>
        <w:tc>
          <w:tcPr>
            <w:tcW w:w="3086" w:type="dxa"/>
            <w:shd w:val="clear" w:color="auto" w:fill="auto"/>
            <w:vAlign w:val="center"/>
          </w:tcPr>
          <w:p w:rsidR="00157FCC" w:rsidRPr="00513407" w:rsidRDefault="00157FCC" w:rsidP="00157FCC">
            <w:pPr>
              <w:jc w:val="center"/>
              <w:rPr>
                <w:b/>
                <w:sz w:val="22"/>
                <w:szCs w:val="22"/>
              </w:rPr>
            </w:pPr>
            <w:r w:rsidRPr="00513407">
              <w:rPr>
                <w:b/>
                <w:sz w:val="22"/>
                <w:szCs w:val="22"/>
              </w:rPr>
              <w:t>Nature du contrôle</w:t>
            </w:r>
          </w:p>
        </w:tc>
        <w:tc>
          <w:tcPr>
            <w:tcW w:w="3086" w:type="dxa"/>
            <w:shd w:val="clear" w:color="auto" w:fill="auto"/>
            <w:vAlign w:val="center"/>
          </w:tcPr>
          <w:p w:rsidR="00157FCC" w:rsidRPr="00513407" w:rsidRDefault="00157FCC" w:rsidP="00157FCC">
            <w:pPr>
              <w:jc w:val="center"/>
              <w:rPr>
                <w:b/>
                <w:sz w:val="22"/>
                <w:szCs w:val="22"/>
              </w:rPr>
            </w:pPr>
            <w:r w:rsidRPr="00513407">
              <w:rPr>
                <w:b/>
                <w:sz w:val="22"/>
                <w:szCs w:val="22"/>
              </w:rPr>
              <w:t>Méthode de consolidation</w:t>
            </w:r>
          </w:p>
        </w:tc>
      </w:tr>
      <w:tr w:rsidR="00157FCC" w:rsidRPr="00513407" w:rsidTr="00F11738">
        <w:trPr>
          <w:trHeight w:val="1323"/>
          <w:jc w:val="center"/>
        </w:trPr>
        <w:tc>
          <w:tcPr>
            <w:tcW w:w="3085" w:type="dxa"/>
            <w:shd w:val="clear" w:color="auto" w:fill="auto"/>
            <w:vAlign w:val="center"/>
          </w:tcPr>
          <w:p w:rsidR="00157FCC" w:rsidRPr="00513407" w:rsidRDefault="00157FCC" w:rsidP="00157FCC">
            <w:pPr>
              <w:jc w:val="center"/>
              <w:rPr>
                <w:sz w:val="22"/>
                <w:szCs w:val="22"/>
              </w:rPr>
            </w:pPr>
            <w:r w:rsidRPr="00513407">
              <w:rPr>
                <w:sz w:val="22"/>
                <w:szCs w:val="22"/>
              </w:rPr>
              <w:t>SA COMBES</w:t>
            </w:r>
          </w:p>
        </w:tc>
        <w:tc>
          <w:tcPr>
            <w:tcW w:w="3085" w:type="dxa"/>
            <w:shd w:val="clear" w:color="auto" w:fill="auto"/>
            <w:vAlign w:val="center"/>
          </w:tcPr>
          <w:p w:rsidR="00157FCC" w:rsidRPr="00513407" w:rsidRDefault="00157FCC" w:rsidP="00157FCC">
            <w:pPr>
              <w:jc w:val="center"/>
              <w:rPr>
                <w:b/>
                <w:sz w:val="22"/>
                <w:szCs w:val="22"/>
              </w:rPr>
            </w:pPr>
            <w:r w:rsidRPr="00513407">
              <w:rPr>
                <w:b/>
                <w:sz w:val="22"/>
                <w:szCs w:val="22"/>
              </w:rPr>
              <w:t>60 %</w:t>
            </w:r>
          </w:p>
        </w:tc>
        <w:tc>
          <w:tcPr>
            <w:tcW w:w="3086" w:type="dxa"/>
            <w:shd w:val="clear" w:color="auto" w:fill="auto"/>
            <w:vAlign w:val="center"/>
          </w:tcPr>
          <w:p w:rsidR="00157FCC" w:rsidRPr="00513407" w:rsidRDefault="00157FCC" w:rsidP="00157FCC">
            <w:pPr>
              <w:jc w:val="center"/>
              <w:rPr>
                <w:b/>
                <w:sz w:val="22"/>
                <w:szCs w:val="22"/>
              </w:rPr>
            </w:pPr>
            <w:r w:rsidRPr="00513407">
              <w:rPr>
                <w:b/>
                <w:sz w:val="22"/>
                <w:szCs w:val="22"/>
              </w:rPr>
              <w:t>60 %</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Contrôle exclusif</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Intégration globale</w:t>
            </w:r>
          </w:p>
        </w:tc>
      </w:tr>
      <w:tr w:rsidR="00157FCC" w:rsidRPr="00513407" w:rsidTr="00F11738">
        <w:trPr>
          <w:trHeight w:val="1323"/>
          <w:jc w:val="center"/>
        </w:trPr>
        <w:tc>
          <w:tcPr>
            <w:tcW w:w="3085" w:type="dxa"/>
            <w:shd w:val="clear" w:color="auto" w:fill="auto"/>
            <w:vAlign w:val="center"/>
          </w:tcPr>
          <w:p w:rsidR="00157FCC" w:rsidRPr="00513407" w:rsidRDefault="00157FCC" w:rsidP="00157FCC">
            <w:pPr>
              <w:jc w:val="center"/>
              <w:rPr>
                <w:sz w:val="22"/>
                <w:szCs w:val="22"/>
              </w:rPr>
            </w:pPr>
            <w:r w:rsidRPr="00513407">
              <w:rPr>
                <w:sz w:val="22"/>
                <w:szCs w:val="22"/>
              </w:rPr>
              <w:t>SA JULIEN</w:t>
            </w:r>
          </w:p>
        </w:tc>
        <w:tc>
          <w:tcPr>
            <w:tcW w:w="3085" w:type="dxa"/>
            <w:shd w:val="clear" w:color="auto" w:fill="auto"/>
            <w:vAlign w:val="center"/>
          </w:tcPr>
          <w:p w:rsidR="00157FCC" w:rsidRPr="00513407" w:rsidRDefault="00157FCC" w:rsidP="00157FCC">
            <w:pPr>
              <w:jc w:val="center"/>
              <w:rPr>
                <w:sz w:val="22"/>
                <w:szCs w:val="22"/>
              </w:rPr>
            </w:pPr>
            <w:r w:rsidRPr="00513407">
              <w:rPr>
                <w:sz w:val="22"/>
                <w:szCs w:val="22"/>
              </w:rPr>
              <w:t>20 + 12 =</w:t>
            </w:r>
            <w:r w:rsidRPr="00513407">
              <w:rPr>
                <w:b/>
                <w:sz w:val="22"/>
                <w:szCs w:val="22"/>
              </w:rPr>
              <w:t xml:space="preserve"> 32</w:t>
            </w:r>
            <w:r w:rsidRPr="00513407">
              <w:rPr>
                <w:sz w:val="22"/>
                <w:szCs w:val="22"/>
              </w:rPr>
              <w:t xml:space="preserve"> </w:t>
            </w:r>
            <w:r w:rsidRPr="00513407">
              <w:rPr>
                <w:b/>
                <w:sz w:val="22"/>
                <w:szCs w:val="22"/>
              </w:rPr>
              <w:t>%</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20</w:t>
            </w:r>
          </w:p>
          <w:p w:rsidR="00157FCC" w:rsidRPr="00513407" w:rsidRDefault="00157FCC" w:rsidP="00157FCC">
            <w:pPr>
              <w:jc w:val="center"/>
              <w:rPr>
                <w:sz w:val="22"/>
                <w:szCs w:val="22"/>
              </w:rPr>
            </w:pPr>
            <w:r w:rsidRPr="00513407">
              <w:rPr>
                <w:sz w:val="22"/>
                <w:szCs w:val="22"/>
              </w:rPr>
              <w:t>+ 0,6*12</w:t>
            </w:r>
          </w:p>
          <w:p w:rsidR="00157FCC" w:rsidRPr="00513407" w:rsidRDefault="00157FCC" w:rsidP="00157FCC">
            <w:pPr>
              <w:jc w:val="center"/>
              <w:rPr>
                <w:b/>
                <w:sz w:val="22"/>
                <w:szCs w:val="22"/>
              </w:rPr>
            </w:pPr>
            <w:r w:rsidRPr="00513407">
              <w:rPr>
                <w:b/>
                <w:sz w:val="22"/>
                <w:szCs w:val="22"/>
              </w:rPr>
              <w:t>= 27,2 %</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Influence notable</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Mise en équivalence</w:t>
            </w:r>
          </w:p>
        </w:tc>
      </w:tr>
      <w:tr w:rsidR="00157FCC" w:rsidRPr="00513407" w:rsidTr="00F11738">
        <w:trPr>
          <w:trHeight w:val="1323"/>
          <w:jc w:val="center"/>
        </w:trPr>
        <w:tc>
          <w:tcPr>
            <w:tcW w:w="3085" w:type="dxa"/>
            <w:shd w:val="clear" w:color="auto" w:fill="auto"/>
            <w:vAlign w:val="center"/>
          </w:tcPr>
          <w:p w:rsidR="00157FCC" w:rsidRPr="00513407" w:rsidRDefault="00157FCC" w:rsidP="00157FCC">
            <w:pPr>
              <w:jc w:val="center"/>
              <w:rPr>
                <w:sz w:val="22"/>
                <w:szCs w:val="22"/>
              </w:rPr>
            </w:pPr>
            <w:r w:rsidRPr="00513407">
              <w:rPr>
                <w:sz w:val="22"/>
                <w:szCs w:val="22"/>
              </w:rPr>
              <w:t>SA SORGUES</w:t>
            </w:r>
          </w:p>
        </w:tc>
        <w:tc>
          <w:tcPr>
            <w:tcW w:w="3085" w:type="dxa"/>
            <w:shd w:val="clear" w:color="auto" w:fill="auto"/>
            <w:vAlign w:val="center"/>
          </w:tcPr>
          <w:p w:rsidR="00157FCC" w:rsidRPr="00513407" w:rsidRDefault="00157FCC" w:rsidP="00157FCC">
            <w:pPr>
              <w:jc w:val="center"/>
              <w:rPr>
                <w:sz w:val="22"/>
                <w:szCs w:val="22"/>
              </w:rPr>
            </w:pPr>
            <w:r w:rsidRPr="00513407">
              <w:rPr>
                <w:sz w:val="22"/>
                <w:szCs w:val="22"/>
              </w:rPr>
              <w:t xml:space="preserve">30 + 25 = </w:t>
            </w:r>
            <w:r w:rsidRPr="00513407">
              <w:rPr>
                <w:b/>
                <w:sz w:val="22"/>
                <w:szCs w:val="22"/>
              </w:rPr>
              <w:t>55 %</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25</w:t>
            </w:r>
          </w:p>
          <w:p w:rsidR="00157FCC" w:rsidRPr="00513407" w:rsidRDefault="00157FCC" w:rsidP="00157FCC">
            <w:pPr>
              <w:jc w:val="center"/>
              <w:rPr>
                <w:sz w:val="22"/>
                <w:szCs w:val="22"/>
              </w:rPr>
            </w:pPr>
            <w:r w:rsidRPr="00513407">
              <w:rPr>
                <w:sz w:val="22"/>
                <w:szCs w:val="22"/>
              </w:rPr>
              <w:t>+ 0,6*20</w:t>
            </w:r>
          </w:p>
          <w:p w:rsidR="00157FCC" w:rsidRPr="00513407" w:rsidRDefault="00157FCC" w:rsidP="00157FCC">
            <w:pPr>
              <w:jc w:val="center"/>
              <w:rPr>
                <w:sz w:val="22"/>
                <w:szCs w:val="22"/>
              </w:rPr>
            </w:pPr>
            <w:r w:rsidRPr="00513407">
              <w:rPr>
                <w:sz w:val="22"/>
                <w:szCs w:val="22"/>
              </w:rPr>
              <w:t>+ 0,2</w:t>
            </w:r>
            <w:r w:rsidR="009C4C75" w:rsidRPr="00513407">
              <w:rPr>
                <w:sz w:val="22"/>
                <w:szCs w:val="22"/>
              </w:rPr>
              <w:t>72</w:t>
            </w:r>
            <w:r w:rsidRPr="00513407">
              <w:rPr>
                <w:sz w:val="22"/>
                <w:szCs w:val="22"/>
              </w:rPr>
              <w:t>*10</w:t>
            </w:r>
          </w:p>
          <w:p w:rsidR="00157FCC" w:rsidRPr="00513407" w:rsidRDefault="00157FCC" w:rsidP="00157FCC">
            <w:pPr>
              <w:jc w:val="center"/>
              <w:rPr>
                <w:b/>
                <w:sz w:val="22"/>
                <w:szCs w:val="22"/>
              </w:rPr>
            </w:pPr>
            <w:r w:rsidRPr="00513407">
              <w:rPr>
                <w:b/>
                <w:sz w:val="22"/>
                <w:szCs w:val="22"/>
              </w:rPr>
              <w:t>= 39</w:t>
            </w:r>
            <w:r w:rsidR="009C4C75" w:rsidRPr="00513407">
              <w:rPr>
                <w:b/>
                <w:sz w:val="22"/>
                <w:szCs w:val="22"/>
              </w:rPr>
              <w:t>,72</w:t>
            </w:r>
            <w:r w:rsidRPr="00513407">
              <w:rPr>
                <w:b/>
                <w:sz w:val="22"/>
                <w:szCs w:val="22"/>
              </w:rPr>
              <w:t xml:space="preserve"> %</w:t>
            </w:r>
            <w:r w:rsidR="009C4C75" w:rsidRPr="00513407">
              <w:rPr>
                <w:b/>
                <w:sz w:val="22"/>
                <w:szCs w:val="22"/>
              </w:rPr>
              <w:t xml:space="preserve"> (*)</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Contrôle exclusif</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Intégration globale</w:t>
            </w:r>
          </w:p>
        </w:tc>
      </w:tr>
      <w:tr w:rsidR="00157FCC" w:rsidRPr="00513407" w:rsidTr="00F11738">
        <w:trPr>
          <w:trHeight w:val="1396"/>
          <w:jc w:val="center"/>
        </w:trPr>
        <w:tc>
          <w:tcPr>
            <w:tcW w:w="3085" w:type="dxa"/>
            <w:shd w:val="clear" w:color="auto" w:fill="auto"/>
            <w:vAlign w:val="center"/>
          </w:tcPr>
          <w:p w:rsidR="00157FCC" w:rsidRPr="00513407" w:rsidRDefault="00157FCC" w:rsidP="00157FCC">
            <w:pPr>
              <w:jc w:val="center"/>
              <w:rPr>
                <w:sz w:val="22"/>
                <w:szCs w:val="22"/>
              </w:rPr>
            </w:pPr>
            <w:r w:rsidRPr="00513407">
              <w:rPr>
                <w:sz w:val="22"/>
                <w:szCs w:val="22"/>
              </w:rPr>
              <w:t>SA BRUN</w:t>
            </w:r>
          </w:p>
        </w:tc>
        <w:tc>
          <w:tcPr>
            <w:tcW w:w="3085" w:type="dxa"/>
            <w:shd w:val="clear" w:color="auto" w:fill="auto"/>
            <w:vAlign w:val="center"/>
          </w:tcPr>
          <w:p w:rsidR="00157FCC" w:rsidRPr="00513407" w:rsidRDefault="00157FCC" w:rsidP="00157FCC">
            <w:pPr>
              <w:jc w:val="center"/>
              <w:rPr>
                <w:b/>
                <w:sz w:val="22"/>
                <w:szCs w:val="22"/>
              </w:rPr>
            </w:pPr>
            <w:r w:rsidRPr="00513407">
              <w:rPr>
                <w:b/>
                <w:sz w:val="22"/>
                <w:szCs w:val="22"/>
              </w:rPr>
              <w:t>50 %</w:t>
            </w:r>
          </w:p>
        </w:tc>
        <w:tc>
          <w:tcPr>
            <w:tcW w:w="3086" w:type="dxa"/>
            <w:shd w:val="clear" w:color="auto" w:fill="auto"/>
            <w:vAlign w:val="center"/>
          </w:tcPr>
          <w:p w:rsidR="00157FCC" w:rsidRPr="00513407" w:rsidRDefault="00157FCC" w:rsidP="00157FCC">
            <w:pPr>
              <w:jc w:val="center"/>
              <w:rPr>
                <w:b/>
                <w:sz w:val="22"/>
                <w:szCs w:val="22"/>
              </w:rPr>
            </w:pPr>
            <w:r w:rsidRPr="00513407">
              <w:rPr>
                <w:b/>
                <w:sz w:val="22"/>
                <w:szCs w:val="22"/>
              </w:rPr>
              <w:t>50 %</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Contrôle conjoint</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Intégration proportionnelle</w:t>
            </w:r>
          </w:p>
        </w:tc>
      </w:tr>
      <w:tr w:rsidR="00157FCC" w:rsidRPr="00513407" w:rsidTr="00F11738">
        <w:trPr>
          <w:trHeight w:val="1396"/>
          <w:jc w:val="center"/>
        </w:trPr>
        <w:tc>
          <w:tcPr>
            <w:tcW w:w="3085" w:type="dxa"/>
            <w:shd w:val="clear" w:color="auto" w:fill="auto"/>
            <w:vAlign w:val="center"/>
          </w:tcPr>
          <w:p w:rsidR="00157FCC" w:rsidRPr="00513407" w:rsidRDefault="00157FCC" w:rsidP="00157FCC">
            <w:pPr>
              <w:jc w:val="center"/>
              <w:rPr>
                <w:sz w:val="22"/>
                <w:szCs w:val="22"/>
              </w:rPr>
            </w:pPr>
            <w:r w:rsidRPr="00513407">
              <w:rPr>
                <w:sz w:val="22"/>
                <w:szCs w:val="22"/>
              </w:rPr>
              <w:t>SA CASSEZ</w:t>
            </w:r>
          </w:p>
        </w:tc>
        <w:tc>
          <w:tcPr>
            <w:tcW w:w="3085" w:type="dxa"/>
            <w:shd w:val="clear" w:color="auto" w:fill="auto"/>
            <w:vAlign w:val="center"/>
          </w:tcPr>
          <w:p w:rsidR="00157FCC" w:rsidRPr="00513407" w:rsidRDefault="009C4C75" w:rsidP="00157FCC">
            <w:pPr>
              <w:jc w:val="center"/>
              <w:rPr>
                <w:sz w:val="22"/>
                <w:szCs w:val="22"/>
              </w:rPr>
            </w:pPr>
            <w:r w:rsidRPr="00513407">
              <w:rPr>
                <w:b/>
                <w:sz w:val="22"/>
                <w:szCs w:val="22"/>
              </w:rPr>
              <w:t>6</w:t>
            </w:r>
            <w:r w:rsidR="00157FCC" w:rsidRPr="00513407">
              <w:rPr>
                <w:b/>
                <w:sz w:val="22"/>
                <w:szCs w:val="22"/>
              </w:rPr>
              <w:t xml:space="preserve"> %</w:t>
            </w:r>
          </w:p>
        </w:tc>
        <w:tc>
          <w:tcPr>
            <w:tcW w:w="3086" w:type="dxa"/>
            <w:shd w:val="clear" w:color="auto" w:fill="auto"/>
            <w:vAlign w:val="center"/>
          </w:tcPr>
          <w:p w:rsidR="00157FCC" w:rsidRPr="00513407" w:rsidRDefault="006D480A" w:rsidP="009C4C75">
            <w:pPr>
              <w:jc w:val="center"/>
              <w:rPr>
                <w:b/>
                <w:sz w:val="22"/>
                <w:szCs w:val="22"/>
              </w:rPr>
            </w:pPr>
            <w:r w:rsidRPr="00513407">
              <w:rPr>
                <w:b/>
                <w:sz w:val="22"/>
                <w:szCs w:val="22"/>
              </w:rPr>
              <w:t>6</w:t>
            </w:r>
            <w:r w:rsidR="00157FCC" w:rsidRPr="00513407">
              <w:rPr>
                <w:b/>
                <w:sz w:val="22"/>
                <w:szCs w:val="22"/>
              </w:rPr>
              <w:t xml:space="preserve"> %</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Absence de contrôle</w:t>
            </w:r>
          </w:p>
        </w:tc>
        <w:tc>
          <w:tcPr>
            <w:tcW w:w="3086" w:type="dxa"/>
            <w:shd w:val="clear" w:color="auto" w:fill="auto"/>
            <w:vAlign w:val="center"/>
          </w:tcPr>
          <w:p w:rsidR="00157FCC" w:rsidRPr="00513407" w:rsidRDefault="00157FCC" w:rsidP="00157FCC">
            <w:pPr>
              <w:jc w:val="center"/>
              <w:rPr>
                <w:sz w:val="22"/>
                <w:szCs w:val="22"/>
              </w:rPr>
            </w:pPr>
            <w:r w:rsidRPr="00513407">
              <w:rPr>
                <w:sz w:val="22"/>
                <w:szCs w:val="22"/>
              </w:rPr>
              <w:t>Hors périmètre</w:t>
            </w:r>
          </w:p>
        </w:tc>
      </w:tr>
    </w:tbl>
    <w:p w:rsidR="00157FCC" w:rsidRPr="00513407" w:rsidRDefault="00157FCC" w:rsidP="00157FCC">
      <w:pPr>
        <w:rPr>
          <w:sz w:val="22"/>
          <w:szCs w:val="22"/>
        </w:rPr>
      </w:pPr>
    </w:p>
    <w:p w:rsidR="00F1145C" w:rsidRPr="00513407" w:rsidRDefault="009C4C75" w:rsidP="0090290F">
      <w:pPr>
        <w:widowControl/>
        <w:adjustRightInd w:val="0"/>
        <w:rPr>
          <w:sz w:val="22"/>
          <w:szCs w:val="22"/>
        </w:rPr>
      </w:pPr>
      <w:r w:rsidRPr="00513407">
        <w:rPr>
          <w:sz w:val="22"/>
          <w:szCs w:val="22"/>
        </w:rPr>
        <w:t xml:space="preserve">(*) </w:t>
      </w:r>
      <w:r w:rsidR="0038477A" w:rsidRPr="00513407">
        <w:rPr>
          <w:sz w:val="22"/>
          <w:szCs w:val="22"/>
        </w:rPr>
        <w:t>Autre</w:t>
      </w:r>
      <w:r w:rsidRPr="00513407">
        <w:rPr>
          <w:sz w:val="22"/>
          <w:szCs w:val="22"/>
        </w:rPr>
        <w:t xml:space="preserve"> calcul possible : 25 + (0,2*10) +</w:t>
      </w:r>
      <w:r w:rsidR="00D4259F" w:rsidRPr="00513407">
        <w:rPr>
          <w:sz w:val="22"/>
          <w:szCs w:val="22"/>
        </w:rPr>
        <w:t xml:space="preserve"> </w:t>
      </w:r>
      <w:r w:rsidRPr="00513407">
        <w:rPr>
          <w:sz w:val="22"/>
          <w:szCs w:val="22"/>
        </w:rPr>
        <w:t>(0,6*0,12*10) + (0,6*20) = 39,72 %</w:t>
      </w:r>
    </w:p>
    <w:sectPr w:rsidR="00F1145C" w:rsidRPr="00513407" w:rsidSect="0090290F">
      <w:headerReference w:type="default" r:id="rId8"/>
      <w:footerReference w:type="default" r:id="rId9"/>
      <w:pgSz w:w="11904" w:h="16843"/>
      <w:pgMar w:top="993" w:right="1417" w:bottom="1417"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CB" w:rsidRDefault="00BE75CB">
      <w:r>
        <w:separator/>
      </w:r>
    </w:p>
  </w:endnote>
  <w:endnote w:type="continuationSeparator" w:id="0">
    <w:p w:rsidR="00BE75CB" w:rsidRDefault="00BE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dsor">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0F" w:rsidRPr="000D7718" w:rsidRDefault="000D7718" w:rsidP="000D7718">
    <w:pPr>
      <w:pStyle w:val="Pieddepage"/>
      <w:tabs>
        <w:tab w:val="left" w:pos="709"/>
      </w:tabs>
      <w:ind w:right="357"/>
      <w:rPr>
        <w:sz w:val="20"/>
      </w:rPr>
    </w:pPr>
    <w:r w:rsidRPr="005A1517">
      <w:rPr>
        <w:bCs/>
      </w:rPr>
      <w:t xml:space="preserve">©Comptazine – Reproduction Interdite           </w:t>
    </w:r>
    <w:r w:rsidRPr="005A1517">
      <w:rPr>
        <w:bCs/>
      </w:rPr>
      <w:tab/>
    </w:r>
    <w:r>
      <w:rPr>
        <w:bCs/>
        <w:sz w:val="22"/>
      </w:rPr>
      <w:tab/>
    </w:r>
    <w:r>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D10AFA">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D10AFA">
      <w:rPr>
        <w:rStyle w:val="Numrodepage"/>
        <w:noProof/>
        <w:sz w:val="22"/>
      </w:rPr>
      <w:t>9</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CB" w:rsidRDefault="00BE75CB">
      <w:r>
        <w:separator/>
      </w:r>
    </w:p>
  </w:footnote>
  <w:footnote w:type="continuationSeparator" w:id="0">
    <w:p w:rsidR="00BE75CB" w:rsidRDefault="00BE7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18" w:rsidRPr="000D7718" w:rsidRDefault="00C20DE3" w:rsidP="000D7718">
    <w:pPr>
      <w:pStyle w:val="En-tte"/>
      <w:tabs>
        <w:tab w:val="left" w:pos="555"/>
        <w:tab w:val="left" w:pos="900"/>
        <w:tab w:val="left" w:pos="2088"/>
        <w:tab w:val="left" w:pos="3240"/>
        <w:tab w:val="right" w:pos="10580"/>
      </w:tabs>
    </w:pPr>
    <w:r>
      <w:rPr>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718">
      <w:tab/>
    </w:r>
    <w:r w:rsidR="000D7718">
      <w:tab/>
    </w:r>
    <w:r w:rsidR="000D7718">
      <w:tab/>
    </w:r>
    <w:r w:rsidR="000D7718">
      <w:tab/>
    </w:r>
    <w:r w:rsidR="000D7718">
      <w:tab/>
    </w:r>
    <w:r w:rsidR="000D7718">
      <w:tab/>
    </w:r>
    <w:r w:rsidR="000D77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0D7718" w:rsidRPr="001C2C1B">
        <w:rPr>
          <w:rStyle w:val="Lienhypertexte"/>
          <w:rFonts w:cs="Calibri"/>
          <w:color w:val="E36C0A"/>
        </w:rPr>
        <w:t>www.comptazine.fr</w:t>
      </w:r>
    </w:hyperlink>
    <w:r w:rsidR="000D7718">
      <w:rPr>
        <w:rStyle w:val="Lienhypertexte"/>
        <w:rFonts w:cs="Calibri"/>
        <w:color w:val="E36C0A"/>
      </w:rPr>
      <w:t xml:space="preserve"> </w: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718" w:rsidRPr="005E18B7" w:rsidRDefault="000D7718" w:rsidP="000D7718">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0D7718" w:rsidRPr="005E18B7" w:rsidRDefault="000D7718" w:rsidP="000D7718">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504"/>
        </w:tabs>
        <w:ind w:left="504" w:hanging="432"/>
      </w:pPr>
      <w:rPr>
        <w:rFonts w:cs="Times New Roman"/>
        <w:color w:val="000000"/>
      </w:rPr>
    </w:lvl>
  </w:abstractNum>
  <w:abstractNum w:abstractNumId="1">
    <w:nsid w:val="00000002"/>
    <w:multiLevelType w:val="singleLevel"/>
    <w:tmpl w:val="00000002"/>
    <w:name w:val="WW8Num3"/>
    <w:lvl w:ilvl="0">
      <w:start w:val="1"/>
      <w:numFmt w:val="decimal"/>
      <w:lvlText w:val="%1."/>
      <w:lvlJc w:val="left"/>
      <w:pPr>
        <w:tabs>
          <w:tab w:val="num" w:pos="720"/>
        </w:tabs>
        <w:ind w:left="360" w:firstLine="0"/>
      </w:pPr>
      <w:rPr>
        <w:rFonts w:cs="Times New Roman"/>
        <w:color w:val="000000"/>
      </w:rPr>
    </w:lvl>
  </w:abstractNum>
  <w:abstractNum w:abstractNumId="2">
    <w:nsid w:val="00000003"/>
    <w:multiLevelType w:val="singleLevel"/>
    <w:tmpl w:val="00000003"/>
    <w:name w:val="WW8Num8"/>
    <w:lvl w:ilvl="0">
      <w:start w:val="1"/>
      <w:numFmt w:val="decimal"/>
      <w:lvlText w:val="%1."/>
      <w:lvlJc w:val="left"/>
      <w:pPr>
        <w:tabs>
          <w:tab w:val="num" w:pos="504"/>
        </w:tabs>
        <w:ind w:left="504" w:hanging="432"/>
      </w:pPr>
      <w:rPr>
        <w:rFonts w:cs="Times New Roman"/>
        <w:color w:val="000000"/>
      </w:rPr>
    </w:lvl>
  </w:abstractNum>
  <w:abstractNum w:abstractNumId="3">
    <w:nsid w:val="00000004"/>
    <w:multiLevelType w:val="singleLevel"/>
    <w:tmpl w:val="00000004"/>
    <w:name w:val="WW8Num12"/>
    <w:lvl w:ilvl="0">
      <w:start w:val="1"/>
      <w:numFmt w:val="bullet"/>
      <w:lvlText w:val=""/>
      <w:lvlJc w:val="left"/>
      <w:pPr>
        <w:tabs>
          <w:tab w:val="num" w:pos="0"/>
        </w:tabs>
        <w:ind w:left="962" w:hanging="360"/>
      </w:pPr>
      <w:rPr>
        <w:rFonts w:ascii="Symbol" w:hAnsi="Symbol" w:cs="Symbol"/>
      </w:rPr>
    </w:lvl>
  </w:abstractNum>
  <w:abstractNum w:abstractNumId="4">
    <w:nsid w:val="00000005"/>
    <w:multiLevelType w:val="singleLevel"/>
    <w:tmpl w:val="00000005"/>
    <w:name w:val="WW8Num17"/>
    <w:lvl w:ilvl="0">
      <w:start w:val="1"/>
      <w:numFmt w:val="decimal"/>
      <w:lvlText w:val="%1."/>
      <w:lvlJc w:val="left"/>
      <w:pPr>
        <w:tabs>
          <w:tab w:val="num" w:pos="432"/>
        </w:tabs>
        <w:ind w:left="432" w:hanging="360"/>
      </w:pPr>
      <w:rPr>
        <w:rFonts w:cs="Times New Roman"/>
        <w:color w:val="000000"/>
      </w:rPr>
    </w:lvl>
  </w:abstractNum>
  <w:abstractNum w:abstractNumId="5">
    <w:nsid w:val="00000006"/>
    <w:multiLevelType w:val="singleLevel"/>
    <w:tmpl w:val="00000006"/>
    <w:name w:val="WW8Num20"/>
    <w:lvl w:ilvl="0">
      <w:start w:val="3"/>
      <w:numFmt w:val="decimal"/>
      <w:lvlText w:val="%1."/>
      <w:lvlJc w:val="left"/>
      <w:pPr>
        <w:tabs>
          <w:tab w:val="num" w:pos="360"/>
        </w:tabs>
        <w:ind w:left="360" w:hanging="360"/>
      </w:pPr>
      <w:rPr>
        <w:rFonts w:cs="Times New Roman"/>
        <w:color w:val="000000"/>
      </w:rPr>
    </w:lvl>
  </w:abstractNum>
  <w:abstractNum w:abstractNumId="6">
    <w:nsid w:val="00000007"/>
    <w:multiLevelType w:val="singleLevel"/>
    <w:tmpl w:val="00000007"/>
    <w:name w:val="WW8Num22"/>
    <w:lvl w:ilvl="0">
      <w:start w:val="1"/>
      <w:numFmt w:val="bullet"/>
      <w:lvlText w:val=""/>
      <w:lvlJc w:val="left"/>
      <w:pPr>
        <w:tabs>
          <w:tab w:val="num" w:pos="0"/>
        </w:tabs>
        <w:ind w:left="962" w:hanging="360"/>
      </w:pPr>
      <w:rPr>
        <w:rFonts w:ascii="Wingdings" w:hAnsi="Wingdings" w:cs="Wingdings"/>
      </w:rPr>
    </w:lvl>
  </w:abstractNum>
  <w:abstractNum w:abstractNumId="7">
    <w:nsid w:val="1798639E"/>
    <w:multiLevelType w:val="hybridMultilevel"/>
    <w:tmpl w:val="B6B2425C"/>
    <w:lvl w:ilvl="0" w:tplc="17CC347C">
      <w:start w:val="1"/>
      <w:numFmt w:val="decimal"/>
      <w:lvlText w:val="%1."/>
      <w:lvlJc w:val="left"/>
      <w:pPr>
        <w:ind w:left="432" w:hanging="360"/>
      </w:pPr>
      <w:rPr>
        <w:rFonts w:ascii="Times New Roman" w:eastAsia="Times New Roman" w:hAnsi="Times New Roman" w:cs="Times New Roman"/>
        <w:b/>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8">
    <w:nsid w:val="25090D99"/>
    <w:multiLevelType w:val="hybridMultilevel"/>
    <w:tmpl w:val="E99C8FE4"/>
    <w:lvl w:ilvl="0" w:tplc="C0506544">
      <w:start w:val="1"/>
      <w:numFmt w:val="bullet"/>
      <w:lvlText w:val="-"/>
      <w:lvlJc w:val="left"/>
      <w:pPr>
        <w:ind w:left="720" w:hanging="360"/>
      </w:pPr>
      <w:rPr>
        <w:rFonts w:ascii="Windsor" w:hAnsi="Windsor" w:hint="default"/>
      </w:rPr>
    </w:lvl>
    <w:lvl w:ilvl="1" w:tplc="229C0346">
      <w:start w:val="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176C64"/>
    <w:multiLevelType w:val="hybridMultilevel"/>
    <w:tmpl w:val="E0F23DBC"/>
    <w:lvl w:ilvl="0" w:tplc="E40C244E">
      <w:start w:val="1"/>
      <w:numFmt w:val="decimal"/>
      <w:lvlText w:val="%1."/>
      <w:lvlJc w:val="left"/>
      <w:pPr>
        <w:ind w:left="432" w:hanging="360"/>
      </w:pPr>
      <w:rPr>
        <w:rFonts w:ascii="Times New Roman" w:eastAsia="Times New Roman" w:hAnsi="Times New Roman" w:cs="Times New Roman"/>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0">
    <w:nsid w:val="35D724E0"/>
    <w:multiLevelType w:val="hybridMultilevel"/>
    <w:tmpl w:val="02B4EF24"/>
    <w:lvl w:ilvl="0" w:tplc="C0506544">
      <w:start w:val="1"/>
      <w:numFmt w:val="bullet"/>
      <w:lvlText w:val="-"/>
      <w:lvlJc w:val="left"/>
      <w:pPr>
        <w:ind w:left="720" w:hanging="360"/>
      </w:pPr>
      <w:rPr>
        <w:rFonts w:ascii="Windsor" w:hAnsi="Windso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5618B5"/>
    <w:multiLevelType w:val="hybridMultilevel"/>
    <w:tmpl w:val="871CAB9C"/>
    <w:lvl w:ilvl="0" w:tplc="C8805120">
      <w:start w:val="12"/>
      <w:numFmt w:val="bullet"/>
      <w:lvlText w:val="-"/>
      <w:lvlJc w:val="left"/>
      <w:pPr>
        <w:ind w:left="864" w:hanging="360"/>
      </w:pPr>
      <w:rPr>
        <w:rFonts w:ascii="Times New Roman" w:eastAsia="Times New Roman"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2">
    <w:nsid w:val="57DF47A8"/>
    <w:multiLevelType w:val="hybridMultilevel"/>
    <w:tmpl w:val="1C16FF4A"/>
    <w:lvl w:ilvl="0" w:tplc="C0506544">
      <w:start w:val="1"/>
      <w:numFmt w:val="bullet"/>
      <w:lvlText w:val="-"/>
      <w:lvlJc w:val="left"/>
      <w:pPr>
        <w:ind w:left="720" w:hanging="360"/>
      </w:pPr>
      <w:rPr>
        <w:rFonts w:ascii="Windsor" w:hAnsi="Windso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4C6927"/>
    <w:multiLevelType w:val="multilevel"/>
    <w:tmpl w:val="AB80F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A28495D"/>
    <w:multiLevelType w:val="singleLevel"/>
    <w:tmpl w:val="7FA1AE7E"/>
    <w:lvl w:ilvl="0">
      <w:start w:val="1"/>
      <w:numFmt w:val="decimal"/>
      <w:lvlText w:val="%1."/>
      <w:lvlJc w:val="left"/>
      <w:pPr>
        <w:tabs>
          <w:tab w:val="num" w:pos="504"/>
        </w:tabs>
        <w:ind w:left="504" w:hanging="432"/>
      </w:pPr>
      <w:rPr>
        <w:rFonts w:cs="Times New Roman"/>
        <w:color w:val="000000"/>
      </w:rPr>
    </w:lvl>
  </w:abstractNum>
  <w:abstractNum w:abstractNumId="15">
    <w:nsid w:val="6C3B6D54"/>
    <w:multiLevelType w:val="hybridMultilevel"/>
    <w:tmpl w:val="3798225A"/>
    <w:lvl w:ilvl="0" w:tplc="CCB84116">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4B144E"/>
    <w:multiLevelType w:val="hybridMultilevel"/>
    <w:tmpl w:val="FE48DB0E"/>
    <w:lvl w:ilvl="0" w:tplc="040C000F">
      <w:start w:val="1"/>
      <w:numFmt w:val="decimal"/>
      <w:lvlText w:val="%1."/>
      <w:lvlJc w:val="left"/>
      <w:pPr>
        <w:ind w:left="413" w:hanging="360"/>
      </w:pPr>
      <w:rPr>
        <w:rFonts w:hint="default"/>
      </w:rPr>
    </w:lvl>
    <w:lvl w:ilvl="1" w:tplc="040C0019" w:tentative="1">
      <w:start w:val="1"/>
      <w:numFmt w:val="lowerLetter"/>
      <w:lvlText w:val="%2."/>
      <w:lvlJc w:val="left"/>
      <w:pPr>
        <w:ind w:left="1133" w:hanging="360"/>
      </w:pPr>
    </w:lvl>
    <w:lvl w:ilvl="2" w:tplc="040C001B" w:tentative="1">
      <w:start w:val="1"/>
      <w:numFmt w:val="lowerRoman"/>
      <w:lvlText w:val="%3."/>
      <w:lvlJc w:val="right"/>
      <w:pPr>
        <w:ind w:left="1853" w:hanging="180"/>
      </w:pPr>
    </w:lvl>
    <w:lvl w:ilvl="3" w:tplc="040C000F" w:tentative="1">
      <w:start w:val="1"/>
      <w:numFmt w:val="decimal"/>
      <w:lvlText w:val="%4."/>
      <w:lvlJc w:val="left"/>
      <w:pPr>
        <w:ind w:left="2573" w:hanging="360"/>
      </w:pPr>
    </w:lvl>
    <w:lvl w:ilvl="4" w:tplc="040C0019" w:tentative="1">
      <w:start w:val="1"/>
      <w:numFmt w:val="lowerLetter"/>
      <w:lvlText w:val="%5."/>
      <w:lvlJc w:val="left"/>
      <w:pPr>
        <w:ind w:left="3293" w:hanging="360"/>
      </w:pPr>
    </w:lvl>
    <w:lvl w:ilvl="5" w:tplc="040C001B" w:tentative="1">
      <w:start w:val="1"/>
      <w:numFmt w:val="lowerRoman"/>
      <w:lvlText w:val="%6."/>
      <w:lvlJc w:val="right"/>
      <w:pPr>
        <w:ind w:left="4013" w:hanging="180"/>
      </w:pPr>
    </w:lvl>
    <w:lvl w:ilvl="6" w:tplc="040C000F" w:tentative="1">
      <w:start w:val="1"/>
      <w:numFmt w:val="decimal"/>
      <w:lvlText w:val="%7."/>
      <w:lvlJc w:val="left"/>
      <w:pPr>
        <w:ind w:left="4733" w:hanging="360"/>
      </w:pPr>
    </w:lvl>
    <w:lvl w:ilvl="7" w:tplc="040C0019" w:tentative="1">
      <w:start w:val="1"/>
      <w:numFmt w:val="lowerLetter"/>
      <w:lvlText w:val="%8."/>
      <w:lvlJc w:val="left"/>
      <w:pPr>
        <w:ind w:left="5453" w:hanging="360"/>
      </w:pPr>
    </w:lvl>
    <w:lvl w:ilvl="8" w:tplc="040C001B" w:tentative="1">
      <w:start w:val="1"/>
      <w:numFmt w:val="lowerRoman"/>
      <w:lvlText w:val="%9."/>
      <w:lvlJc w:val="right"/>
      <w:pPr>
        <w:ind w:left="6173" w:hanging="180"/>
      </w:pPr>
    </w:lvl>
  </w:abstractNum>
  <w:abstractNum w:abstractNumId="17">
    <w:nsid w:val="74B80DED"/>
    <w:multiLevelType w:val="singleLevel"/>
    <w:tmpl w:val="7FA1AE7E"/>
    <w:lvl w:ilvl="0">
      <w:start w:val="1"/>
      <w:numFmt w:val="decimal"/>
      <w:lvlText w:val="%1."/>
      <w:lvlJc w:val="left"/>
      <w:pPr>
        <w:tabs>
          <w:tab w:val="num" w:pos="504"/>
        </w:tabs>
        <w:ind w:left="504" w:hanging="432"/>
      </w:pPr>
      <w:rPr>
        <w:rFonts w:cs="Times New Roman"/>
        <w:color w:val="000000"/>
      </w:rPr>
    </w:lvl>
  </w:abstractNum>
  <w:num w:numId="1">
    <w:abstractNumId w:val="13"/>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num>
  <w:num w:numId="7">
    <w:abstractNumId w:val="14"/>
    <w:lvlOverride w:ilvl="0">
      <w:startOverride w:val="1"/>
    </w:lvlOverride>
  </w:num>
  <w:num w:numId="8">
    <w:abstractNumId w:val="8"/>
  </w:num>
  <w:num w:numId="9">
    <w:abstractNumId w:val="12"/>
  </w:num>
  <w:num w:numId="10">
    <w:abstractNumId w:val="10"/>
  </w:num>
  <w:num w:numId="1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8F"/>
    <w:rsid w:val="00002422"/>
    <w:rsid w:val="0000630B"/>
    <w:rsid w:val="00014647"/>
    <w:rsid w:val="000236F1"/>
    <w:rsid w:val="000248C0"/>
    <w:rsid w:val="00024CBD"/>
    <w:rsid w:val="00025341"/>
    <w:rsid w:val="00026767"/>
    <w:rsid w:val="00030323"/>
    <w:rsid w:val="00031F45"/>
    <w:rsid w:val="000408E0"/>
    <w:rsid w:val="00043813"/>
    <w:rsid w:val="00046F0D"/>
    <w:rsid w:val="000648BF"/>
    <w:rsid w:val="0006497D"/>
    <w:rsid w:val="00066079"/>
    <w:rsid w:val="00071413"/>
    <w:rsid w:val="00072AC0"/>
    <w:rsid w:val="00072C20"/>
    <w:rsid w:val="000822CA"/>
    <w:rsid w:val="000835DC"/>
    <w:rsid w:val="00091675"/>
    <w:rsid w:val="000A46F0"/>
    <w:rsid w:val="000A4B1F"/>
    <w:rsid w:val="000C0A80"/>
    <w:rsid w:val="000C647E"/>
    <w:rsid w:val="000D7718"/>
    <w:rsid w:val="000D7B7F"/>
    <w:rsid w:val="000E1B1B"/>
    <w:rsid w:val="000E25A5"/>
    <w:rsid w:val="000E6BD5"/>
    <w:rsid w:val="000F13AD"/>
    <w:rsid w:val="00100C81"/>
    <w:rsid w:val="00103188"/>
    <w:rsid w:val="00104FF9"/>
    <w:rsid w:val="001108E9"/>
    <w:rsid w:val="00114CB4"/>
    <w:rsid w:val="00115E9B"/>
    <w:rsid w:val="0013140D"/>
    <w:rsid w:val="0013337F"/>
    <w:rsid w:val="00151268"/>
    <w:rsid w:val="00156D42"/>
    <w:rsid w:val="00157FCC"/>
    <w:rsid w:val="00167718"/>
    <w:rsid w:val="00175431"/>
    <w:rsid w:val="00176761"/>
    <w:rsid w:val="0017757F"/>
    <w:rsid w:val="00197B12"/>
    <w:rsid w:val="001D123F"/>
    <w:rsid w:val="001D57B5"/>
    <w:rsid w:val="001E457F"/>
    <w:rsid w:val="001F767B"/>
    <w:rsid w:val="00216026"/>
    <w:rsid w:val="00224704"/>
    <w:rsid w:val="0023159F"/>
    <w:rsid w:val="002340A6"/>
    <w:rsid w:val="0025064F"/>
    <w:rsid w:val="00250AEC"/>
    <w:rsid w:val="00265988"/>
    <w:rsid w:val="002939D6"/>
    <w:rsid w:val="00294676"/>
    <w:rsid w:val="00297003"/>
    <w:rsid w:val="00297A15"/>
    <w:rsid w:val="002D3514"/>
    <w:rsid w:val="002D45F6"/>
    <w:rsid w:val="002D6BE9"/>
    <w:rsid w:val="002E21A9"/>
    <w:rsid w:val="002F6DA9"/>
    <w:rsid w:val="003017D6"/>
    <w:rsid w:val="003020D8"/>
    <w:rsid w:val="00304C10"/>
    <w:rsid w:val="00305912"/>
    <w:rsid w:val="00317CC9"/>
    <w:rsid w:val="003213E2"/>
    <w:rsid w:val="00322DAD"/>
    <w:rsid w:val="003371F4"/>
    <w:rsid w:val="00344EB5"/>
    <w:rsid w:val="00355D33"/>
    <w:rsid w:val="003644E1"/>
    <w:rsid w:val="00365E91"/>
    <w:rsid w:val="003743C9"/>
    <w:rsid w:val="00375ADA"/>
    <w:rsid w:val="0038477A"/>
    <w:rsid w:val="00385A8E"/>
    <w:rsid w:val="00394393"/>
    <w:rsid w:val="00394D02"/>
    <w:rsid w:val="003A4691"/>
    <w:rsid w:val="003B6740"/>
    <w:rsid w:val="003C1417"/>
    <w:rsid w:val="003C440E"/>
    <w:rsid w:val="003D2523"/>
    <w:rsid w:val="003D3387"/>
    <w:rsid w:val="003E7981"/>
    <w:rsid w:val="003F2AB1"/>
    <w:rsid w:val="00410452"/>
    <w:rsid w:val="0041236F"/>
    <w:rsid w:val="00420C4E"/>
    <w:rsid w:val="00423F1B"/>
    <w:rsid w:val="00453287"/>
    <w:rsid w:val="00456751"/>
    <w:rsid w:val="004621DD"/>
    <w:rsid w:val="00463A48"/>
    <w:rsid w:val="00464948"/>
    <w:rsid w:val="004771F9"/>
    <w:rsid w:val="00492B2C"/>
    <w:rsid w:val="00495502"/>
    <w:rsid w:val="0049777E"/>
    <w:rsid w:val="004C4719"/>
    <w:rsid w:val="004C4824"/>
    <w:rsid w:val="004D2F68"/>
    <w:rsid w:val="004D45EC"/>
    <w:rsid w:val="005100A0"/>
    <w:rsid w:val="00513407"/>
    <w:rsid w:val="005246FB"/>
    <w:rsid w:val="00536924"/>
    <w:rsid w:val="00552D50"/>
    <w:rsid w:val="005567F6"/>
    <w:rsid w:val="00563741"/>
    <w:rsid w:val="00584D6E"/>
    <w:rsid w:val="005902D7"/>
    <w:rsid w:val="00595969"/>
    <w:rsid w:val="00595E30"/>
    <w:rsid w:val="005A3AD7"/>
    <w:rsid w:val="005A6911"/>
    <w:rsid w:val="005A6EBD"/>
    <w:rsid w:val="005C0FE6"/>
    <w:rsid w:val="005D32FE"/>
    <w:rsid w:val="005D6CBD"/>
    <w:rsid w:val="005E57BC"/>
    <w:rsid w:val="005F6A92"/>
    <w:rsid w:val="006016CC"/>
    <w:rsid w:val="006129B9"/>
    <w:rsid w:val="00631B20"/>
    <w:rsid w:val="00634168"/>
    <w:rsid w:val="0064155F"/>
    <w:rsid w:val="00644034"/>
    <w:rsid w:val="0064697A"/>
    <w:rsid w:val="00646B2E"/>
    <w:rsid w:val="006517C0"/>
    <w:rsid w:val="00656828"/>
    <w:rsid w:val="00660065"/>
    <w:rsid w:val="0067000B"/>
    <w:rsid w:val="00670CA8"/>
    <w:rsid w:val="00671546"/>
    <w:rsid w:val="00691F9F"/>
    <w:rsid w:val="00693235"/>
    <w:rsid w:val="00694145"/>
    <w:rsid w:val="006B3432"/>
    <w:rsid w:val="006B4753"/>
    <w:rsid w:val="006C5C83"/>
    <w:rsid w:val="006D45F2"/>
    <w:rsid w:val="006D480A"/>
    <w:rsid w:val="006D6F58"/>
    <w:rsid w:val="006E1A55"/>
    <w:rsid w:val="006E6247"/>
    <w:rsid w:val="006E74A1"/>
    <w:rsid w:val="007041B0"/>
    <w:rsid w:val="00707FE3"/>
    <w:rsid w:val="00710229"/>
    <w:rsid w:val="00715847"/>
    <w:rsid w:val="00716200"/>
    <w:rsid w:val="007164A8"/>
    <w:rsid w:val="007239B3"/>
    <w:rsid w:val="00726741"/>
    <w:rsid w:val="00733750"/>
    <w:rsid w:val="00736924"/>
    <w:rsid w:val="00741477"/>
    <w:rsid w:val="00747346"/>
    <w:rsid w:val="00751286"/>
    <w:rsid w:val="00755B53"/>
    <w:rsid w:val="00762B2C"/>
    <w:rsid w:val="007648DA"/>
    <w:rsid w:val="007812E2"/>
    <w:rsid w:val="0078149B"/>
    <w:rsid w:val="007947FC"/>
    <w:rsid w:val="007954FF"/>
    <w:rsid w:val="007A371C"/>
    <w:rsid w:val="007B0D76"/>
    <w:rsid w:val="007B2FB0"/>
    <w:rsid w:val="007C754A"/>
    <w:rsid w:val="007F5026"/>
    <w:rsid w:val="00801787"/>
    <w:rsid w:val="00810C43"/>
    <w:rsid w:val="0083001D"/>
    <w:rsid w:val="00831581"/>
    <w:rsid w:val="00833953"/>
    <w:rsid w:val="0084378A"/>
    <w:rsid w:val="00846460"/>
    <w:rsid w:val="00857868"/>
    <w:rsid w:val="00857EE8"/>
    <w:rsid w:val="008735D8"/>
    <w:rsid w:val="00881218"/>
    <w:rsid w:val="008953AD"/>
    <w:rsid w:val="00895469"/>
    <w:rsid w:val="008A32A8"/>
    <w:rsid w:val="008B4762"/>
    <w:rsid w:val="008B5F7B"/>
    <w:rsid w:val="008C3CB4"/>
    <w:rsid w:val="008C54D7"/>
    <w:rsid w:val="008D2011"/>
    <w:rsid w:val="008E0138"/>
    <w:rsid w:val="008E621F"/>
    <w:rsid w:val="008F20A7"/>
    <w:rsid w:val="008F4BDF"/>
    <w:rsid w:val="0090290F"/>
    <w:rsid w:val="009073D2"/>
    <w:rsid w:val="009076C2"/>
    <w:rsid w:val="00934C71"/>
    <w:rsid w:val="009503F3"/>
    <w:rsid w:val="009570F3"/>
    <w:rsid w:val="00957A2A"/>
    <w:rsid w:val="0098613C"/>
    <w:rsid w:val="00990CF7"/>
    <w:rsid w:val="00996E6B"/>
    <w:rsid w:val="009A1466"/>
    <w:rsid w:val="009B3DC6"/>
    <w:rsid w:val="009C0F6C"/>
    <w:rsid w:val="009C4C75"/>
    <w:rsid w:val="009D1213"/>
    <w:rsid w:val="009D2EEC"/>
    <w:rsid w:val="009D63DB"/>
    <w:rsid w:val="009F6C18"/>
    <w:rsid w:val="00A02E73"/>
    <w:rsid w:val="00A04DD1"/>
    <w:rsid w:val="00A06EF0"/>
    <w:rsid w:val="00A12C66"/>
    <w:rsid w:val="00A133F0"/>
    <w:rsid w:val="00A15BD0"/>
    <w:rsid w:val="00A17E45"/>
    <w:rsid w:val="00A23BAC"/>
    <w:rsid w:val="00A3536D"/>
    <w:rsid w:val="00A35814"/>
    <w:rsid w:val="00A416FA"/>
    <w:rsid w:val="00A42195"/>
    <w:rsid w:val="00A50B0A"/>
    <w:rsid w:val="00A61A2E"/>
    <w:rsid w:val="00A61F88"/>
    <w:rsid w:val="00A653EF"/>
    <w:rsid w:val="00A65765"/>
    <w:rsid w:val="00A72CB7"/>
    <w:rsid w:val="00A737F5"/>
    <w:rsid w:val="00A75B08"/>
    <w:rsid w:val="00A85D8F"/>
    <w:rsid w:val="00A90E8B"/>
    <w:rsid w:val="00AB2BDB"/>
    <w:rsid w:val="00AB4D5F"/>
    <w:rsid w:val="00AC0D87"/>
    <w:rsid w:val="00AC50CF"/>
    <w:rsid w:val="00AD49E2"/>
    <w:rsid w:val="00AE2515"/>
    <w:rsid w:val="00AF59A1"/>
    <w:rsid w:val="00B01FEF"/>
    <w:rsid w:val="00B04DC9"/>
    <w:rsid w:val="00B06888"/>
    <w:rsid w:val="00B11B93"/>
    <w:rsid w:val="00B1207F"/>
    <w:rsid w:val="00B24EC2"/>
    <w:rsid w:val="00B33517"/>
    <w:rsid w:val="00B353FE"/>
    <w:rsid w:val="00B47F3F"/>
    <w:rsid w:val="00B512AA"/>
    <w:rsid w:val="00B602F8"/>
    <w:rsid w:val="00B75C37"/>
    <w:rsid w:val="00B80B61"/>
    <w:rsid w:val="00B8434C"/>
    <w:rsid w:val="00B85667"/>
    <w:rsid w:val="00B9118B"/>
    <w:rsid w:val="00B918C4"/>
    <w:rsid w:val="00B9429A"/>
    <w:rsid w:val="00BB22B4"/>
    <w:rsid w:val="00BB7A57"/>
    <w:rsid w:val="00BC2B92"/>
    <w:rsid w:val="00BC43BF"/>
    <w:rsid w:val="00BD0254"/>
    <w:rsid w:val="00BE72FF"/>
    <w:rsid w:val="00BE75CB"/>
    <w:rsid w:val="00C07DE8"/>
    <w:rsid w:val="00C15D3D"/>
    <w:rsid w:val="00C177B3"/>
    <w:rsid w:val="00C17ACB"/>
    <w:rsid w:val="00C20DE3"/>
    <w:rsid w:val="00C22D78"/>
    <w:rsid w:val="00C331E1"/>
    <w:rsid w:val="00C44E4C"/>
    <w:rsid w:val="00C522B8"/>
    <w:rsid w:val="00C54192"/>
    <w:rsid w:val="00C6279C"/>
    <w:rsid w:val="00C745C8"/>
    <w:rsid w:val="00C77554"/>
    <w:rsid w:val="00C81349"/>
    <w:rsid w:val="00C910FB"/>
    <w:rsid w:val="00C94626"/>
    <w:rsid w:val="00CA622C"/>
    <w:rsid w:val="00CB4DEE"/>
    <w:rsid w:val="00CB50F2"/>
    <w:rsid w:val="00CC14DA"/>
    <w:rsid w:val="00CC7F43"/>
    <w:rsid w:val="00CD5AC0"/>
    <w:rsid w:val="00CE173E"/>
    <w:rsid w:val="00CE1EF4"/>
    <w:rsid w:val="00CF552E"/>
    <w:rsid w:val="00CF604D"/>
    <w:rsid w:val="00D069DE"/>
    <w:rsid w:val="00D10AFA"/>
    <w:rsid w:val="00D17049"/>
    <w:rsid w:val="00D203D7"/>
    <w:rsid w:val="00D21731"/>
    <w:rsid w:val="00D26754"/>
    <w:rsid w:val="00D314BA"/>
    <w:rsid w:val="00D314C1"/>
    <w:rsid w:val="00D4259F"/>
    <w:rsid w:val="00D53A55"/>
    <w:rsid w:val="00D637DE"/>
    <w:rsid w:val="00D9187A"/>
    <w:rsid w:val="00D967F5"/>
    <w:rsid w:val="00DA549B"/>
    <w:rsid w:val="00DC661E"/>
    <w:rsid w:val="00DD19D0"/>
    <w:rsid w:val="00DD31C3"/>
    <w:rsid w:val="00DD3310"/>
    <w:rsid w:val="00DE32EE"/>
    <w:rsid w:val="00E006CD"/>
    <w:rsid w:val="00E036BE"/>
    <w:rsid w:val="00E04034"/>
    <w:rsid w:val="00E05803"/>
    <w:rsid w:val="00E0765B"/>
    <w:rsid w:val="00E10DEE"/>
    <w:rsid w:val="00E11745"/>
    <w:rsid w:val="00E16C69"/>
    <w:rsid w:val="00E3012B"/>
    <w:rsid w:val="00E311DB"/>
    <w:rsid w:val="00E50F47"/>
    <w:rsid w:val="00E51517"/>
    <w:rsid w:val="00E5447F"/>
    <w:rsid w:val="00E73D42"/>
    <w:rsid w:val="00E8070F"/>
    <w:rsid w:val="00E83B5B"/>
    <w:rsid w:val="00E97539"/>
    <w:rsid w:val="00EA140A"/>
    <w:rsid w:val="00EA3DF7"/>
    <w:rsid w:val="00EA43BB"/>
    <w:rsid w:val="00ED46F1"/>
    <w:rsid w:val="00EE344F"/>
    <w:rsid w:val="00F1145C"/>
    <w:rsid w:val="00F11738"/>
    <w:rsid w:val="00F13973"/>
    <w:rsid w:val="00F15899"/>
    <w:rsid w:val="00F16EAF"/>
    <w:rsid w:val="00F25219"/>
    <w:rsid w:val="00F25F51"/>
    <w:rsid w:val="00F31D99"/>
    <w:rsid w:val="00F34297"/>
    <w:rsid w:val="00F36F70"/>
    <w:rsid w:val="00F378E4"/>
    <w:rsid w:val="00F42BB3"/>
    <w:rsid w:val="00F47AA9"/>
    <w:rsid w:val="00F5168E"/>
    <w:rsid w:val="00F577A2"/>
    <w:rsid w:val="00F7664D"/>
    <w:rsid w:val="00F80B5D"/>
    <w:rsid w:val="00F84512"/>
    <w:rsid w:val="00FA6EB8"/>
    <w:rsid w:val="00FB0FCA"/>
    <w:rsid w:val="00FC02AE"/>
    <w:rsid w:val="00FD5278"/>
    <w:rsid w:val="00FE0453"/>
    <w:rsid w:val="00FF2664"/>
    <w:rsid w:val="00FF2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zh-CN"/>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color w:val="000000"/>
    </w:rPr>
  </w:style>
  <w:style w:type="character" w:customStyle="1" w:styleId="WW8Num2z0">
    <w:name w:val="WW8Num2z0"/>
    <w:rPr>
      <w:rFonts w:ascii="Wingdings" w:hAnsi="Wingdings" w:cs="Wingdings"/>
      <w:color w:val="000000"/>
    </w:rPr>
  </w:style>
  <w:style w:type="character" w:customStyle="1" w:styleId="WW8Num3z0">
    <w:name w:val="WW8Num3z0"/>
    <w:rPr>
      <w:rFonts w:cs="Times New Roman"/>
      <w:color w:val="000000"/>
    </w:rPr>
  </w:style>
  <w:style w:type="character" w:customStyle="1" w:styleId="WW8Num4z0">
    <w:name w:val="WW8Num4z0"/>
    <w:rPr>
      <w:rFonts w:ascii="Wingdings" w:hAnsi="Wingdings" w:cs="Wingdings"/>
      <w:color w:val="000000"/>
    </w:rPr>
  </w:style>
  <w:style w:type="character" w:customStyle="1" w:styleId="WW8Num5z0">
    <w:name w:val="WW8Num5z0"/>
    <w:rPr>
      <w:rFonts w:ascii="Wingdings" w:hAnsi="Wingdings" w:cs="Wingdings"/>
      <w:color w:val="000000"/>
    </w:rPr>
  </w:style>
  <w:style w:type="character" w:customStyle="1" w:styleId="WW8Num6z0">
    <w:name w:val="WW8Num6z0"/>
    <w:rPr>
      <w:rFonts w:ascii="Wingdings" w:hAnsi="Wingdings" w:cs="Wingdings"/>
      <w:color w:val="000000"/>
    </w:rPr>
  </w:style>
  <w:style w:type="character" w:customStyle="1" w:styleId="WW8Num7z0">
    <w:name w:val="WW8Num7z0"/>
    <w:rPr>
      <w:rFonts w:ascii="Wingdings" w:hAnsi="Wingdings" w:cs="Wingdings"/>
      <w:color w:val="000000"/>
    </w:rPr>
  </w:style>
  <w:style w:type="character" w:customStyle="1" w:styleId="WW8Num8z0">
    <w:name w:val="WW8Num8z0"/>
    <w:rPr>
      <w:rFonts w:cs="Times New Roman"/>
      <w:color w:val="000000"/>
    </w:rPr>
  </w:style>
  <w:style w:type="character" w:customStyle="1" w:styleId="WW8Num9z0">
    <w:name w:val="WW8Num9z0"/>
    <w:rPr>
      <w:rFonts w:ascii="Wingdings" w:hAnsi="Wingdings" w:cs="Wingdings"/>
      <w:color w:val="000000"/>
    </w:rPr>
  </w:style>
  <w:style w:type="character" w:customStyle="1" w:styleId="WW8Num10z0">
    <w:name w:val="WW8Num10z0"/>
    <w:rPr>
      <w:rFonts w:ascii="Wingdings" w:hAnsi="Wingdings" w:cs="Wingdings"/>
      <w:color w:val="000000"/>
    </w:rPr>
  </w:style>
  <w:style w:type="character" w:customStyle="1" w:styleId="WW8Num11z0">
    <w:name w:val="WW8Num11z0"/>
    <w:rPr>
      <w:rFonts w:ascii="Wingdings" w:hAnsi="Wingdings" w:cs="Wingdings"/>
      <w:color w:val="00000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color w:val="000000"/>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color w:val="00000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cs="Times New Roman"/>
      <w:color w:val="000000"/>
    </w:rPr>
  </w:style>
  <w:style w:type="character" w:customStyle="1" w:styleId="WW8Num18z0">
    <w:name w:val="WW8Num18z0"/>
    <w:rPr>
      <w:rFonts w:ascii="Wingdings" w:hAnsi="Wingdings" w:cs="Wingdings"/>
      <w:color w:val="000000"/>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color w:val="000000"/>
    </w:rPr>
  </w:style>
  <w:style w:type="character" w:customStyle="1" w:styleId="WW8Num21z0">
    <w:name w:val="WW8Num21z0"/>
    <w:rPr>
      <w:rFonts w:ascii="Wingdings" w:hAnsi="Wingdings" w:cs="Wingdings"/>
      <w:color w:val="000000"/>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Policepardfaut1">
    <w:name w:val="Police par défaut1"/>
  </w:style>
  <w:style w:type="character" w:customStyle="1" w:styleId="En-tteCar">
    <w:name w:val="En-tête Car"/>
    <w:uiPriority w:val="99"/>
    <w:rPr>
      <w:rFonts w:ascii="Times New Roman" w:hAnsi="Times New Roman" w:cs="Times New Roman"/>
      <w:sz w:val="24"/>
      <w:szCs w:val="24"/>
    </w:rPr>
  </w:style>
  <w:style w:type="character" w:customStyle="1" w:styleId="PieddepageCar">
    <w:name w:val="Pied de page Car"/>
    <w:uiPriority w:val="99"/>
    <w:rPr>
      <w:rFonts w:ascii="Times New Roman" w:hAnsi="Times New Roman" w:cs="Times New Roman"/>
      <w:sz w:val="24"/>
      <w:szCs w:val="24"/>
    </w:rPr>
  </w:style>
  <w:style w:type="character" w:customStyle="1" w:styleId="TextedebullesCar">
    <w:name w:val="Texte de bulles Car"/>
    <w:rPr>
      <w:rFonts w:ascii="Tahoma" w:hAnsi="Tahoma" w:cs="Tahoma"/>
      <w:sz w:val="16"/>
      <w:szCs w:val="16"/>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7812E2"/>
    <w:pPr>
      <w:ind w:left="708"/>
    </w:pPr>
  </w:style>
  <w:style w:type="table" w:styleId="Grilledutableau">
    <w:name w:val="Table Grid"/>
    <w:basedOn w:val="TableauNormal"/>
    <w:uiPriority w:val="59"/>
    <w:rsid w:val="0069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2B92"/>
    <w:pPr>
      <w:widowControl/>
      <w:suppressAutoHyphens w:val="0"/>
      <w:autoSpaceDE/>
      <w:spacing w:before="100" w:beforeAutospacing="1" w:after="100" w:afterAutospacing="1"/>
    </w:pPr>
    <w:rPr>
      <w:lang w:eastAsia="fr-FR"/>
    </w:rPr>
  </w:style>
  <w:style w:type="character" w:styleId="Lienhypertexte">
    <w:name w:val="Hyperlink"/>
    <w:uiPriority w:val="99"/>
    <w:semiHidden/>
    <w:unhideWhenUsed/>
    <w:rsid w:val="00BC2B92"/>
    <w:rPr>
      <w:color w:val="0000FF"/>
      <w:u w:val="single"/>
    </w:rPr>
  </w:style>
  <w:style w:type="character" w:customStyle="1" w:styleId="cthl">
    <w:name w:val="ct_hl"/>
    <w:rsid w:val="00BC2B92"/>
  </w:style>
  <w:style w:type="character" w:customStyle="1" w:styleId="ctreference">
    <w:name w:val="ct_reference"/>
    <w:rsid w:val="00BC2B92"/>
  </w:style>
  <w:style w:type="paragraph" w:styleId="Sansinterligne">
    <w:name w:val="No Spacing"/>
    <w:uiPriority w:val="1"/>
    <w:qFormat/>
    <w:rsid w:val="00071413"/>
    <w:rPr>
      <w:rFonts w:ascii="Calibri" w:eastAsia="Calibri" w:hAnsi="Calibri"/>
      <w:sz w:val="22"/>
      <w:szCs w:val="22"/>
      <w:lang w:eastAsia="en-US"/>
    </w:rPr>
  </w:style>
  <w:style w:type="character" w:styleId="Numrodepage">
    <w:name w:val="page number"/>
    <w:uiPriority w:val="99"/>
    <w:rsid w:val="000D771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zh-CN"/>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color w:val="000000"/>
    </w:rPr>
  </w:style>
  <w:style w:type="character" w:customStyle="1" w:styleId="WW8Num2z0">
    <w:name w:val="WW8Num2z0"/>
    <w:rPr>
      <w:rFonts w:ascii="Wingdings" w:hAnsi="Wingdings" w:cs="Wingdings"/>
      <w:color w:val="000000"/>
    </w:rPr>
  </w:style>
  <w:style w:type="character" w:customStyle="1" w:styleId="WW8Num3z0">
    <w:name w:val="WW8Num3z0"/>
    <w:rPr>
      <w:rFonts w:cs="Times New Roman"/>
      <w:color w:val="000000"/>
    </w:rPr>
  </w:style>
  <w:style w:type="character" w:customStyle="1" w:styleId="WW8Num4z0">
    <w:name w:val="WW8Num4z0"/>
    <w:rPr>
      <w:rFonts w:ascii="Wingdings" w:hAnsi="Wingdings" w:cs="Wingdings"/>
      <w:color w:val="000000"/>
    </w:rPr>
  </w:style>
  <w:style w:type="character" w:customStyle="1" w:styleId="WW8Num5z0">
    <w:name w:val="WW8Num5z0"/>
    <w:rPr>
      <w:rFonts w:ascii="Wingdings" w:hAnsi="Wingdings" w:cs="Wingdings"/>
      <w:color w:val="000000"/>
    </w:rPr>
  </w:style>
  <w:style w:type="character" w:customStyle="1" w:styleId="WW8Num6z0">
    <w:name w:val="WW8Num6z0"/>
    <w:rPr>
      <w:rFonts w:ascii="Wingdings" w:hAnsi="Wingdings" w:cs="Wingdings"/>
      <w:color w:val="000000"/>
    </w:rPr>
  </w:style>
  <w:style w:type="character" w:customStyle="1" w:styleId="WW8Num7z0">
    <w:name w:val="WW8Num7z0"/>
    <w:rPr>
      <w:rFonts w:ascii="Wingdings" w:hAnsi="Wingdings" w:cs="Wingdings"/>
      <w:color w:val="000000"/>
    </w:rPr>
  </w:style>
  <w:style w:type="character" w:customStyle="1" w:styleId="WW8Num8z0">
    <w:name w:val="WW8Num8z0"/>
    <w:rPr>
      <w:rFonts w:cs="Times New Roman"/>
      <w:color w:val="000000"/>
    </w:rPr>
  </w:style>
  <w:style w:type="character" w:customStyle="1" w:styleId="WW8Num9z0">
    <w:name w:val="WW8Num9z0"/>
    <w:rPr>
      <w:rFonts w:ascii="Wingdings" w:hAnsi="Wingdings" w:cs="Wingdings"/>
      <w:color w:val="000000"/>
    </w:rPr>
  </w:style>
  <w:style w:type="character" w:customStyle="1" w:styleId="WW8Num10z0">
    <w:name w:val="WW8Num10z0"/>
    <w:rPr>
      <w:rFonts w:ascii="Wingdings" w:hAnsi="Wingdings" w:cs="Wingdings"/>
      <w:color w:val="000000"/>
    </w:rPr>
  </w:style>
  <w:style w:type="character" w:customStyle="1" w:styleId="WW8Num11z0">
    <w:name w:val="WW8Num11z0"/>
    <w:rPr>
      <w:rFonts w:ascii="Wingdings" w:hAnsi="Wingdings" w:cs="Wingdings"/>
      <w:color w:val="00000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color w:val="000000"/>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color w:val="00000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cs="Times New Roman"/>
      <w:color w:val="000000"/>
    </w:rPr>
  </w:style>
  <w:style w:type="character" w:customStyle="1" w:styleId="WW8Num18z0">
    <w:name w:val="WW8Num18z0"/>
    <w:rPr>
      <w:rFonts w:ascii="Wingdings" w:hAnsi="Wingdings" w:cs="Wingdings"/>
      <w:color w:val="000000"/>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color w:val="000000"/>
    </w:rPr>
  </w:style>
  <w:style w:type="character" w:customStyle="1" w:styleId="WW8Num21z0">
    <w:name w:val="WW8Num21z0"/>
    <w:rPr>
      <w:rFonts w:ascii="Wingdings" w:hAnsi="Wingdings" w:cs="Wingdings"/>
      <w:color w:val="000000"/>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Policepardfaut1">
    <w:name w:val="Police par défaut1"/>
  </w:style>
  <w:style w:type="character" w:customStyle="1" w:styleId="En-tteCar">
    <w:name w:val="En-tête Car"/>
    <w:uiPriority w:val="99"/>
    <w:rPr>
      <w:rFonts w:ascii="Times New Roman" w:hAnsi="Times New Roman" w:cs="Times New Roman"/>
      <w:sz w:val="24"/>
      <w:szCs w:val="24"/>
    </w:rPr>
  </w:style>
  <w:style w:type="character" w:customStyle="1" w:styleId="PieddepageCar">
    <w:name w:val="Pied de page Car"/>
    <w:uiPriority w:val="99"/>
    <w:rPr>
      <w:rFonts w:ascii="Times New Roman" w:hAnsi="Times New Roman" w:cs="Times New Roman"/>
      <w:sz w:val="24"/>
      <w:szCs w:val="24"/>
    </w:rPr>
  </w:style>
  <w:style w:type="character" w:customStyle="1" w:styleId="TextedebullesCar">
    <w:name w:val="Texte de bulles Car"/>
    <w:rPr>
      <w:rFonts w:ascii="Tahoma" w:hAnsi="Tahoma" w:cs="Tahoma"/>
      <w:sz w:val="16"/>
      <w:szCs w:val="16"/>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7812E2"/>
    <w:pPr>
      <w:ind w:left="708"/>
    </w:pPr>
  </w:style>
  <w:style w:type="table" w:styleId="Grilledutableau">
    <w:name w:val="Table Grid"/>
    <w:basedOn w:val="TableauNormal"/>
    <w:uiPriority w:val="59"/>
    <w:rsid w:val="0069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2B92"/>
    <w:pPr>
      <w:widowControl/>
      <w:suppressAutoHyphens w:val="0"/>
      <w:autoSpaceDE/>
      <w:spacing w:before="100" w:beforeAutospacing="1" w:after="100" w:afterAutospacing="1"/>
    </w:pPr>
    <w:rPr>
      <w:lang w:eastAsia="fr-FR"/>
    </w:rPr>
  </w:style>
  <w:style w:type="character" w:styleId="Lienhypertexte">
    <w:name w:val="Hyperlink"/>
    <w:uiPriority w:val="99"/>
    <w:semiHidden/>
    <w:unhideWhenUsed/>
    <w:rsid w:val="00BC2B92"/>
    <w:rPr>
      <w:color w:val="0000FF"/>
      <w:u w:val="single"/>
    </w:rPr>
  </w:style>
  <w:style w:type="character" w:customStyle="1" w:styleId="cthl">
    <w:name w:val="ct_hl"/>
    <w:rsid w:val="00BC2B92"/>
  </w:style>
  <w:style w:type="character" w:customStyle="1" w:styleId="ctreference">
    <w:name w:val="ct_reference"/>
    <w:rsid w:val="00BC2B92"/>
  </w:style>
  <w:style w:type="paragraph" w:styleId="Sansinterligne">
    <w:name w:val="No Spacing"/>
    <w:uiPriority w:val="1"/>
    <w:qFormat/>
    <w:rsid w:val="00071413"/>
    <w:rPr>
      <w:rFonts w:ascii="Calibri" w:eastAsia="Calibri" w:hAnsi="Calibri"/>
      <w:sz w:val="22"/>
      <w:szCs w:val="22"/>
      <w:lang w:eastAsia="en-US"/>
    </w:rPr>
  </w:style>
  <w:style w:type="character" w:styleId="Numrodepage">
    <w:name w:val="page number"/>
    <w:uiPriority w:val="99"/>
    <w:rsid w:val="000D77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196">
      <w:bodyDiv w:val="1"/>
      <w:marLeft w:val="0"/>
      <w:marRight w:val="0"/>
      <w:marTop w:val="0"/>
      <w:marBottom w:val="0"/>
      <w:divBdr>
        <w:top w:val="none" w:sz="0" w:space="0" w:color="auto"/>
        <w:left w:val="none" w:sz="0" w:space="0" w:color="auto"/>
        <w:bottom w:val="none" w:sz="0" w:space="0" w:color="auto"/>
        <w:right w:val="none" w:sz="0" w:space="0" w:color="auto"/>
      </w:divBdr>
    </w:div>
    <w:div w:id="54010208">
      <w:bodyDiv w:val="1"/>
      <w:marLeft w:val="0"/>
      <w:marRight w:val="0"/>
      <w:marTop w:val="0"/>
      <w:marBottom w:val="0"/>
      <w:divBdr>
        <w:top w:val="none" w:sz="0" w:space="0" w:color="auto"/>
        <w:left w:val="none" w:sz="0" w:space="0" w:color="auto"/>
        <w:bottom w:val="none" w:sz="0" w:space="0" w:color="auto"/>
        <w:right w:val="none" w:sz="0" w:space="0" w:color="auto"/>
      </w:divBdr>
    </w:div>
    <w:div w:id="153692365">
      <w:bodyDiv w:val="1"/>
      <w:marLeft w:val="0"/>
      <w:marRight w:val="0"/>
      <w:marTop w:val="0"/>
      <w:marBottom w:val="0"/>
      <w:divBdr>
        <w:top w:val="none" w:sz="0" w:space="0" w:color="auto"/>
        <w:left w:val="none" w:sz="0" w:space="0" w:color="auto"/>
        <w:bottom w:val="none" w:sz="0" w:space="0" w:color="auto"/>
        <w:right w:val="none" w:sz="0" w:space="0" w:color="auto"/>
      </w:divBdr>
    </w:div>
    <w:div w:id="181359046">
      <w:bodyDiv w:val="1"/>
      <w:marLeft w:val="0"/>
      <w:marRight w:val="0"/>
      <w:marTop w:val="0"/>
      <w:marBottom w:val="0"/>
      <w:divBdr>
        <w:top w:val="none" w:sz="0" w:space="0" w:color="auto"/>
        <w:left w:val="none" w:sz="0" w:space="0" w:color="auto"/>
        <w:bottom w:val="none" w:sz="0" w:space="0" w:color="auto"/>
        <w:right w:val="none" w:sz="0" w:space="0" w:color="auto"/>
      </w:divBdr>
      <w:divsChild>
        <w:div w:id="121535620">
          <w:marLeft w:val="0"/>
          <w:marRight w:val="0"/>
          <w:marTop w:val="0"/>
          <w:marBottom w:val="0"/>
          <w:divBdr>
            <w:top w:val="none" w:sz="0" w:space="0" w:color="auto"/>
            <w:left w:val="none" w:sz="0" w:space="0" w:color="auto"/>
            <w:bottom w:val="none" w:sz="0" w:space="0" w:color="auto"/>
            <w:right w:val="none" w:sz="0" w:space="0" w:color="auto"/>
          </w:divBdr>
          <w:divsChild>
            <w:div w:id="35890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58359">
          <w:marLeft w:val="0"/>
          <w:marRight w:val="0"/>
          <w:marTop w:val="0"/>
          <w:marBottom w:val="0"/>
          <w:divBdr>
            <w:top w:val="none" w:sz="0" w:space="0" w:color="auto"/>
            <w:left w:val="none" w:sz="0" w:space="0" w:color="auto"/>
            <w:bottom w:val="none" w:sz="0" w:space="0" w:color="auto"/>
            <w:right w:val="none" w:sz="0" w:space="0" w:color="auto"/>
          </w:divBdr>
        </w:div>
        <w:div w:id="319428927">
          <w:marLeft w:val="0"/>
          <w:marRight w:val="0"/>
          <w:marTop w:val="0"/>
          <w:marBottom w:val="0"/>
          <w:divBdr>
            <w:top w:val="none" w:sz="0" w:space="0" w:color="auto"/>
            <w:left w:val="none" w:sz="0" w:space="0" w:color="auto"/>
            <w:bottom w:val="none" w:sz="0" w:space="0" w:color="auto"/>
            <w:right w:val="none" w:sz="0" w:space="0" w:color="auto"/>
          </w:divBdr>
        </w:div>
        <w:div w:id="435911519">
          <w:marLeft w:val="0"/>
          <w:marRight w:val="0"/>
          <w:marTop w:val="0"/>
          <w:marBottom w:val="0"/>
          <w:divBdr>
            <w:top w:val="none" w:sz="0" w:space="0" w:color="auto"/>
            <w:left w:val="none" w:sz="0" w:space="0" w:color="auto"/>
            <w:bottom w:val="none" w:sz="0" w:space="0" w:color="auto"/>
            <w:right w:val="none" w:sz="0" w:space="0" w:color="auto"/>
          </w:divBdr>
        </w:div>
        <w:div w:id="908346722">
          <w:marLeft w:val="0"/>
          <w:marRight w:val="0"/>
          <w:marTop w:val="0"/>
          <w:marBottom w:val="0"/>
          <w:divBdr>
            <w:top w:val="none" w:sz="0" w:space="0" w:color="auto"/>
            <w:left w:val="none" w:sz="0" w:space="0" w:color="auto"/>
            <w:bottom w:val="none" w:sz="0" w:space="0" w:color="auto"/>
            <w:right w:val="none" w:sz="0" w:space="0" w:color="auto"/>
          </w:divBdr>
        </w:div>
        <w:div w:id="1065759862">
          <w:marLeft w:val="0"/>
          <w:marRight w:val="0"/>
          <w:marTop w:val="0"/>
          <w:marBottom w:val="0"/>
          <w:divBdr>
            <w:top w:val="none" w:sz="0" w:space="0" w:color="auto"/>
            <w:left w:val="none" w:sz="0" w:space="0" w:color="auto"/>
            <w:bottom w:val="none" w:sz="0" w:space="0" w:color="auto"/>
            <w:right w:val="none" w:sz="0" w:space="0" w:color="auto"/>
          </w:divBdr>
        </w:div>
        <w:div w:id="1538665702">
          <w:marLeft w:val="0"/>
          <w:marRight w:val="0"/>
          <w:marTop w:val="0"/>
          <w:marBottom w:val="0"/>
          <w:divBdr>
            <w:top w:val="none" w:sz="0" w:space="0" w:color="auto"/>
            <w:left w:val="none" w:sz="0" w:space="0" w:color="auto"/>
            <w:bottom w:val="none" w:sz="0" w:space="0" w:color="auto"/>
            <w:right w:val="none" w:sz="0" w:space="0" w:color="auto"/>
          </w:divBdr>
        </w:div>
        <w:div w:id="1614437153">
          <w:marLeft w:val="0"/>
          <w:marRight w:val="0"/>
          <w:marTop w:val="0"/>
          <w:marBottom w:val="0"/>
          <w:divBdr>
            <w:top w:val="none" w:sz="0" w:space="0" w:color="auto"/>
            <w:left w:val="none" w:sz="0" w:space="0" w:color="auto"/>
            <w:bottom w:val="none" w:sz="0" w:space="0" w:color="auto"/>
            <w:right w:val="none" w:sz="0" w:space="0" w:color="auto"/>
          </w:divBdr>
        </w:div>
      </w:divsChild>
    </w:div>
    <w:div w:id="395663709">
      <w:bodyDiv w:val="1"/>
      <w:marLeft w:val="0"/>
      <w:marRight w:val="0"/>
      <w:marTop w:val="0"/>
      <w:marBottom w:val="0"/>
      <w:divBdr>
        <w:top w:val="none" w:sz="0" w:space="0" w:color="auto"/>
        <w:left w:val="none" w:sz="0" w:space="0" w:color="auto"/>
        <w:bottom w:val="none" w:sz="0" w:space="0" w:color="auto"/>
        <w:right w:val="none" w:sz="0" w:space="0" w:color="auto"/>
      </w:divBdr>
    </w:div>
    <w:div w:id="424812471">
      <w:bodyDiv w:val="1"/>
      <w:marLeft w:val="0"/>
      <w:marRight w:val="0"/>
      <w:marTop w:val="0"/>
      <w:marBottom w:val="0"/>
      <w:divBdr>
        <w:top w:val="none" w:sz="0" w:space="0" w:color="auto"/>
        <w:left w:val="none" w:sz="0" w:space="0" w:color="auto"/>
        <w:bottom w:val="none" w:sz="0" w:space="0" w:color="auto"/>
        <w:right w:val="none" w:sz="0" w:space="0" w:color="auto"/>
      </w:divBdr>
    </w:div>
    <w:div w:id="915362534">
      <w:bodyDiv w:val="1"/>
      <w:marLeft w:val="0"/>
      <w:marRight w:val="0"/>
      <w:marTop w:val="0"/>
      <w:marBottom w:val="0"/>
      <w:divBdr>
        <w:top w:val="none" w:sz="0" w:space="0" w:color="auto"/>
        <w:left w:val="none" w:sz="0" w:space="0" w:color="auto"/>
        <w:bottom w:val="none" w:sz="0" w:space="0" w:color="auto"/>
        <w:right w:val="none" w:sz="0" w:space="0" w:color="auto"/>
      </w:divBdr>
      <w:divsChild>
        <w:div w:id="1159729793">
          <w:marLeft w:val="0"/>
          <w:marRight w:val="0"/>
          <w:marTop w:val="0"/>
          <w:marBottom w:val="0"/>
          <w:divBdr>
            <w:top w:val="none" w:sz="0" w:space="0" w:color="auto"/>
            <w:left w:val="none" w:sz="0" w:space="0" w:color="auto"/>
            <w:bottom w:val="none" w:sz="0" w:space="0" w:color="auto"/>
            <w:right w:val="none" w:sz="0" w:space="0" w:color="auto"/>
          </w:divBdr>
        </w:div>
        <w:div w:id="1832477992">
          <w:marLeft w:val="0"/>
          <w:marRight w:val="0"/>
          <w:marTop w:val="0"/>
          <w:marBottom w:val="0"/>
          <w:divBdr>
            <w:top w:val="none" w:sz="0" w:space="0" w:color="auto"/>
            <w:left w:val="none" w:sz="0" w:space="0" w:color="auto"/>
            <w:bottom w:val="none" w:sz="0" w:space="0" w:color="auto"/>
            <w:right w:val="none" w:sz="0" w:space="0" w:color="auto"/>
          </w:divBdr>
        </w:div>
        <w:div w:id="2123377355">
          <w:marLeft w:val="0"/>
          <w:marRight w:val="0"/>
          <w:marTop w:val="0"/>
          <w:marBottom w:val="0"/>
          <w:divBdr>
            <w:top w:val="none" w:sz="0" w:space="0" w:color="auto"/>
            <w:left w:val="none" w:sz="0" w:space="0" w:color="auto"/>
            <w:bottom w:val="none" w:sz="0" w:space="0" w:color="auto"/>
            <w:right w:val="none" w:sz="0" w:space="0" w:color="auto"/>
          </w:divBdr>
        </w:div>
      </w:divsChild>
    </w:div>
    <w:div w:id="10562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2583</Words>
  <Characters>14209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16759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2014-04-05T09:05:00Z</cp:lastPrinted>
  <dcterms:created xsi:type="dcterms:W3CDTF">2014-04-05T09:05:00Z</dcterms:created>
  <dcterms:modified xsi:type="dcterms:W3CDTF">2014-04-05T09:05:00Z</dcterms:modified>
</cp:coreProperties>
</file>