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55" w:rsidRPr="00171C3B" w:rsidRDefault="00F71E55" w:rsidP="00F71E55">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t>UE11</w:t>
      </w:r>
      <w:r w:rsidRPr="00171C3B">
        <w:rPr>
          <w:rFonts w:eastAsia="Times New Roman"/>
          <w:b/>
          <w:bCs/>
          <w:noProof/>
          <w:sz w:val="22"/>
          <w:szCs w:val="22"/>
        </w:rPr>
        <w:t xml:space="preserve"> </w:t>
      </w:r>
      <w:r>
        <w:rPr>
          <w:rFonts w:eastAsia="Times New Roman"/>
          <w:b/>
          <w:bCs/>
          <w:noProof/>
          <w:sz w:val="22"/>
          <w:szCs w:val="22"/>
        </w:rPr>
        <w:t>Contrôle de gestion</w:t>
      </w:r>
      <w:r w:rsidRPr="00171C3B">
        <w:rPr>
          <w:rFonts w:eastAsia="Times New Roman"/>
          <w:b/>
          <w:bCs/>
          <w:noProof/>
          <w:sz w:val="22"/>
          <w:szCs w:val="22"/>
        </w:rPr>
        <w:tab/>
      </w:r>
      <w:r w:rsidRPr="00171C3B">
        <w:rPr>
          <w:rFonts w:eastAsia="Times New Roman"/>
          <w:b/>
          <w:bCs/>
          <w:noProof/>
          <w:sz w:val="22"/>
          <w:szCs w:val="22"/>
        </w:rPr>
        <w:tab/>
        <w:t>Corrigé indicatif</w:t>
      </w:r>
    </w:p>
    <w:p w:rsidR="00F71E55" w:rsidRDefault="00F71E55" w:rsidP="00F71E55">
      <w:pPr>
        <w:jc w:val="center"/>
        <w:rPr>
          <w:b/>
          <w:bCs/>
          <w:sz w:val="28"/>
          <w:szCs w:val="28"/>
        </w:rPr>
      </w:pPr>
    </w:p>
    <w:p w:rsidR="00F71E55" w:rsidRDefault="00F71E55" w:rsidP="00F71E55">
      <w:pPr>
        <w:jc w:val="center"/>
        <w:rPr>
          <w:b/>
          <w:bCs/>
          <w:sz w:val="28"/>
          <w:szCs w:val="28"/>
        </w:rPr>
      </w:pPr>
    </w:p>
    <w:p w:rsidR="00F71E55" w:rsidRDefault="00F71E55" w:rsidP="00F71E5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F71E55">
        <w:rPr>
          <w:b/>
          <w:bCs/>
          <w:sz w:val="28"/>
          <w:szCs w:val="28"/>
        </w:rPr>
        <w:t>DOSSIER 1 - OPPORTUNITÉ D’UNE OPÉRATION</w:t>
      </w:r>
      <w:r>
        <w:rPr>
          <w:b/>
          <w:bCs/>
          <w:sz w:val="28"/>
          <w:szCs w:val="28"/>
        </w:rPr>
        <w:t xml:space="preserve"> </w:t>
      </w:r>
      <w:r w:rsidRPr="00F71E55">
        <w:rPr>
          <w:b/>
          <w:bCs/>
          <w:sz w:val="28"/>
          <w:szCs w:val="28"/>
        </w:rPr>
        <w:t>PROMOTIONNELLE</w:t>
      </w:r>
    </w:p>
    <w:p w:rsidR="00F71E55" w:rsidRPr="00F71E55" w:rsidRDefault="00F71E55" w:rsidP="00F71E55">
      <w:pPr>
        <w:jc w:val="center"/>
        <w:rPr>
          <w:b/>
          <w:bCs/>
          <w:sz w:val="28"/>
          <w:szCs w:val="28"/>
        </w:rPr>
      </w:pPr>
    </w:p>
    <w:p w:rsidR="00F71E55" w:rsidRPr="00F71E55" w:rsidRDefault="00F71E55" w:rsidP="00F71E55">
      <w:pPr>
        <w:ind w:right="72"/>
        <w:jc w:val="both"/>
        <w:rPr>
          <w:b/>
          <w:bCs/>
        </w:rPr>
      </w:pPr>
      <w:r w:rsidRPr="00F71E55">
        <w:rPr>
          <w:b/>
          <w:bCs/>
        </w:rPr>
        <w:t>1. À partir de l’annexe 1, déterminer le levier opérationnel, le seuil de rentabilité et l’indice de sécurité. Après avoir rappelé la signification de ces indicateurs, commenter les résultats obtenus.</w:t>
      </w:r>
    </w:p>
    <w:p w:rsidR="00F71E55" w:rsidRPr="00F71E55" w:rsidRDefault="00F71E55" w:rsidP="00F71E55">
      <w:pPr>
        <w:jc w:val="both"/>
      </w:pPr>
    </w:p>
    <w:p w:rsidR="00F71E55" w:rsidRPr="00F71E55" w:rsidRDefault="00F71E55" w:rsidP="00F71E55">
      <w:pPr>
        <w:ind w:right="72"/>
        <w:jc w:val="both"/>
      </w:pPr>
      <w:r w:rsidRPr="00F71E55">
        <w:rPr>
          <w:u w:val="single"/>
        </w:rPr>
        <w:t>Signification des indicateurs</w:t>
      </w:r>
      <w:r w:rsidRPr="00F71E55">
        <w:t xml:space="preserve"> (des « formules » de calcul ne seront pas admises comme éléments de réponse)</w:t>
      </w:r>
    </w:p>
    <w:p w:rsidR="00F71E55" w:rsidRPr="00F71E55" w:rsidRDefault="00F71E55" w:rsidP="00F71E55">
      <w:pPr>
        <w:jc w:val="both"/>
      </w:pPr>
    </w:p>
    <w:p w:rsidR="00F71E55" w:rsidRPr="00F71E55" w:rsidRDefault="00F71E55" w:rsidP="00F71E55">
      <w:pPr>
        <w:ind w:right="72"/>
        <w:jc w:val="both"/>
      </w:pPr>
      <w:r w:rsidRPr="00F71E55">
        <w:t>Le levier opérationnel, appelé également levier d’exploitation ou levier économique, mesure l’incidence d’une variation du chiffre d’affaires sur le résultat. Il s’agit de l’élasticité du résultat par rapport au chiffre d’affaires.</w:t>
      </w:r>
    </w:p>
    <w:p w:rsidR="00F71E55" w:rsidRPr="00F71E55" w:rsidRDefault="00F71E55" w:rsidP="00F71E55">
      <w:pPr>
        <w:jc w:val="both"/>
      </w:pPr>
    </w:p>
    <w:p w:rsidR="00F71E55" w:rsidRPr="00F71E55" w:rsidRDefault="00F71E55" w:rsidP="00F71E55">
      <w:pPr>
        <w:ind w:right="72"/>
        <w:jc w:val="both"/>
      </w:pPr>
      <w:r w:rsidRPr="00F71E55">
        <w:t>Le seuil de rentabilité (ou chiffre d’affaires critique) correspond au chiffre d’affaires à partir duquel le résultat devient positif.</w:t>
      </w:r>
    </w:p>
    <w:p w:rsidR="00F71E55" w:rsidRPr="00F71E55" w:rsidRDefault="00F71E55" w:rsidP="00F71E55">
      <w:pPr>
        <w:jc w:val="both"/>
      </w:pPr>
    </w:p>
    <w:p w:rsidR="00F71E55" w:rsidRPr="00F71E55" w:rsidRDefault="00F71E55" w:rsidP="00F71E55">
      <w:pPr>
        <w:ind w:right="72"/>
        <w:jc w:val="both"/>
      </w:pPr>
      <w:r w:rsidRPr="00F71E55">
        <w:t>L’indice de sécurité (ou marge de sécurité relative) indique la baisse relative (c’est-à-dire le pourcentage de baisse) possible du chiffre d’affaires avant d’être en perte.</w:t>
      </w:r>
    </w:p>
    <w:p w:rsidR="00F71E55" w:rsidRPr="00F71E55" w:rsidRDefault="00F71E55" w:rsidP="00F71E55">
      <w:pPr>
        <w:jc w:val="both"/>
      </w:pPr>
    </w:p>
    <w:p w:rsidR="00F71E55" w:rsidRPr="00F71E55" w:rsidRDefault="00F71E55" w:rsidP="00F71E55">
      <w:pPr>
        <w:jc w:val="both"/>
      </w:pPr>
      <w:r w:rsidRPr="00F71E55">
        <w:rPr>
          <w:u w:val="single"/>
        </w:rPr>
        <w:t>Calcul des indicateurs</w:t>
      </w:r>
    </w:p>
    <w:p w:rsidR="00F71E55" w:rsidRPr="00F71E55" w:rsidRDefault="00F71E55" w:rsidP="00F71E55">
      <w:pPr>
        <w:jc w:val="both"/>
      </w:pPr>
    </w:p>
    <w:p w:rsidR="00F71E55" w:rsidRPr="00F71E55" w:rsidRDefault="00F71E55" w:rsidP="00F71E55">
      <w:pPr>
        <w:jc w:val="both"/>
      </w:pPr>
      <w:r w:rsidRPr="00F71E55">
        <w:t>SR en volume = 2 880 000 / (30 - 9) = 2 880 000 / 21 = 137 143 entrées</w:t>
      </w:r>
    </w:p>
    <w:p w:rsidR="00F71E55" w:rsidRPr="00F71E55" w:rsidRDefault="00F71E55" w:rsidP="00F71E55">
      <w:pPr>
        <w:jc w:val="both"/>
      </w:pPr>
    </w:p>
    <w:p w:rsidR="00F71E55" w:rsidRPr="00F71E55" w:rsidRDefault="00F71E55" w:rsidP="00F71E55">
      <w:pPr>
        <w:ind w:left="3528" w:right="2448" w:hanging="3528"/>
        <w:jc w:val="both"/>
      </w:pPr>
      <w:r w:rsidRPr="00F71E55">
        <w:t>Indice de sécurité = (CA – SR) / CA = (150 000 – 137 143) / 150 000 = 12 857 / 150 000 = 8,57 %</w:t>
      </w:r>
    </w:p>
    <w:p w:rsidR="00F71E55" w:rsidRPr="00F71E55" w:rsidRDefault="00F71E55" w:rsidP="00F71E55">
      <w:pPr>
        <w:jc w:val="both"/>
      </w:pPr>
    </w:p>
    <w:p w:rsidR="00F71E55" w:rsidRPr="00F71E55" w:rsidRDefault="00F71E55" w:rsidP="00F71E55">
      <w:pPr>
        <w:ind w:right="72"/>
        <w:jc w:val="both"/>
      </w:pPr>
      <w:r w:rsidRPr="00F71E55">
        <w:t>Si les conditions d’exploitation sont stables, le levier opérationnel peut être calculé par le rapport entre la marge sur coûts variables (MCV) et le résultat ou par l’inverse de l’indice de sécurité (une seule approche est attendue) :</w:t>
      </w:r>
    </w:p>
    <w:p w:rsidR="00F71E55" w:rsidRPr="00F71E55" w:rsidRDefault="00F71E55" w:rsidP="00F71E55">
      <w:pPr>
        <w:jc w:val="both"/>
      </w:pPr>
      <w:r w:rsidRPr="00F71E55">
        <w:t>MCV = 150 000 * (30 - 9) = 3150 000</w:t>
      </w:r>
    </w:p>
    <w:p w:rsidR="00F71E55" w:rsidRPr="00F71E55" w:rsidRDefault="00F71E55" w:rsidP="00F71E55">
      <w:pPr>
        <w:jc w:val="both"/>
      </w:pPr>
      <w:r w:rsidRPr="00F71E55">
        <w:t>Résultat = MCV – CF = 3150 000 - 2 880 000 = 270 000</w:t>
      </w:r>
    </w:p>
    <w:p w:rsidR="00F71E55" w:rsidRPr="00F71E55" w:rsidRDefault="00F71E55" w:rsidP="00F71E55">
      <w:pPr>
        <w:jc w:val="both"/>
      </w:pPr>
      <w:r w:rsidRPr="00F71E55">
        <w:t>Levier = 3 150 000 / 270 000 = 11,66</w:t>
      </w:r>
    </w:p>
    <w:p w:rsidR="00F71E55" w:rsidRPr="00F71E55" w:rsidRDefault="00F71E55" w:rsidP="00F71E55">
      <w:pPr>
        <w:tabs>
          <w:tab w:val="left" w:pos="792"/>
        </w:tabs>
        <w:jc w:val="both"/>
      </w:pPr>
      <w:r w:rsidRPr="00F71E55">
        <w:t>Ou</w:t>
      </w:r>
      <w:r w:rsidRPr="00F71E55">
        <w:tab/>
        <w:t>= 1 / 0,0857 = 11,66</w:t>
      </w:r>
    </w:p>
    <w:p w:rsidR="00F71E55" w:rsidRPr="00F71E55" w:rsidRDefault="00F71E55" w:rsidP="00F71E55">
      <w:pPr>
        <w:jc w:val="both"/>
      </w:pPr>
    </w:p>
    <w:p w:rsidR="00F71E55" w:rsidRPr="00F71E55" w:rsidRDefault="00F71E55" w:rsidP="00F71E55">
      <w:pPr>
        <w:jc w:val="both"/>
      </w:pPr>
      <w:r w:rsidRPr="00F71E55">
        <w:rPr>
          <w:u w:val="single"/>
        </w:rPr>
        <w:t>Commentaire</w:t>
      </w:r>
    </w:p>
    <w:p w:rsidR="00F71E55" w:rsidRPr="00F71E55" w:rsidRDefault="00F71E55" w:rsidP="00F71E55">
      <w:pPr>
        <w:jc w:val="both"/>
      </w:pPr>
    </w:p>
    <w:p w:rsidR="00F71E55" w:rsidRPr="00F71E55" w:rsidRDefault="00F71E55" w:rsidP="00F71E55">
      <w:pPr>
        <w:jc w:val="both"/>
      </w:pPr>
      <w:r w:rsidRPr="00F71E55">
        <w:t>Ces trois indicateurs sont une approche du risque d’exploitation.</w:t>
      </w:r>
    </w:p>
    <w:p w:rsidR="00F71E55" w:rsidRPr="00F71E55" w:rsidRDefault="00F71E55" w:rsidP="00F71E55">
      <w:pPr>
        <w:jc w:val="both"/>
      </w:pPr>
      <w:r w:rsidRPr="00F71E55">
        <w:t>Le nombre d’entrées doit être supérieur à 137 143 pour commencer à être rentable.</w:t>
      </w:r>
    </w:p>
    <w:p w:rsidR="00F71E55" w:rsidRPr="00F71E55" w:rsidRDefault="00F71E55" w:rsidP="00F71E55">
      <w:pPr>
        <w:jc w:val="both"/>
      </w:pPr>
      <w:r w:rsidRPr="00F71E55">
        <w:rPr>
          <w:spacing w:val="-2"/>
        </w:rPr>
        <w:t>La marge de sécurité est faible. Si l’activité diminue de 8,57 %, le parc est en zone de perte.</w:t>
      </w:r>
      <w:r w:rsidRPr="00F71E55">
        <w:t xml:space="preserve"> Le levier opérationnel est très élevé et traduit un niveau de risque très élevé.</w:t>
      </w:r>
    </w:p>
    <w:p w:rsidR="00F71E55" w:rsidRPr="00F71E55" w:rsidRDefault="00F71E55" w:rsidP="00F71E55">
      <w:pPr>
        <w:jc w:val="both"/>
      </w:pPr>
    </w:p>
    <w:p w:rsidR="00F71E55" w:rsidRPr="00F71E55" w:rsidRDefault="00F71E55" w:rsidP="00F71E55">
      <w:pPr>
        <w:jc w:val="both"/>
      </w:pPr>
      <w:r w:rsidRPr="00F71E55">
        <w:t>Levier opérationnel et indice de sécurité témoignent donc d’un risque très important.</w:t>
      </w:r>
    </w:p>
    <w:p w:rsidR="00F71E55" w:rsidRDefault="00F71E55" w:rsidP="00F71E55">
      <w:pPr>
        <w:jc w:val="both"/>
        <w:sectPr w:rsidR="00F71E55" w:rsidSect="00F71E55">
          <w:headerReference w:type="default" r:id="rId8"/>
          <w:footerReference w:type="default" r:id="rId9"/>
          <w:pgSz w:w="11904" w:h="16843"/>
          <w:pgMar w:top="993" w:right="1236" w:bottom="955" w:left="1306" w:header="720" w:footer="430" w:gutter="0"/>
          <w:cols w:space="720"/>
          <w:noEndnote/>
        </w:sectPr>
      </w:pPr>
    </w:p>
    <w:p w:rsidR="00F71E55" w:rsidRPr="00F71E55" w:rsidRDefault="00F71E55">
      <w:pPr>
        <w:spacing w:before="72"/>
        <w:jc w:val="both"/>
        <w:rPr>
          <w:b/>
          <w:bCs/>
        </w:rPr>
      </w:pPr>
      <w:r w:rsidRPr="00F71E55">
        <w:rPr>
          <w:b/>
          <w:bCs/>
        </w:rPr>
        <w:lastRenderedPageBreak/>
        <w:t>2. À partir de l’annexe 2, déduire des données collectées le coefficient d’élasticité prix observé pour la demande de parc d’attraction en cas de baisse du prix de base et en cas de hausse du prix de base. Interpréter les résultats.</w:t>
      </w:r>
    </w:p>
    <w:p w:rsidR="00F71E55" w:rsidRPr="00F71E55" w:rsidRDefault="00F71E55">
      <w:pPr>
        <w:rPr>
          <w:b/>
          <w:bCs/>
        </w:rPr>
      </w:pPr>
      <w:r w:rsidRPr="00F71E55">
        <w:rPr>
          <w:b/>
          <w:bCs/>
        </w:rPr>
        <w:t>La direction envisage de réduire son prix de 10 % ; quel effet peut-on attendre sur le nombre d’entrées qui est actuellement de 150 000 ?</w:t>
      </w:r>
    </w:p>
    <w:p w:rsidR="00F71E55" w:rsidRPr="00F71E55" w:rsidRDefault="00F71E55"/>
    <w:p w:rsidR="00F71E55" w:rsidRPr="00F71E55" w:rsidRDefault="00F71E55">
      <w:pPr>
        <w:spacing w:after="324"/>
      </w:pPr>
      <w:r w:rsidRPr="00F71E55">
        <w:t>Le coefficient d’élasticité peut être calculé comme suit :</w:t>
      </w:r>
    </w:p>
    <w:p w:rsidR="00F71E55" w:rsidRDefault="00F71E55">
      <w:pPr>
        <w:spacing w:after="324"/>
        <w:sectPr w:rsidR="00F71E55" w:rsidSect="00F71E55">
          <w:pgSz w:w="11904" w:h="16843"/>
          <w:pgMar w:top="709" w:right="1351" w:bottom="955" w:left="1411" w:header="720" w:footer="720" w:gutter="0"/>
          <w:cols w:space="720"/>
          <w:noEndnote/>
        </w:sectPr>
      </w:pPr>
    </w:p>
    <w:p w:rsidR="00F71E55" w:rsidRPr="00F71E55" w:rsidRDefault="00F71E55">
      <w:pPr>
        <w:spacing w:before="360"/>
        <w:jc w:val="center"/>
      </w:pPr>
      <w:r w:rsidRPr="00F71E55">
        <w:lastRenderedPageBreak/>
        <w:t>Elasticité / prix =</w:t>
      </w:r>
    </w:p>
    <w:p w:rsidR="00F71E55" w:rsidRPr="00F71E55" w:rsidRDefault="00F71E55" w:rsidP="00F71E55">
      <w:r>
        <w:br w:type="column"/>
      </w:r>
      <w:r w:rsidRPr="00F71E55">
        <w:rPr>
          <w:u w:val="single"/>
        </w:rPr>
        <w:lastRenderedPageBreak/>
        <w:t>187500-150000</w:t>
      </w:r>
    </w:p>
    <w:p w:rsidR="00F71E55" w:rsidRPr="00F71E55" w:rsidRDefault="00F71E55">
      <w:pPr>
        <w:tabs>
          <w:tab w:val="right" w:leader="underscore" w:pos="1772"/>
        </w:tabs>
        <w:ind w:left="432"/>
      </w:pPr>
      <w:r w:rsidRPr="00F71E55">
        <w:rPr>
          <w:u w:val="single"/>
        </w:rPr>
        <w:t>150000</w:t>
      </w:r>
      <w:r>
        <w:t xml:space="preserve">       = - 1,5</w:t>
      </w:r>
    </w:p>
    <w:p w:rsidR="00F71E55" w:rsidRPr="00F71E55" w:rsidRDefault="00F71E55">
      <w:pPr>
        <w:tabs>
          <w:tab w:val="right" w:leader="underscore" w:pos="1772"/>
        </w:tabs>
        <w:ind w:left="648" w:hanging="144"/>
      </w:pPr>
      <w:r w:rsidRPr="00F71E55">
        <w:rPr>
          <w:u w:val="single"/>
        </w:rPr>
        <w:t>25-30</w:t>
      </w:r>
      <w:r w:rsidRPr="00F71E55">
        <w:br/>
        <w:t>30</w:t>
      </w:r>
    </w:p>
    <w:p w:rsidR="00F71E55" w:rsidRDefault="00F71E55">
      <w:pPr>
        <w:tabs>
          <w:tab w:val="right" w:leader="underscore" w:pos="1772"/>
        </w:tabs>
        <w:ind w:left="648" w:hanging="144"/>
        <w:sectPr w:rsidR="00F71E55" w:rsidSect="00F71E55">
          <w:type w:val="continuous"/>
          <w:pgSz w:w="11904" w:h="16843"/>
          <w:pgMar w:top="1342" w:right="4674" w:bottom="955" w:left="2220" w:header="720" w:footer="720" w:gutter="0"/>
          <w:cols w:num="2" w:space="720" w:equalWidth="0">
            <w:col w:w="1745" w:space="105"/>
            <w:col w:w="3160"/>
          </w:cols>
          <w:noEndnote/>
        </w:sectPr>
      </w:pPr>
    </w:p>
    <w:p w:rsidR="00F71E55" w:rsidRPr="00F71E55" w:rsidRDefault="00F71E55" w:rsidP="00F71E55">
      <w:pPr>
        <w:spacing w:before="288"/>
        <w:jc w:val="both"/>
      </w:pPr>
      <w:r w:rsidRPr="00F71E55">
        <w:lastRenderedPageBreak/>
        <w:t>Interprétation, si le prix baisse de 10% le nombre d’entrées devrait augmenter de -1,5*-10 % = 15 %.</w:t>
      </w:r>
    </w:p>
    <w:p w:rsidR="00F71E55" w:rsidRPr="00F71E55" w:rsidRDefault="00F71E55" w:rsidP="00F71E55">
      <w:pPr>
        <w:jc w:val="both"/>
      </w:pPr>
    </w:p>
    <w:p w:rsidR="00F71E55" w:rsidRPr="00F71E55" w:rsidRDefault="00F71E55" w:rsidP="00F71E55">
      <w:pPr>
        <w:jc w:val="both"/>
      </w:pPr>
      <w:r w:rsidRPr="00F71E55">
        <w:t>Dans le cas d’une réduction du prix de 10 %, le nombre d’entrées, actuellement égal à 150 000 passerait à 150 000 * 1,15 = 172 500.</w:t>
      </w:r>
    </w:p>
    <w:p w:rsidR="00F71E55" w:rsidRPr="00F71E55" w:rsidRDefault="00F71E55" w:rsidP="00F71E55">
      <w:pPr>
        <w:jc w:val="both"/>
      </w:pPr>
    </w:p>
    <w:p w:rsidR="00F71E55" w:rsidRPr="00F71E55" w:rsidRDefault="00F71E55" w:rsidP="00F71E55">
      <w:pPr>
        <w:jc w:val="both"/>
        <w:rPr>
          <w:i/>
          <w:iCs/>
        </w:rPr>
      </w:pPr>
      <w:r w:rsidRPr="00F71E55">
        <w:rPr>
          <w:i/>
          <w:iCs/>
        </w:rPr>
        <w:t>Remarque : le signe négatif est normal pour une élasticité prix, et la valeur supérieure à |1 | indique que la demande est très sensible à la variable prix.</w:t>
      </w:r>
    </w:p>
    <w:p w:rsidR="00F71E55" w:rsidRPr="00F71E55" w:rsidRDefault="00F71E55" w:rsidP="00F71E55">
      <w:pPr>
        <w:jc w:val="both"/>
      </w:pPr>
    </w:p>
    <w:p w:rsidR="00F71E55" w:rsidRDefault="00F71E55" w:rsidP="00F71E55">
      <w:pPr>
        <w:numPr>
          <w:ilvl w:val="0"/>
          <w:numId w:val="1"/>
        </w:numPr>
        <w:jc w:val="both"/>
        <w:rPr>
          <w:b/>
          <w:bCs/>
          <w:lang w:val="en-US"/>
        </w:rPr>
      </w:pPr>
      <w:r w:rsidRPr="00F71E55">
        <w:rPr>
          <w:b/>
          <w:bCs/>
        </w:rPr>
        <w:t xml:space="preserve">Préciser les effets attendus de la baisse de prix envisagée sur le résultat du parc. </w:t>
      </w:r>
      <w:r>
        <w:rPr>
          <w:b/>
          <w:bCs/>
          <w:lang w:val="en-US"/>
        </w:rPr>
        <w:t>Commenter.</w:t>
      </w:r>
    </w:p>
    <w:p w:rsidR="00F71E55" w:rsidRDefault="00F71E55" w:rsidP="00F71E55">
      <w:pPr>
        <w:jc w:val="both"/>
        <w:rPr>
          <w:lang w:val="en-US"/>
        </w:rPr>
      </w:pPr>
    </w:p>
    <w:p w:rsidR="00F71E55" w:rsidRDefault="00F71E55" w:rsidP="00F71E55">
      <w:pPr>
        <w:ind w:right="5832"/>
        <w:jc w:val="both"/>
        <w:rPr>
          <w:lang w:val="en-US"/>
        </w:rPr>
      </w:pPr>
      <w:r>
        <w:rPr>
          <w:lang w:val="en-US"/>
        </w:rPr>
        <w:t>Nouvelle demande = 172 500 Nouveau prix = 30 * 0,90 = 27 €.</w:t>
      </w:r>
    </w:p>
    <w:p w:rsidR="00F71E55" w:rsidRDefault="00F71E55" w:rsidP="00F71E55">
      <w:pPr>
        <w:jc w:val="both"/>
        <w:rPr>
          <w:lang w:val="en-US"/>
        </w:rPr>
      </w:pPr>
    </w:p>
    <w:p w:rsidR="00F71E55" w:rsidRDefault="00F71E55" w:rsidP="00F71E55">
      <w:pPr>
        <w:spacing w:after="252"/>
        <w:jc w:val="both"/>
        <w:rPr>
          <w:lang w:val="en-US"/>
        </w:rPr>
      </w:pPr>
      <w:r>
        <w:rPr>
          <w:lang w:val="en-US"/>
        </w:rPr>
        <w:t>Calcul du résultat</w:t>
      </w:r>
    </w:p>
    <w:tbl>
      <w:tblPr>
        <w:tblW w:w="0" w:type="auto"/>
        <w:jc w:val="center"/>
        <w:tblLayout w:type="fixed"/>
        <w:tblCellMar>
          <w:left w:w="0" w:type="dxa"/>
          <w:right w:w="0" w:type="dxa"/>
        </w:tblCellMar>
        <w:tblLook w:val="0000" w:firstRow="0" w:lastRow="0" w:firstColumn="0" w:lastColumn="0" w:noHBand="0" w:noVBand="0"/>
      </w:tblPr>
      <w:tblGrid>
        <w:gridCol w:w="2309"/>
        <w:gridCol w:w="1176"/>
        <w:gridCol w:w="1128"/>
        <w:gridCol w:w="2304"/>
        <w:gridCol w:w="1406"/>
        <w:gridCol w:w="418"/>
        <w:gridCol w:w="484"/>
      </w:tblGrid>
      <w:tr w:rsidR="00F71E55">
        <w:tblPrEx>
          <w:tblCellMar>
            <w:top w:w="0" w:type="dxa"/>
            <w:left w:w="0" w:type="dxa"/>
            <w:bottom w:w="0" w:type="dxa"/>
            <w:right w:w="0" w:type="dxa"/>
          </w:tblCellMar>
        </w:tblPrEx>
        <w:trPr>
          <w:trHeight w:hRule="exact" w:val="278"/>
          <w:jc w:val="center"/>
        </w:trPr>
        <w:tc>
          <w:tcPr>
            <w:tcW w:w="2309" w:type="dxa"/>
            <w:tcBorders>
              <w:top w:val="single" w:sz="2" w:space="0" w:color="auto"/>
              <w:left w:val="single" w:sz="2" w:space="0" w:color="auto"/>
              <w:bottom w:val="nil"/>
              <w:right w:val="single" w:sz="2" w:space="0" w:color="auto"/>
            </w:tcBorders>
          </w:tcPr>
          <w:p w:rsidR="00F71E55" w:rsidRDefault="00F71E55">
            <w:pPr>
              <w:ind w:left="62"/>
              <w:rPr>
                <w:lang w:val="en-US"/>
              </w:rPr>
            </w:pPr>
            <w:r>
              <w:rPr>
                <w:lang w:val="en-US"/>
              </w:rPr>
              <w:t>Chiffre d’affaires</w:t>
            </w:r>
          </w:p>
        </w:tc>
        <w:tc>
          <w:tcPr>
            <w:tcW w:w="1176" w:type="dxa"/>
            <w:tcBorders>
              <w:top w:val="single" w:sz="2" w:space="0" w:color="auto"/>
              <w:left w:val="single" w:sz="2" w:space="0" w:color="auto"/>
              <w:bottom w:val="nil"/>
              <w:right w:val="nil"/>
            </w:tcBorders>
          </w:tcPr>
          <w:p w:rsidR="00F71E55" w:rsidRDefault="00F71E55">
            <w:pPr>
              <w:ind w:left="734"/>
              <w:rPr>
                <w:lang w:val="en-US"/>
              </w:rPr>
            </w:pPr>
            <w:r>
              <w:rPr>
                <w:lang w:val="en-US"/>
              </w:rPr>
              <w:t>172</w:t>
            </w:r>
          </w:p>
        </w:tc>
        <w:tc>
          <w:tcPr>
            <w:tcW w:w="1128" w:type="dxa"/>
            <w:tcBorders>
              <w:top w:val="single" w:sz="2" w:space="0" w:color="auto"/>
              <w:left w:val="nil"/>
              <w:bottom w:val="nil"/>
              <w:right w:val="single" w:sz="2" w:space="0" w:color="auto"/>
            </w:tcBorders>
          </w:tcPr>
          <w:p w:rsidR="00F71E55" w:rsidRDefault="00F71E55">
            <w:pPr>
              <w:rPr>
                <w:lang w:val="en-US"/>
              </w:rPr>
            </w:pPr>
            <w:r>
              <w:rPr>
                <w:lang w:val="en-US"/>
              </w:rPr>
              <w:t>500</w:t>
            </w:r>
          </w:p>
        </w:tc>
        <w:tc>
          <w:tcPr>
            <w:tcW w:w="2304"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27</w:t>
            </w:r>
          </w:p>
        </w:tc>
        <w:tc>
          <w:tcPr>
            <w:tcW w:w="1406" w:type="dxa"/>
            <w:tcBorders>
              <w:top w:val="single" w:sz="2" w:space="0" w:color="auto"/>
              <w:left w:val="single" w:sz="2" w:space="0" w:color="auto"/>
              <w:bottom w:val="nil"/>
              <w:right w:val="nil"/>
            </w:tcBorders>
          </w:tcPr>
          <w:p w:rsidR="00F71E55" w:rsidRDefault="00F71E55">
            <w:pPr>
              <w:jc w:val="right"/>
              <w:rPr>
                <w:lang w:val="en-US"/>
              </w:rPr>
            </w:pPr>
            <w:r>
              <w:rPr>
                <w:lang w:val="en-US"/>
              </w:rPr>
              <w:t>4</w:t>
            </w:r>
          </w:p>
        </w:tc>
        <w:tc>
          <w:tcPr>
            <w:tcW w:w="418" w:type="dxa"/>
            <w:tcBorders>
              <w:top w:val="single" w:sz="2" w:space="0" w:color="auto"/>
              <w:left w:val="nil"/>
              <w:bottom w:val="nil"/>
              <w:right w:val="nil"/>
            </w:tcBorders>
          </w:tcPr>
          <w:p w:rsidR="00F71E55" w:rsidRDefault="00F71E55">
            <w:pPr>
              <w:jc w:val="center"/>
              <w:rPr>
                <w:lang w:val="en-US"/>
              </w:rPr>
            </w:pPr>
            <w:r>
              <w:rPr>
                <w:lang w:val="en-US"/>
              </w:rPr>
              <w:t>657</w:t>
            </w:r>
          </w:p>
        </w:tc>
        <w:tc>
          <w:tcPr>
            <w:tcW w:w="484" w:type="dxa"/>
            <w:tcBorders>
              <w:top w:val="single" w:sz="2" w:space="0" w:color="auto"/>
              <w:left w:val="nil"/>
              <w:bottom w:val="nil"/>
              <w:right w:val="single" w:sz="2" w:space="0" w:color="auto"/>
            </w:tcBorders>
          </w:tcPr>
          <w:p w:rsidR="00F71E55" w:rsidRDefault="00F71E55">
            <w:pPr>
              <w:rPr>
                <w:lang w:val="en-US"/>
              </w:rPr>
            </w:pPr>
            <w:r>
              <w:rPr>
                <w:lang w:val="en-US"/>
              </w:rPr>
              <w:t>500</w:t>
            </w:r>
          </w:p>
        </w:tc>
      </w:tr>
      <w:tr w:rsidR="00F71E55">
        <w:tblPrEx>
          <w:tblCellMar>
            <w:top w:w="0" w:type="dxa"/>
            <w:left w:w="0" w:type="dxa"/>
            <w:bottom w:w="0" w:type="dxa"/>
            <w:right w:w="0" w:type="dxa"/>
          </w:tblCellMar>
        </w:tblPrEx>
        <w:trPr>
          <w:trHeight w:hRule="exact" w:val="288"/>
          <w:jc w:val="center"/>
        </w:trPr>
        <w:tc>
          <w:tcPr>
            <w:tcW w:w="2309" w:type="dxa"/>
            <w:tcBorders>
              <w:top w:val="nil"/>
              <w:left w:val="single" w:sz="2" w:space="0" w:color="auto"/>
              <w:bottom w:val="nil"/>
              <w:right w:val="single" w:sz="2" w:space="0" w:color="auto"/>
            </w:tcBorders>
          </w:tcPr>
          <w:p w:rsidR="00F71E55" w:rsidRDefault="00F71E55">
            <w:pPr>
              <w:ind w:left="62"/>
              <w:rPr>
                <w:lang w:val="en-US"/>
              </w:rPr>
            </w:pPr>
            <w:r>
              <w:rPr>
                <w:lang w:val="en-US"/>
              </w:rPr>
              <w:t>Charges variables</w:t>
            </w:r>
          </w:p>
        </w:tc>
        <w:tc>
          <w:tcPr>
            <w:tcW w:w="1176" w:type="dxa"/>
            <w:tcBorders>
              <w:top w:val="nil"/>
              <w:left w:val="single" w:sz="2" w:space="0" w:color="auto"/>
              <w:bottom w:val="nil"/>
              <w:right w:val="nil"/>
            </w:tcBorders>
          </w:tcPr>
          <w:p w:rsidR="00F71E55" w:rsidRDefault="00F71E55">
            <w:pPr>
              <w:ind w:left="734"/>
              <w:rPr>
                <w:lang w:val="en-US"/>
              </w:rPr>
            </w:pPr>
            <w:r>
              <w:rPr>
                <w:lang w:val="en-US"/>
              </w:rPr>
              <w:t>172</w:t>
            </w:r>
          </w:p>
        </w:tc>
        <w:tc>
          <w:tcPr>
            <w:tcW w:w="1128" w:type="dxa"/>
            <w:tcBorders>
              <w:top w:val="nil"/>
              <w:left w:val="nil"/>
              <w:bottom w:val="nil"/>
              <w:right w:val="single" w:sz="2" w:space="0" w:color="auto"/>
            </w:tcBorders>
          </w:tcPr>
          <w:p w:rsidR="00F71E55" w:rsidRDefault="00F71E55">
            <w:pPr>
              <w:rPr>
                <w:lang w:val="en-US"/>
              </w:rPr>
            </w:pPr>
            <w:r>
              <w:rPr>
                <w:lang w:val="en-US"/>
              </w:rPr>
              <w:t>500</w:t>
            </w:r>
          </w:p>
        </w:tc>
        <w:tc>
          <w:tcPr>
            <w:tcW w:w="2304" w:type="dxa"/>
            <w:tcBorders>
              <w:top w:val="nil"/>
              <w:left w:val="single" w:sz="2" w:space="0" w:color="auto"/>
              <w:bottom w:val="nil"/>
              <w:right w:val="single" w:sz="2" w:space="0" w:color="auto"/>
            </w:tcBorders>
          </w:tcPr>
          <w:p w:rsidR="00F71E55" w:rsidRDefault="00F71E55">
            <w:pPr>
              <w:jc w:val="center"/>
              <w:rPr>
                <w:lang w:val="en-US"/>
              </w:rPr>
            </w:pPr>
            <w:r>
              <w:rPr>
                <w:lang w:val="en-US"/>
              </w:rPr>
              <w:t>9</w:t>
            </w:r>
          </w:p>
        </w:tc>
        <w:tc>
          <w:tcPr>
            <w:tcW w:w="1406" w:type="dxa"/>
            <w:tcBorders>
              <w:top w:val="nil"/>
              <w:left w:val="single" w:sz="2" w:space="0" w:color="auto"/>
              <w:bottom w:val="single" w:sz="2" w:space="0" w:color="auto"/>
              <w:right w:val="nil"/>
            </w:tcBorders>
          </w:tcPr>
          <w:p w:rsidR="00F71E55" w:rsidRDefault="00F71E55">
            <w:pPr>
              <w:jc w:val="right"/>
              <w:rPr>
                <w:lang w:val="en-US"/>
              </w:rPr>
            </w:pPr>
            <w:r>
              <w:rPr>
                <w:lang w:val="en-US"/>
              </w:rPr>
              <w:t>1</w:t>
            </w:r>
          </w:p>
        </w:tc>
        <w:tc>
          <w:tcPr>
            <w:tcW w:w="418" w:type="dxa"/>
            <w:tcBorders>
              <w:top w:val="nil"/>
              <w:left w:val="nil"/>
              <w:bottom w:val="single" w:sz="2" w:space="0" w:color="auto"/>
              <w:right w:val="nil"/>
            </w:tcBorders>
          </w:tcPr>
          <w:p w:rsidR="00F71E55" w:rsidRDefault="00F71E55">
            <w:pPr>
              <w:jc w:val="center"/>
              <w:rPr>
                <w:lang w:val="en-US"/>
              </w:rPr>
            </w:pPr>
            <w:r>
              <w:rPr>
                <w:lang w:val="en-US"/>
              </w:rPr>
              <w:t>552</w:t>
            </w:r>
          </w:p>
        </w:tc>
        <w:tc>
          <w:tcPr>
            <w:tcW w:w="484" w:type="dxa"/>
            <w:tcBorders>
              <w:top w:val="nil"/>
              <w:left w:val="nil"/>
              <w:bottom w:val="single" w:sz="2" w:space="0" w:color="auto"/>
              <w:right w:val="single" w:sz="2" w:space="0" w:color="auto"/>
            </w:tcBorders>
          </w:tcPr>
          <w:p w:rsidR="00F71E55" w:rsidRDefault="00F71E55">
            <w:pPr>
              <w:jc w:val="center"/>
              <w:rPr>
                <w:lang w:val="en-US"/>
              </w:rPr>
            </w:pPr>
            <w:r>
              <w:rPr>
                <w:lang w:val="en-US"/>
              </w:rPr>
              <w:t>500</w:t>
            </w:r>
          </w:p>
        </w:tc>
      </w:tr>
      <w:tr w:rsidR="00F71E55">
        <w:tblPrEx>
          <w:tblCellMar>
            <w:top w:w="0" w:type="dxa"/>
            <w:left w:w="0" w:type="dxa"/>
            <w:bottom w:w="0" w:type="dxa"/>
            <w:right w:w="0" w:type="dxa"/>
          </w:tblCellMar>
        </w:tblPrEx>
        <w:trPr>
          <w:trHeight w:hRule="exact" w:val="274"/>
          <w:jc w:val="center"/>
        </w:trPr>
        <w:tc>
          <w:tcPr>
            <w:tcW w:w="2309" w:type="dxa"/>
            <w:tcBorders>
              <w:top w:val="nil"/>
              <w:left w:val="single" w:sz="2" w:space="0" w:color="auto"/>
              <w:bottom w:val="nil"/>
              <w:right w:val="single" w:sz="2" w:space="0" w:color="auto"/>
            </w:tcBorders>
          </w:tcPr>
          <w:p w:rsidR="00F71E55" w:rsidRDefault="00F71E55">
            <w:pPr>
              <w:ind w:left="62"/>
              <w:rPr>
                <w:lang w:val="en-US"/>
              </w:rPr>
            </w:pPr>
            <w:r>
              <w:rPr>
                <w:lang w:val="en-US"/>
              </w:rPr>
              <w:t>MCV</w:t>
            </w:r>
          </w:p>
        </w:tc>
        <w:tc>
          <w:tcPr>
            <w:tcW w:w="1176" w:type="dxa"/>
            <w:tcBorders>
              <w:top w:val="nil"/>
              <w:left w:val="single" w:sz="2" w:space="0" w:color="auto"/>
              <w:bottom w:val="nil"/>
              <w:right w:val="nil"/>
            </w:tcBorders>
          </w:tcPr>
          <w:p w:rsidR="00F71E55" w:rsidRDefault="00F71E55">
            <w:pPr>
              <w:ind w:left="734"/>
              <w:rPr>
                <w:lang w:val="en-US"/>
              </w:rPr>
            </w:pPr>
            <w:r>
              <w:rPr>
                <w:lang w:val="en-US"/>
              </w:rPr>
              <w:t>172</w:t>
            </w:r>
          </w:p>
        </w:tc>
        <w:tc>
          <w:tcPr>
            <w:tcW w:w="1128" w:type="dxa"/>
            <w:tcBorders>
              <w:top w:val="nil"/>
              <w:left w:val="nil"/>
              <w:bottom w:val="nil"/>
              <w:right w:val="single" w:sz="2" w:space="0" w:color="auto"/>
            </w:tcBorders>
          </w:tcPr>
          <w:p w:rsidR="00F71E55" w:rsidRDefault="00F71E55">
            <w:pPr>
              <w:rPr>
                <w:lang w:val="en-US"/>
              </w:rPr>
            </w:pPr>
            <w:r>
              <w:rPr>
                <w:lang w:val="en-US"/>
              </w:rPr>
              <w:t>500</w:t>
            </w:r>
          </w:p>
        </w:tc>
        <w:tc>
          <w:tcPr>
            <w:tcW w:w="2304" w:type="dxa"/>
            <w:tcBorders>
              <w:top w:val="nil"/>
              <w:left w:val="single" w:sz="2" w:space="0" w:color="auto"/>
              <w:bottom w:val="nil"/>
              <w:right w:val="single" w:sz="2" w:space="0" w:color="auto"/>
            </w:tcBorders>
          </w:tcPr>
          <w:p w:rsidR="00F71E55" w:rsidRDefault="00F71E55">
            <w:pPr>
              <w:jc w:val="center"/>
              <w:rPr>
                <w:lang w:val="en-US"/>
              </w:rPr>
            </w:pPr>
            <w:r>
              <w:rPr>
                <w:lang w:val="en-US"/>
              </w:rPr>
              <w:t>18</w:t>
            </w:r>
          </w:p>
        </w:tc>
        <w:tc>
          <w:tcPr>
            <w:tcW w:w="1406" w:type="dxa"/>
            <w:tcBorders>
              <w:top w:val="single" w:sz="2" w:space="0" w:color="auto"/>
              <w:left w:val="single" w:sz="2" w:space="0" w:color="auto"/>
              <w:bottom w:val="nil"/>
              <w:right w:val="nil"/>
            </w:tcBorders>
          </w:tcPr>
          <w:p w:rsidR="00F71E55" w:rsidRDefault="00F71E55">
            <w:pPr>
              <w:jc w:val="right"/>
              <w:rPr>
                <w:lang w:val="en-US"/>
              </w:rPr>
            </w:pPr>
            <w:r>
              <w:rPr>
                <w:lang w:val="en-US"/>
              </w:rPr>
              <w:t>3</w:t>
            </w:r>
          </w:p>
        </w:tc>
        <w:tc>
          <w:tcPr>
            <w:tcW w:w="418" w:type="dxa"/>
            <w:tcBorders>
              <w:top w:val="single" w:sz="2" w:space="0" w:color="auto"/>
              <w:left w:val="nil"/>
              <w:bottom w:val="nil"/>
              <w:right w:val="nil"/>
            </w:tcBorders>
          </w:tcPr>
          <w:p w:rsidR="00F71E55" w:rsidRDefault="00F71E55">
            <w:pPr>
              <w:jc w:val="center"/>
              <w:rPr>
                <w:lang w:val="en-US"/>
              </w:rPr>
            </w:pPr>
            <w:r>
              <w:rPr>
                <w:lang w:val="en-US"/>
              </w:rPr>
              <w:t>105</w:t>
            </w:r>
          </w:p>
        </w:tc>
        <w:tc>
          <w:tcPr>
            <w:tcW w:w="484" w:type="dxa"/>
            <w:tcBorders>
              <w:top w:val="single" w:sz="2" w:space="0" w:color="auto"/>
              <w:left w:val="nil"/>
              <w:bottom w:val="nil"/>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88"/>
          <w:jc w:val="center"/>
        </w:trPr>
        <w:tc>
          <w:tcPr>
            <w:tcW w:w="2309" w:type="dxa"/>
            <w:tcBorders>
              <w:top w:val="nil"/>
              <w:left w:val="single" w:sz="2" w:space="0" w:color="auto"/>
              <w:bottom w:val="nil"/>
              <w:right w:val="single" w:sz="2" w:space="0" w:color="auto"/>
            </w:tcBorders>
          </w:tcPr>
          <w:p w:rsidR="00F71E55" w:rsidRDefault="00F71E55">
            <w:pPr>
              <w:ind w:left="62"/>
              <w:rPr>
                <w:lang w:val="en-US"/>
              </w:rPr>
            </w:pPr>
            <w:r>
              <w:rPr>
                <w:lang w:val="en-US"/>
              </w:rPr>
              <w:t>Charges fixes</w:t>
            </w:r>
          </w:p>
        </w:tc>
        <w:tc>
          <w:tcPr>
            <w:tcW w:w="1176" w:type="dxa"/>
            <w:tcBorders>
              <w:top w:val="nil"/>
              <w:left w:val="single" w:sz="2" w:space="0" w:color="auto"/>
              <w:bottom w:val="nil"/>
              <w:right w:val="nil"/>
            </w:tcBorders>
          </w:tcPr>
          <w:p w:rsidR="00F71E55" w:rsidRDefault="00F71E55">
            <w:pPr>
              <w:rPr>
                <w:lang w:val="en-US"/>
              </w:rPr>
            </w:pPr>
          </w:p>
        </w:tc>
        <w:tc>
          <w:tcPr>
            <w:tcW w:w="1128" w:type="dxa"/>
            <w:tcBorders>
              <w:top w:val="nil"/>
              <w:left w:val="nil"/>
              <w:bottom w:val="nil"/>
              <w:right w:val="single" w:sz="2" w:space="0" w:color="auto"/>
            </w:tcBorders>
          </w:tcPr>
          <w:p w:rsidR="00F71E55" w:rsidRDefault="00F71E55">
            <w:pPr>
              <w:rPr>
                <w:lang w:val="en-US"/>
              </w:rPr>
            </w:pPr>
          </w:p>
        </w:tc>
        <w:tc>
          <w:tcPr>
            <w:tcW w:w="2304" w:type="dxa"/>
            <w:tcBorders>
              <w:top w:val="nil"/>
              <w:left w:val="single" w:sz="2" w:space="0" w:color="auto"/>
              <w:bottom w:val="nil"/>
              <w:right w:val="single" w:sz="2" w:space="0" w:color="auto"/>
            </w:tcBorders>
          </w:tcPr>
          <w:p w:rsidR="00F71E55" w:rsidRDefault="00F71E55">
            <w:pPr>
              <w:rPr>
                <w:lang w:val="en-US"/>
              </w:rPr>
            </w:pPr>
          </w:p>
        </w:tc>
        <w:tc>
          <w:tcPr>
            <w:tcW w:w="1406" w:type="dxa"/>
            <w:tcBorders>
              <w:top w:val="nil"/>
              <w:left w:val="single" w:sz="2" w:space="0" w:color="auto"/>
              <w:bottom w:val="single" w:sz="2" w:space="0" w:color="auto"/>
              <w:right w:val="nil"/>
            </w:tcBorders>
          </w:tcPr>
          <w:p w:rsidR="00F71E55" w:rsidRDefault="00F71E55">
            <w:pPr>
              <w:tabs>
                <w:tab w:val="left" w:pos="1215"/>
              </w:tabs>
              <w:jc w:val="right"/>
              <w:rPr>
                <w:lang w:val="en-US"/>
              </w:rPr>
            </w:pPr>
            <w:r>
              <w:rPr>
                <w:lang w:val="en-US"/>
              </w:rPr>
              <w:t>- 2</w:t>
            </w:r>
          </w:p>
        </w:tc>
        <w:tc>
          <w:tcPr>
            <w:tcW w:w="418" w:type="dxa"/>
            <w:tcBorders>
              <w:top w:val="nil"/>
              <w:left w:val="nil"/>
              <w:bottom w:val="single" w:sz="2" w:space="0" w:color="auto"/>
              <w:right w:val="nil"/>
            </w:tcBorders>
          </w:tcPr>
          <w:p w:rsidR="00F71E55" w:rsidRDefault="00F71E55">
            <w:pPr>
              <w:jc w:val="center"/>
              <w:rPr>
                <w:lang w:val="en-US"/>
              </w:rPr>
            </w:pPr>
            <w:r>
              <w:rPr>
                <w:lang w:val="en-US"/>
              </w:rPr>
              <w:t>880</w:t>
            </w:r>
          </w:p>
        </w:tc>
        <w:tc>
          <w:tcPr>
            <w:tcW w:w="484" w:type="dxa"/>
            <w:tcBorders>
              <w:top w:val="nil"/>
              <w:left w:val="nil"/>
              <w:bottom w:val="single" w:sz="2" w:space="0" w:color="auto"/>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88"/>
          <w:jc w:val="center"/>
        </w:trPr>
        <w:tc>
          <w:tcPr>
            <w:tcW w:w="2309" w:type="dxa"/>
            <w:tcBorders>
              <w:top w:val="nil"/>
              <w:left w:val="single" w:sz="2" w:space="0" w:color="auto"/>
              <w:bottom w:val="single" w:sz="2" w:space="0" w:color="auto"/>
              <w:right w:val="single" w:sz="2" w:space="0" w:color="auto"/>
            </w:tcBorders>
          </w:tcPr>
          <w:p w:rsidR="00F71E55" w:rsidRDefault="00F71E55">
            <w:pPr>
              <w:ind w:left="62"/>
              <w:rPr>
                <w:lang w:val="en-US"/>
              </w:rPr>
            </w:pPr>
            <w:r>
              <w:rPr>
                <w:lang w:val="en-US"/>
              </w:rPr>
              <w:t>Résultat</w:t>
            </w:r>
          </w:p>
        </w:tc>
        <w:tc>
          <w:tcPr>
            <w:tcW w:w="1176" w:type="dxa"/>
            <w:tcBorders>
              <w:top w:val="nil"/>
              <w:left w:val="single" w:sz="2" w:space="0" w:color="auto"/>
              <w:bottom w:val="single" w:sz="2" w:space="0" w:color="auto"/>
              <w:right w:val="nil"/>
            </w:tcBorders>
          </w:tcPr>
          <w:p w:rsidR="00F71E55" w:rsidRDefault="00F71E55">
            <w:pPr>
              <w:rPr>
                <w:lang w:val="en-US"/>
              </w:rPr>
            </w:pPr>
          </w:p>
        </w:tc>
        <w:tc>
          <w:tcPr>
            <w:tcW w:w="1128" w:type="dxa"/>
            <w:tcBorders>
              <w:top w:val="nil"/>
              <w:left w:val="nil"/>
              <w:bottom w:val="single" w:sz="2" w:space="0" w:color="auto"/>
              <w:right w:val="single" w:sz="2" w:space="0" w:color="auto"/>
            </w:tcBorders>
          </w:tcPr>
          <w:p w:rsidR="00F71E55" w:rsidRDefault="00F71E55">
            <w:pPr>
              <w:rPr>
                <w:lang w:val="en-US"/>
              </w:rPr>
            </w:pPr>
          </w:p>
        </w:tc>
        <w:tc>
          <w:tcPr>
            <w:tcW w:w="2304" w:type="dxa"/>
            <w:tcBorders>
              <w:top w:val="nil"/>
              <w:left w:val="single" w:sz="2" w:space="0" w:color="auto"/>
              <w:bottom w:val="single" w:sz="2" w:space="0" w:color="auto"/>
              <w:right w:val="single" w:sz="2" w:space="0" w:color="auto"/>
            </w:tcBorders>
          </w:tcPr>
          <w:p w:rsidR="00F71E55" w:rsidRDefault="00F71E55">
            <w:pPr>
              <w:rPr>
                <w:lang w:val="en-US"/>
              </w:rPr>
            </w:pPr>
          </w:p>
        </w:tc>
        <w:tc>
          <w:tcPr>
            <w:tcW w:w="1406" w:type="dxa"/>
            <w:tcBorders>
              <w:top w:val="single" w:sz="2" w:space="0" w:color="auto"/>
              <w:left w:val="single" w:sz="2" w:space="0" w:color="auto"/>
              <w:bottom w:val="single" w:sz="2" w:space="0" w:color="auto"/>
              <w:right w:val="nil"/>
            </w:tcBorders>
          </w:tcPr>
          <w:p w:rsidR="00F71E55" w:rsidRDefault="00F71E55">
            <w:pPr>
              <w:rPr>
                <w:lang w:val="en-US"/>
              </w:rPr>
            </w:pPr>
          </w:p>
        </w:tc>
        <w:tc>
          <w:tcPr>
            <w:tcW w:w="418" w:type="dxa"/>
            <w:tcBorders>
              <w:top w:val="single" w:sz="2" w:space="0" w:color="auto"/>
              <w:left w:val="nil"/>
              <w:bottom w:val="single" w:sz="2" w:space="0" w:color="auto"/>
              <w:right w:val="nil"/>
            </w:tcBorders>
          </w:tcPr>
          <w:p w:rsidR="00F71E55" w:rsidRDefault="00F71E55">
            <w:pPr>
              <w:jc w:val="center"/>
              <w:rPr>
                <w:lang w:val="en-US"/>
              </w:rPr>
            </w:pPr>
            <w:r>
              <w:rPr>
                <w:lang w:val="en-US"/>
              </w:rPr>
              <w:t>225</w:t>
            </w:r>
          </w:p>
        </w:tc>
        <w:tc>
          <w:tcPr>
            <w:tcW w:w="484" w:type="dxa"/>
            <w:tcBorders>
              <w:top w:val="single" w:sz="2" w:space="0" w:color="auto"/>
              <w:left w:val="nil"/>
              <w:bottom w:val="single" w:sz="2" w:space="0" w:color="auto"/>
              <w:right w:val="single" w:sz="2" w:space="0" w:color="auto"/>
            </w:tcBorders>
          </w:tcPr>
          <w:p w:rsidR="00F71E55" w:rsidRDefault="00F71E55">
            <w:pPr>
              <w:jc w:val="center"/>
              <w:rPr>
                <w:lang w:val="en-US"/>
              </w:rPr>
            </w:pPr>
            <w:r>
              <w:rPr>
                <w:lang w:val="en-US"/>
              </w:rPr>
              <w:t>000</w:t>
            </w:r>
          </w:p>
        </w:tc>
      </w:tr>
    </w:tbl>
    <w:p w:rsidR="00F71E55" w:rsidRPr="00F71E55" w:rsidRDefault="00F71E55" w:rsidP="00F71E55">
      <w:pPr>
        <w:spacing w:before="252"/>
        <w:jc w:val="both"/>
      </w:pPr>
      <w:r w:rsidRPr="00F71E55">
        <w:t>Commentaire : le résultat diminue de 45 000 €, soit une baisse de 16,66 %.</w:t>
      </w:r>
    </w:p>
    <w:p w:rsidR="00F71E55" w:rsidRPr="00F71E55" w:rsidRDefault="00F71E55" w:rsidP="00F71E55">
      <w:pPr>
        <w:jc w:val="both"/>
      </w:pPr>
      <w:r w:rsidRPr="00F71E55">
        <w:t>L’effet prix est beaucoup plus important que l’effet volume, et, en conséquence, la baisse de la marge sur coûts variables unitaire n’est pas suffisamment compensée par l’accroissement du volume d’activité.</w:t>
      </w:r>
    </w:p>
    <w:p w:rsidR="00F71E55" w:rsidRPr="00F71E55" w:rsidRDefault="00F71E55" w:rsidP="00F71E55">
      <w:pPr>
        <w:jc w:val="both"/>
      </w:pPr>
    </w:p>
    <w:p w:rsidR="00F71E55" w:rsidRPr="00F71E55" w:rsidRDefault="00F71E55" w:rsidP="00F71E55">
      <w:pPr>
        <w:numPr>
          <w:ilvl w:val="0"/>
          <w:numId w:val="1"/>
        </w:numPr>
        <w:jc w:val="both"/>
        <w:rPr>
          <w:b/>
          <w:bCs/>
        </w:rPr>
      </w:pPr>
      <w:r w:rsidRPr="00F71E55">
        <w:rPr>
          <w:b/>
          <w:bCs/>
        </w:rPr>
        <w:t>Pourquoi ne peut-on pas utiliser le levier opérationnel calculé à la question 1 pour estimer les effets attendus de la baisse de prix sur le résultat ?</w:t>
      </w:r>
    </w:p>
    <w:p w:rsidR="00F71E55" w:rsidRPr="00F71E55" w:rsidRDefault="00F71E55" w:rsidP="00F71E55">
      <w:pPr>
        <w:jc w:val="both"/>
      </w:pPr>
    </w:p>
    <w:p w:rsidR="00F71E55" w:rsidRPr="00F71E55" w:rsidRDefault="00F71E55" w:rsidP="00F71E55">
      <w:pPr>
        <w:jc w:val="both"/>
      </w:pPr>
      <w:r w:rsidRPr="00F71E55">
        <w:t>Le levier opérationnel suppose des conditions de prix et de coûts stables et ne peut donc pas être utilisé en cas de modification du prix.</w:t>
      </w:r>
    </w:p>
    <w:p w:rsidR="00F71E55" w:rsidRDefault="00F71E55" w:rsidP="00F71E55">
      <w:pPr>
        <w:jc w:val="both"/>
        <w:sectPr w:rsidR="00F71E55">
          <w:type w:val="continuous"/>
          <w:pgSz w:w="11904" w:h="16843"/>
          <w:pgMar w:top="1342" w:right="1318" w:bottom="955" w:left="1301" w:header="720" w:footer="720" w:gutter="0"/>
          <w:cols w:space="720"/>
          <w:noEndnote/>
        </w:sectPr>
      </w:pPr>
    </w:p>
    <w:p w:rsidR="00F71E55" w:rsidRPr="00F71E55" w:rsidRDefault="00F71E55">
      <w:pPr>
        <w:rPr>
          <w:b/>
          <w:bCs/>
        </w:rPr>
      </w:pPr>
      <w:r w:rsidRPr="00F71E55">
        <w:rPr>
          <w:b/>
          <w:bCs/>
        </w:rPr>
        <w:lastRenderedPageBreak/>
        <w:t>5. À partir des annexes 1 et 3, déterminer le nombre d’entrées à réaliser pour rentabiliser l’opération commerciale décrite dans l’annexe 3.</w:t>
      </w:r>
    </w:p>
    <w:p w:rsidR="00F71E55" w:rsidRPr="00F71E55" w:rsidRDefault="00F71E55"/>
    <w:p w:rsidR="00F71E55" w:rsidRPr="00F71E55" w:rsidRDefault="00F71E55">
      <w:r w:rsidRPr="00F71E55">
        <w:t>Il s’agit d’un problème de seuil de rentabilité.</w:t>
      </w:r>
    </w:p>
    <w:p w:rsidR="00F71E55" w:rsidRPr="00F71E55" w:rsidRDefault="00F71E55">
      <w:r w:rsidRPr="00F71E55">
        <w:t>L’opération commerciale réclame des coûts fixes s’élevant à 24 000 € correspondant à :</w:t>
      </w:r>
    </w:p>
    <w:p w:rsidR="00F71E55" w:rsidRDefault="00F71E55">
      <w:pPr>
        <w:numPr>
          <w:ilvl w:val="0"/>
          <w:numId w:val="2"/>
        </w:numPr>
        <w:rPr>
          <w:lang w:val="en-US"/>
        </w:rPr>
      </w:pPr>
      <w:r>
        <w:rPr>
          <w:lang w:val="en-US"/>
        </w:rPr>
        <w:t>18 000 € de frais d’agence ;</w:t>
      </w:r>
    </w:p>
    <w:p w:rsidR="00F71E55" w:rsidRPr="00F71E55" w:rsidRDefault="00F71E55">
      <w:pPr>
        <w:numPr>
          <w:ilvl w:val="0"/>
          <w:numId w:val="3"/>
        </w:numPr>
      </w:pPr>
      <w:r w:rsidRPr="00F71E55">
        <w:t>6 000 € de dotation du jeu concours correspondant à 100 planches offertes à 30 € et à 10 WE à 300 €.</w:t>
      </w:r>
    </w:p>
    <w:p w:rsidR="00F71E55" w:rsidRPr="00F71E55" w:rsidRDefault="0019327B">
      <w:pPr>
        <w:spacing w:before="324"/>
        <w:ind w:left="2952"/>
      </w:pPr>
      <w:r>
        <w:rPr>
          <w:noProof/>
        </w:rPr>
        <mc:AlternateContent>
          <mc:Choice Requires="wps">
            <w:drawing>
              <wp:anchor distT="91440" distB="91440" distL="0" distR="0" simplePos="0" relativeHeight="251667456" behindDoc="0" locked="0" layoutInCell="0" allowOverlap="1">
                <wp:simplePos x="0" y="0"/>
                <wp:positionH relativeFrom="column">
                  <wp:posOffset>3080385</wp:posOffset>
                </wp:positionH>
                <wp:positionV relativeFrom="paragraph">
                  <wp:posOffset>107950</wp:posOffset>
                </wp:positionV>
                <wp:extent cx="2792730" cy="98107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E55" w:rsidRDefault="00F71E55">
                            <w:pPr>
                              <w:spacing w:before="180" w:after="468"/>
                              <w:ind w:left="1080" w:right="2952"/>
                              <w:jc w:val="both"/>
                              <w:rPr>
                                <w:lang w:val="en-US"/>
                              </w:rPr>
                            </w:pPr>
                            <w:r>
                              <w:rPr>
                                <w:lang w:val="en-US"/>
                              </w:rPr>
                              <w:t>30 6 24 9 15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2.55pt;margin-top:8.5pt;width:219.9pt;height:77.25pt;z-index:251667456;visibility:visible;mso-wrap-style:square;mso-width-percent:0;mso-height-percent:0;mso-wrap-distance-left:0;mso-wrap-distance-top:7.2pt;mso-wrap-distance-right:0;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0m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" o:allowincell="f" filled="f" stroked="f">
                <v:textbox inset="0,0,0,0">
                  <w:txbxContent>
                    <w:p w:rsidR="00F71E55" w:rsidRDefault="00F71E55">
                      <w:pPr>
                        <w:spacing w:before="180" w:after="468"/>
                        <w:ind w:left="1080" w:right="2952"/>
                        <w:jc w:val="both"/>
                        <w:rPr>
                          <w:lang w:val="en-US"/>
                        </w:rPr>
                      </w:pPr>
                      <w:r>
                        <w:rPr>
                          <w:lang w:val="en-US"/>
                        </w:rPr>
                        <w:t>30 6 24 9 15</w:t>
                      </w:r>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1736090</wp:posOffset>
                </wp:positionH>
                <wp:positionV relativeFrom="paragraph">
                  <wp:posOffset>33655</wp:posOffset>
                </wp:positionV>
                <wp:extent cx="2352675" cy="11430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143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6.7pt;margin-top:2.65pt;width:185.25pt;height:9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">
                <v:fill opacity="0"/>
              </v:rect>
            </w:pict>
          </mc:Fallback>
        </mc:AlternateContent>
      </w:r>
      <w:r w:rsidR="00F71E55" w:rsidRPr="00F71E55">
        <w:t>PV entrée parc réduction de 20 % PV net</w:t>
      </w:r>
    </w:p>
    <w:p w:rsidR="00F71E55" w:rsidRPr="00F71E55" w:rsidRDefault="00F71E55">
      <w:pPr>
        <w:ind w:left="2952"/>
      </w:pPr>
      <w:r w:rsidRPr="00F71E55">
        <w:t>CV</w:t>
      </w:r>
    </w:p>
    <w:p w:rsidR="00F71E55" w:rsidRPr="00F71E55" w:rsidRDefault="00F71E55">
      <w:pPr>
        <w:ind w:left="2952"/>
      </w:pPr>
      <w:r w:rsidRPr="00F71E55">
        <w:t>mcv opération</w:t>
      </w:r>
    </w:p>
    <w:p w:rsidR="00F71E55" w:rsidRDefault="00F71E55" w:rsidP="00F71E55">
      <w:pPr>
        <w:pStyle w:val="Sansinterligne"/>
      </w:pPr>
    </w:p>
    <w:p w:rsidR="00F71E55" w:rsidRPr="00F71E55" w:rsidRDefault="00F71E55" w:rsidP="00F71E55">
      <w:pPr>
        <w:pStyle w:val="Sansinterligne"/>
        <w:jc w:val="both"/>
      </w:pPr>
      <w:r w:rsidRPr="00F71E55">
        <w:t>Seuil de rentabilité de l’opération = 24000 / 15 = 1 600 entrées</w:t>
      </w:r>
    </w:p>
    <w:p w:rsidR="00F71E55" w:rsidRDefault="00F71E55" w:rsidP="00F71E55">
      <w:pPr>
        <w:pStyle w:val="Sansinterligne"/>
        <w:jc w:val="both"/>
        <w:rPr>
          <w:i/>
          <w:iCs/>
          <w:spacing w:val="2"/>
        </w:rPr>
      </w:pPr>
    </w:p>
    <w:p w:rsidR="00F71E55" w:rsidRPr="00F71E55" w:rsidRDefault="00F71E55" w:rsidP="00F71E55">
      <w:pPr>
        <w:pStyle w:val="Sansinterligne"/>
        <w:jc w:val="both"/>
        <w:rPr>
          <w:i/>
          <w:iCs/>
          <w:spacing w:val="2"/>
        </w:rPr>
      </w:pPr>
      <w:r w:rsidRPr="00F71E55">
        <w:rPr>
          <w:i/>
          <w:iCs/>
          <w:spacing w:val="2"/>
        </w:rPr>
        <w:t>On considère ici que les coûts fixes du parc sont déjà absorbés par la clientèle ou du moins on raisonne en termes de coûts spécifiques.</w:t>
      </w:r>
    </w:p>
    <w:p w:rsidR="00F71E55" w:rsidRPr="00F71E55" w:rsidRDefault="00F71E55" w:rsidP="00F71E55">
      <w:pPr>
        <w:jc w:val="both"/>
      </w:pPr>
    </w:p>
    <w:p w:rsidR="00F71E55" w:rsidRPr="00F71E55" w:rsidRDefault="00F71E55" w:rsidP="00F71E55">
      <w:pPr>
        <w:numPr>
          <w:ilvl w:val="0"/>
          <w:numId w:val="4"/>
        </w:numPr>
        <w:jc w:val="both"/>
        <w:rPr>
          <w:b/>
          <w:bCs/>
        </w:rPr>
      </w:pPr>
      <w:r w:rsidRPr="00F71E55">
        <w:rPr>
          <w:b/>
          <w:bCs/>
        </w:rPr>
        <w:t>Préciser l’intérêt du nouveau type de contrat pour le parc Ouf.</w:t>
      </w:r>
    </w:p>
    <w:p w:rsidR="00F71E55" w:rsidRPr="00F71E55" w:rsidRDefault="00F71E55" w:rsidP="00F71E55">
      <w:pPr>
        <w:jc w:val="both"/>
      </w:pPr>
    </w:p>
    <w:p w:rsidR="00F71E55" w:rsidRPr="00F71E55" w:rsidRDefault="00F71E55" w:rsidP="00F71E55">
      <w:pPr>
        <w:jc w:val="both"/>
      </w:pPr>
      <w:r w:rsidRPr="00F71E55">
        <w:t>L’intérêt pour le parc Ouf est de :</w:t>
      </w:r>
    </w:p>
    <w:p w:rsidR="00F71E55" w:rsidRPr="00F71E55" w:rsidRDefault="00F71E55" w:rsidP="00F71E55">
      <w:pPr>
        <w:numPr>
          <w:ilvl w:val="0"/>
          <w:numId w:val="14"/>
        </w:numPr>
        <w:jc w:val="both"/>
      </w:pPr>
      <w:r w:rsidRPr="00F71E55">
        <w:t>variabiliser ses coûts ;</w:t>
      </w:r>
    </w:p>
    <w:p w:rsidR="00F71E55" w:rsidRPr="00F71E55" w:rsidRDefault="00F71E55" w:rsidP="00F71E55">
      <w:pPr>
        <w:numPr>
          <w:ilvl w:val="0"/>
          <w:numId w:val="14"/>
        </w:numPr>
        <w:jc w:val="both"/>
      </w:pPr>
      <w:r w:rsidRPr="00F71E55">
        <w:t>corréler la rémunération du prestataire de service à sa performance et l’inciter ainsi à mettre tout en œuvre pour son succès.</w:t>
      </w:r>
    </w:p>
    <w:p w:rsidR="00F71E55" w:rsidRPr="00F71E55" w:rsidRDefault="00F71E55" w:rsidP="00F71E55">
      <w:pPr>
        <w:jc w:val="both"/>
      </w:pPr>
    </w:p>
    <w:p w:rsidR="00F71E55" w:rsidRPr="00F71E55" w:rsidRDefault="00F71E55" w:rsidP="00F71E55">
      <w:pPr>
        <w:numPr>
          <w:ilvl w:val="0"/>
          <w:numId w:val="4"/>
        </w:numPr>
        <w:jc w:val="both"/>
        <w:rPr>
          <w:b/>
          <w:bCs/>
        </w:rPr>
      </w:pPr>
      <w:r w:rsidRPr="00F71E55">
        <w:rPr>
          <w:b/>
          <w:bCs/>
        </w:rPr>
        <w:t>Déterminer en fonction du nombre d’entrées avec réduction, le résultat de la campagne promotionnelle dans les deux types de contrat. En déduire à partir de quelles retombées commerciales, l’agence de communication est gagnante par rapport à la facturation initiale au forfait.</w:t>
      </w:r>
    </w:p>
    <w:p w:rsidR="00F71E55" w:rsidRPr="00F71E55" w:rsidRDefault="00F71E55" w:rsidP="00F71E55">
      <w:pPr>
        <w:jc w:val="both"/>
      </w:pPr>
    </w:p>
    <w:p w:rsidR="00F71E55" w:rsidRPr="00F71E55" w:rsidRDefault="00F71E55" w:rsidP="00F71E55">
      <w:pPr>
        <w:ind w:right="4680"/>
        <w:jc w:val="both"/>
      </w:pPr>
      <w:r w:rsidRPr="00F71E55">
        <w:t xml:space="preserve">Résultat contrat initial : y = 15 x – 24 000 </w:t>
      </w:r>
      <w:r w:rsidRPr="00F71E55">
        <w:rPr>
          <w:spacing w:val="-2"/>
        </w:rPr>
        <w:t>Résultat nouveau contrat : y = 12,6 x – 18 000</w:t>
      </w:r>
    </w:p>
    <w:p w:rsidR="00F71E55" w:rsidRDefault="00F71E55" w:rsidP="00F71E55">
      <w:pPr>
        <w:ind w:left="720"/>
        <w:jc w:val="both"/>
        <w:rPr>
          <w:lang w:val="en-US"/>
        </w:rPr>
      </w:pPr>
      <w:r>
        <w:rPr>
          <w:lang w:val="en-US"/>
        </w:rPr>
        <w:t>Soit 12,6 x – 18 000 ≥ 15 x – 24 000</w:t>
      </w:r>
    </w:p>
    <w:p w:rsidR="00F71E55" w:rsidRDefault="00F71E55" w:rsidP="00F71E55">
      <w:pPr>
        <w:ind w:left="720"/>
        <w:jc w:val="both"/>
        <w:rPr>
          <w:lang w:val="en-US"/>
        </w:rPr>
      </w:pPr>
      <w:r>
        <w:rPr>
          <w:lang w:val="en-US"/>
        </w:rPr>
        <w:t>X ≥ 2 500</w:t>
      </w:r>
    </w:p>
    <w:p w:rsidR="00F71E55" w:rsidRDefault="00F71E55" w:rsidP="00F71E55">
      <w:pPr>
        <w:jc w:val="both"/>
        <w:rPr>
          <w:lang w:val="en-US"/>
        </w:rPr>
      </w:pPr>
    </w:p>
    <w:p w:rsidR="00F71E55" w:rsidRPr="00F71E55" w:rsidRDefault="00F71E55" w:rsidP="00F71E55">
      <w:pPr>
        <w:numPr>
          <w:ilvl w:val="0"/>
          <w:numId w:val="4"/>
        </w:numPr>
        <w:jc w:val="both"/>
        <w:rPr>
          <w:b/>
          <w:bCs/>
        </w:rPr>
      </w:pPr>
      <w:r w:rsidRPr="00F71E55">
        <w:rPr>
          <w:b/>
          <w:bCs/>
        </w:rPr>
        <w:t>À partir de quel nombre d’entrées, le montant du contrat restera plafonné à 21 000 €.</w:t>
      </w:r>
    </w:p>
    <w:p w:rsidR="00F71E55" w:rsidRPr="00F71E55" w:rsidRDefault="00F71E55" w:rsidP="00F71E55">
      <w:pPr>
        <w:jc w:val="both"/>
      </w:pPr>
    </w:p>
    <w:p w:rsidR="00F71E55" w:rsidRDefault="00F71E55" w:rsidP="00F71E55">
      <w:pPr>
        <w:ind w:right="-47"/>
        <w:jc w:val="both"/>
      </w:pPr>
      <w:r w:rsidRPr="00F71E55">
        <w:rPr>
          <w:spacing w:val="-2"/>
        </w:rPr>
        <w:t>Soit X le nombre d’entrées rémunérée par une partie variable à 5 % :</w:t>
      </w:r>
    </w:p>
    <w:p w:rsidR="00F71E55" w:rsidRDefault="00F71E55" w:rsidP="00F71E55">
      <w:pPr>
        <w:ind w:right="-47"/>
        <w:jc w:val="both"/>
      </w:pPr>
      <w:r w:rsidRPr="00F71E55">
        <w:t xml:space="preserve">12 000 + (2,4 * 2 000) + 1,2 X </w:t>
      </w:r>
      <w:r>
        <w:t>≤ 2 1 000</w:t>
      </w:r>
    </w:p>
    <w:p w:rsidR="00F71E55" w:rsidRPr="00F71E55" w:rsidRDefault="00F71E55" w:rsidP="00F71E55">
      <w:pPr>
        <w:ind w:right="-47"/>
        <w:jc w:val="both"/>
      </w:pPr>
      <w:r w:rsidRPr="00F71E55">
        <w:t xml:space="preserve">X </w:t>
      </w:r>
      <w:r>
        <w:t>≤</w:t>
      </w:r>
      <w:r w:rsidRPr="00F71E55">
        <w:t xml:space="preserve"> 3 500 entrées</w:t>
      </w:r>
    </w:p>
    <w:p w:rsidR="00F71E55" w:rsidRPr="00F71E55" w:rsidRDefault="00F71E55" w:rsidP="00F71E55">
      <w:pPr>
        <w:jc w:val="both"/>
      </w:pPr>
    </w:p>
    <w:p w:rsidR="00F71E55" w:rsidRPr="00F71E55" w:rsidRDefault="00F71E55" w:rsidP="00F71E55">
      <w:pPr>
        <w:jc w:val="both"/>
      </w:pPr>
      <w:r w:rsidRPr="00F71E55">
        <w:t>En conséquence, le nombre total d’entrées ne doit dépasser : 2 000 + 3 500 = 5 500.</w:t>
      </w:r>
    </w:p>
    <w:p w:rsidR="00F71E55" w:rsidRDefault="00F71E55" w:rsidP="00F71E55">
      <w:pPr>
        <w:jc w:val="both"/>
        <w:sectPr w:rsidR="00F71E55">
          <w:pgSz w:w="11904" w:h="16843"/>
          <w:pgMar w:top="1620" w:right="1264" w:bottom="2267" w:left="1331" w:header="720" w:footer="720" w:gutter="0"/>
          <w:cols w:space="720"/>
          <w:noEndnote/>
        </w:sectPr>
      </w:pPr>
    </w:p>
    <w:p w:rsidR="00F71E55" w:rsidRPr="00F71E55" w:rsidRDefault="00F71E55" w:rsidP="00F71E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
        <w:ind w:left="72"/>
        <w:rPr>
          <w:b/>
          <w:bCs/>
          <w:spacing w:val="14"/>
          <w:sz w:val="26"/>
          <w:szCs w:val="26"/>
        </w:rPr>
      </w:pPr>
      <w:r w:rsidRPr="00F71E55">
        <w:rPr>
          <w:b/>
          <w:bCs/>
          <w:spacing w:val="14"/>
          <w:sz w:val="26"/>
          <w:szCs w:val="26"/>
        </w:rPr>
        <w:lastRenderedPageBreak/>
        <w:t>DOSSIER 2 - ENQUÊTE DE SATISFACTION DE CLIENTÈLE</w:t>
      </w:r>
    </w:p>
    <w:p w:rsidR="00F71E55" w:rsidRDefault="00F71E55" w:rsidP="00F71E55">
      <w:pPr>
        <w:ind w:left="72" w:right="72"/>
        <w:rPr>
          <w:b/>
          <w:bCs/>
        </w:rPr>
      </w:pPr>
    </w:p>
    <w:p w:rsidR="00F71E55" w:rsidRPr="00F71E55" w:rsidRDefault="00F71E55" w:rsidP="00F71E55">
      <w:pPr>
        <w:numPr>
          <w:ilvl w:val="0"/>
          <w:numId w:val="5"/>
        </w:numPr>
        <w:ind w:right="72"/>
        <w:jc w:val="both"/>
        <w:rPr>
          <w:b/>
          <w:bCs/>
        </w:rPr>
      </w:pPr>
      <w:r w:rsidRPr="00F71E55">
        <w:rPr>
          <w:b/>
          <w:bCs/>
        </w:rPr>
        <w:t>Définir la notion de facteur clé de succès. Indiquer deux facteurs clé de succès et proposer, pour chacun d’eux, deux indicateurs qui seront intégrés dans le questionnaire.</w:t>
      </w:r>
    </w:p>
    <w:p w:rsidR="00F71E55" w:rsidRPr="00F71E55" w:rsidRDefault="00F71E55" w:rsidP="00F71E55">
      <w:pPr>
        <w:jc w:val="both"/>
      </w:pPr>
    </w:p>
    <w:p w:rsidR="00F71E55" w:rsidRPr="00F71E55" w:rsidRDefault="00F71E55" w:rsidP="00F71E55">
      <w:pPr>
        <w:jc w:val="both"/>
      </w:pPr>
      <w:r w:rsidRPr="00F71E55">
        <w:t>Une définition parmi d’autres : compétence distinctive à l’origine du succès.</w:t>
      </w:r>
    </w:p>
    <w:p w:rsidR="00F71E55" w:rsidRPr="00F71E55" w:rsidRDefault="00F71E55" w:rsidP="00F71E55">
      <w:pPr>
        <w:jc w:val="both"/>
      </w:pPr>
    </w:p>
    <w:p w:rsidR="00F71E55" w:rsidRDefault="00F71E55" w:rsidP="00F71E55">
      <w:pPr>
        <w:ind w:right="5904"/>
        <w:jc w:val="both"/>
      </w:pPr>
      <w:r w:rsidRPr="00F71E55">
        <w:rPr>
          <w:spacing w:val="-2"/>
        </w:rPr>
        <w:t>Indicateur 1 : diversité prestations</w:t>
      </w:r>
      <w:r>
        <w:t xml:space="preserve"> Nb nouveaux jeux</w:t>
      </w:r>
    </w:p>
    <w:p w:rsidR="00F71E55" w:rsidRPr="00F71E55" w:rsidRDefault="00F71E55" w:rsidP="00F71E55">
      <w:pPr>
        <w:ind w:right="5904"/>
        <w:jc w:val="both"/>
      </w:pPr>
      <w:r w:rsidRPr="00F71E55">
        <w:t>Nb prestations totales</w:t>
      </w:r>
    </w:p>
    <w:p w:rsidR="00F71E55" w:rsidRPr="00F71E55" w:rsidRDefault="00F71E55" w:rsidP="00F71E55">
      <w:pPr>
        <w:jc w:val="both"/>
      </w:pPr>
    </w:p>
    <w:p w:rsidR="00F71E55" w:rsidRPr="00F71E55" w:rsidRDefault="00F71E55" w:rsidP="00F71E55">
      <w:pPr>
        <w:ind w:right="5328"/>
        <w:jc w:val="both"/>
      </w:pPr>
      <w:r w:rsidRPr="00F71E55">
        <w:rPr>
          <w:spacing w:val="-2"/>
        </w:rPr>
        <w:t>Indicateur 2 : gestion des files d’attente</w:t>
      </w:r>
      <w:r w:rsidRPr="00F71E55">
        <w:t xml:space="preserve"> Temps moyen d’attente par prestation</w:t>
      </w:r>
    </w:p>
    <w:p w:rsidR="00F71E55" w:rsidRPr="00F71E55" w:rsidRDefault="00F71E55" w:rsidP="00F71E55">
      <w:pPr>
        <w:jc w:val="both"/>
      </w:pPr>
      <w:r w:rsidRPr="00F71E55">
        <w:t>Nb jeux effectués en moyenne par jour et par personne</w:t>
      </w:r>
    </w:p>
    <w:p w:rsidR="00F71E55" w:rsidRPr="00F71E55" w:rsidRDefault="00F71E55" w:rsidP="00F71E55">
      <w:pPr>
        <w:jc w:val="both"/>
      </w:pPr>
    </w:p>
    <w:p w:rsidR="00F71E55" w:rsidRPr="00F71E55" w:rsidRDefault="00F71E55" w:rsidP="00F71E55">
      <w:pPr>
        <w:numPr>
          <w:ilvl w:val="0"/>
          <w:numId w:val="5"/>
        </w:numPr>
        <w:ind w:right="72"/>
        <w:jc w:val="both"/>
        <w:rPr>
          <w:b/>
          <w:bCs/>
        </w:rPr>
      </w:pPr>
      <w:r w:rsidRPr="00F71E55">
        <w:rPr>
          <w:b/>
          <w:bCs/>
        </w:rPr>
        <w:t>Calculer l’intervalle de confiance à 95 % de la proportion de personnes satisfaites sur l’ensemble de la clientèle.</w:t>
      </w:r>
    </w:p>
    <w:p w:rsidR="00F71E55" w:rsidRPr="00F71E55" w:rsidRDefault="00F71E55" w:rsidP="00F71E55">
      <w:pPr>
        <w:jc w:val="both"/>
      </w:pPr>
    </w:p>
    <w:p w:rsidR="00F71E55" w:rsidRPr="00F71E55" w:rsidRDefault="00F71E55" w:rsidP="00F71E55">
      <w:pPr>
        <w:ind w:right="72"/>
        <w:jc w:val="both"/>
      </w:pPr>
      <w:r w:rsidRPr="00F71E55">
        <w:t>Soit p la proportion inconnue de la variable X définie sur la population mère, et F</w:t>
      </w:r>
      <w:r w:rsidRPr="00F71E55">
        <w:rPr>
          <w:sz w:val="14"/>
          <w:szCs w:val="14"/>
        </w:rPr>
        <w:t>n</w:t>
      </w:r>
      <w:r w:rsidRPr="00F71E55">
        <w:t xml:space="preserve"> la variable aléatoire qui associe à tout échantillon de taille n la fréquence de cet échantillon.</w:t>
      </w:r>
    </w:p>
    <w:p w:rsidR="00F71E55" w:rsidRDefault="0019327B" w:rsidP="00F71E55">
      <w:pPr>
        <w:jc w:val="both"/>
      </w:pPr>
      <w:r>
        <w:rPr>
          <w:noProof/>
        </w:rPr>
        <w:drawing>
          <wp:anchor distT="0" distB="0" distL="114300" distR="114300" simplePos="0" relativeHeight="251692032" behindDoc="0" locked="0" layoutInCell="1" allowOverlap="0">
            <wp:simplePos x="0" y="0"/>
            <wp:positionH relativeFrom="column">
              <wp:posOffset>0</wp:posOffset>
            </wp:positionH>
            <wp:positionV relativeFrom="paragraph">
              <wp:posOffset>3810</wp:posOffset>
            </wp:positionV>
            <wp:extent cx="5972175" cy="192405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E55" w:rsidRPr="00F71E55" w:rsidRDefault="00F71E55" w:rsidP="00F71E55">
      <w:pPr>
        <w:jc w:val="both"/>
      </w:pPr>
      <w:r w:rsidRPr="00F71E55">
        <w:t>Avec 1,96, la valeur de t lue dans la table de la loi normale pour 0,975.</w:t>
      </w:r>
    </w:p>
    <w:p w:rsidR="00F71E55" w:rsidRPr="00F71E55" w:rsidRDefault="00F71E55" w:rsidP="00F71E55">
      <w:pPr>
        <w:jc w:val="both"/>
      </w:pPr>
    </w:p>
    <w:p w:rsidR="00F71E55" w:rsidRPr="00F71E55" w:rsidRDefault="00F71E55" w:rsidP="00F71E55">
      <w:pPr>
        <w:jc w:val="both"/>
      </w:pPr>
      <w:r w:rsidRPr="00F71E55">
        <w:t>La proportion sera comprise dans l’intervalle I = {0,66 ; 0,74}</w:t>
      </w:r>
    </w:p>
    <w:p w:rsidR="00F71E55" w:rsidRPr="00F71E55" w:rsidRDefault="00F71E55" w:rsidP="00F71E55">
      <w:pPr>
        <w:jc w:val="both"/>
      </w:pPr>
    </w:p>
    <w:p w:rsidR="00F71E55" w:rsidRPr="00F71E55" w:rsidRDefault="00F71E55" w:rsidP="00F71E55">
      <w:pPr>
        <w:numPr>
          <w:ilvl w:val="0"/>
          <w:numId w:val="5"/>
        </w:numPr>
        <w:ind w:left="0" w:right="72" w:firstLine="72"/>
        <w:jc w:val="both"/>
        <w:rPr>
          <w:b/>
          <w:bCs/>
        </w:rPr>
      </w:pPr>
      <w:r w:rsidRPr="00F71E55">
        <w:rPr>
          <w:b/>
          <w:bCs/>
        </w:rPr>
        <w:t>Calculer la probabilité pour que l’opération soit jugée efficace par le responsable marketing.</w:t>
      </w:r>
    </w:p>
    <w:p w:rsidR="00F71E55" w:rsidRPr="00F71E55" w:rsidRDefault="00F71E55" w:rsidP="00F71E55">
      <w:pPr>
        <w:jc w:val="both"/>
      </w:pPr>
    </w:p>
    <w:p w:rsidR="00F71E55" w:rsidRPr="00F71E55" w:rsidRDefault="00F71E55" w:rsidP="00F71E55">
      <w:pPr>
        <w:ind w:right="72"/>
        <w:jc w:val="both"/>
        <w:rPr>
          <w:i/>
          <w:iCs/>
        </w:rPr>
      </w:pPr>
      <w:r w:rsidRPr="00F71E55">
        <w:rPr>
          <w:i/>
          <w:iCs/>
        </w:rPr>
        <w:t>Remarque : le nombre de personnes intéressées PI, suit, implicitement, une loi normale N(300 ; 50) même si le sujet ne le précise pas.</w:t>
      </w:r>
    </w:p>
    <w:p w:rsidR="00F71E55" w:rsidRPr="00F71E55" w:rsidRDefault="00F71E55" w:rsidP="00F71E55">
      <w:pPr>
        <w:jc w:val="both"/>
      </w:pPr>
    </w:p>
    <w:p w:rsidR="00F71E55" w:rsidRDefault="00F71E55" w:rsidP="00F71E55">
      <w:pPr>
        <w:jc w:val="both"/>
        <w:rPr>
          <w:lang w:val="en-US"/>
        </w:rPr>
      </w:pPr>
      <w:r>
        <w:rPr>
          <w:lang w:val="en-US"/>
        </w:rPr>
        <w:t>P(PI &gt; 250)</w:t>
      </w:r>
    </w:p>
    <w:p w:rsidR="00F71E55" w:rsidRDefault="0019327B" w:rsidP="00F71E55">
      <w:pPr>
        <w:ind w:left="72"/>
        <w:jc w:val="both"/>
      </w:pPr>
      <w:r>
        <w:rPr>
          <w:noProof/>
        </w:rPr>
        <w:drawing>
          <wp:anchor distT="0" distB="0" distL="114300" distR="114300" simplePos="0" relativeHeight="251694080" behindDoc="0" locked="0" layoutInCell="1" allowOverlap="1">
            <wp:simplePos x="0" y="0"/>
            <wp:positionH relativeFrom="column">
              <wp:posOffset>0</wp:posOffset>
            </wp:positionH>
            <wp:positionV relativeFrom="paragraph">
              <wp:posOffset>41910</wp:posOffset>
            </wp:positionV>
            <wp:extent cx="1205865" cy="32956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5865" cy="32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E55" w:rsidRDefault="00F71E55" w:rsidP="00F71E55">
      <w:pPr>
        <w:ind w:left="72"/>
        <w:jc w:val="both"/>
      </w:pPr>
    </w:p>
    <w:p w:rsidR="00F71E55" w:rsidRPr="00F71E55" w:rsidRDefault="00F71E55" w:rsidP="00F71E55">
      <w:pPr>
        <w:ind w:left="72"/>
        <w:jc w:val="both"/>
        <w:rPr>
          <w:sz w:val="10"/>
          <w:szCs w:val="10"/>
        </w:rPr>
      </w:pPr>
    </w:p>
    <w:p w:rsidR="00F71E55" w:rsidRPr="00F71E55" w:rsidRDefault="00F71E55" w:rsidP="00F71E55">
      <w:pPr>
        <w:jc w:val="both"/>
      </w:pPr>
      <w:r w:rsidRPr="00F71E55">
        <w:t>P(T &gt; -1)</w:t>
      </w:r>
    </w:p>
    <w:p w:rsidR="00F71E55" w:rsidRDefault="00F71E55" w:rsidP="00F71E55">
      <w:pPr>
        <w:jc w:val="both"/>
      </w:pPr>
    </w:p>
    <w:p w:rsidR="00F71E55" w:rsidRPr="00F71E55" w:rsidRDefault="00F71E55" w:rsidP="00F71E55">
      <w:pPr>
        <w:jc w:val="both"/>
      </w:pPr>
      <w:r w:rsidRPr="00F71E55">
        <w:t>Soit une probabilité de 0,8413</w:t>
      </w:r>
    </w:p>
    <w:p w:rsidR="00F71E55" w:rsidRDefault="00F71E55" w:rsidP="00F71E55">
      <w:pPr>
        <w:jc w:val="both"/>
        <w:sectPr w:rsidR="00F71E55" w:rsidSect="00F71E55">
          <w:pgSz w:w="11904" w:h="16843"/>
          <w:pgMar w:top="851" w:right="1236" w:bottom="955" w:left="1296" w:header="720" w:footer="720" w:gutter="0"/>
          <w:cols w:space="720"/>
          <w:noEndnote/>
        </w:sectPr>
      </w:pPr>
    </w:p>
    <w:p w:rsidR="00F71E55" w:rsidRDefault="00F71E55" w:rsidP="00F71E55">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8"/>
          <w:szCs w:val="28"/>
        </w:rPr>
      </w:pPr>
      <w:r w:rsidRPr="00F71E55">
        <w:rPr>
          <w:b/>
          <w:bCs/>
          <w:sz w:val="28"/>
          <w:szCs w:val="28"/>
        </w:rPr>
        <w:lastRenderedPageBreak/>
        <w:t>DOSSIER 3 - SUIVI DU CA ET DE LA POLITIQUE TARIFAIRE</w:t>
      </w:r>
    </w:p>
    <w:p w:rsidR="00F71E55" w:rsidRPr="00F71E55" w:rsidRDefault="00F71E55" w:rsidP="00F71E55">
      <w:pPr>
        <w:jc w:val="center"/>
        <w:rPr>
          <w:b/>
          <w:bCs/>
          <w:sz w:val="28"/>
          <w:szCs w:val="28"/>
        </w:rPr>
      </w:pPr>
    </w:p>
    <w:p w:rsidR="00F71E55" w:rsidRPr="00F71E55" w:rsidRDefault="00F71E55">
      <w:pPr>
        <w:ind w:left="288" w:right="360"/>
        <w:jc w:val="both"/>
        <w:rPr>
          <w:b/>
          <w:bCs/>
        </w:rPr>
      </w:pPr>
      <w:r w:rsidRPr="00F71E55">
        <w:rPr>
          <w:b/>
          <w:bCs/>
        </w:rPr>
        <w:t>1. Le responsable commercial vous communique les données brutes de fréquentation du parc en fonction des tarifs en annexe 5 et vous demande de calculer le C.A. global des deux saisons passées, de calculer l’écart total et de le décomposer en un écart sur prix et un écart sur quantités.</w:t>
      </w:r>
    </w:p>
    <w:p w:rsidR="00F71E55" w:rsidRPr="00F71E55" w:rsidRDefault="00F71E55">
      <w:pPr>
        <w:ind w:left="288"/>
        <w:rPr>
          <w:b/>
          <w:bCs/>
        </w:rPr>
      </w:pPr>
      <w:r w:rsidRPr="00F71E55">
        <w:rPr>
          <w:b/>
          <w:bCs/>
        </w:rPr>
        <w:t>Interpréter et commenter les écarts obtenus.</w:t>
      </w:r>
    </w:p>
    <w:p w:rsidR="00F71E55" w:rsidRPr="00F71E55" w:rsidRDefault="00F71E55"/>
    <w:p w:rsidR="00F71E55" w:rsidRPr="00F71E55" w:rsidRDefault="00F71E55">
      <w:pPr>
        <w:ind w:left="288"/>
        <w:rPr>
          <w:b/>
          <w:bCs/>
        </w:rPr>
      </w:pPr>
      <w:r w:rsidRPr="00F71E55">
        <w:rPr>
          <w:b/>
          <w:bCs/>
          <w:u w:val="single"/>
        </w:rPr>
        <w:t>Deux modalités de calcul sont possibles :</w:t>
      </w:r>
    </w:p>
    <w:p w:rsidR="00F71E55" w:rsidRPr="00F71E55" w:rsidRDefault="00F71E55"/>
    <w:p w:rsidR="00F71E55" w:rsidRPr="00F71E55" w:rsidRDefault="00F71E55">
      <w:pPr>
        <w:spacing w:after="252"/>
        <w:ind w:left="648"/>
      </w:pPr>
      <w:r w:rsidRPr="00F71E55">
        <w:t>A- Calcul de l’écart avec un prix moyen</w:t>
      </w:r>
    </w:p>
    <w:tbl>
      <w:tblPr>
        <w:tblW w:w="0" w:type="auto"/>
        <w:jc w:val="center"/>
        <w:tblLayout w:type="fixed"/>
        <w:tblCellMar>
          <w:left w:w="0" w:type="dxa"/>
          <w:right w:w="0" w:type="dxa"/>
        </w:tblCellMar>
        <w:tblLook w:val="0000" w:firstRow="0" w:lastRow="0" w:firstColumn="0" w:lastColumn="0" w:noHBand="0" w:noVBand="0"/>
      </w:tblPr>
      <w:tblGrid>
        <w:gridCol w:w="1656"/>
        <w:gridCol w:w="1267"/>
        <w:gridCol w:w="1363"/>
        <w:gridCol w:w="1076"/>
        <w:gridCol w:w="1161"/>
        <w:gridCol w:w="1027"/>
        <w:gridCol w:w="1056"/>
        <w:gridCol w:w="1186"/>
      </w:tblGrid>
      <w:tr w:rsidR="00F71E55">
        <w:tblPrEx>
          <w:tblCellMar>
            <w:top w:w="0" w:type="dxa"/>
            <w:left w:w="0" w:type="dxa"/>
            <w:bottom w:w="0" w:type="dxa"/>
            <w:right w:w="0" w:type="dxa"/>
          </w:tblCellMar>
        </w:tblPrEx>
        <w:trPr>
          <w:trHeight w:hRule="exact" w:val="552"/>
          <w:jc w:val="center"/>
        </w:trPr>
        <w:tc>
          <w:tcPr>
            <w:tcW w:w="1656" w:type="dxa"/>
            <w:tcBorders>
              <w:top w:val="single" w:sz="2" w:space="0" w:color="auto"/>
              <w:left w:val="single" w:sz="2" w:space="0" w:color="auto"/>
              <w:bottom w:val="nil"/>
              <w:right w:val="single" w:sz="2" w:space="0" w:color="auto"/>
            </w:tcBorders>
          </w:tcPr>
          <w:p w:rsidR="00F71E55" w:rsidRPr="00F71E55" w:rsidRDefault="00F71E55"/>
        </w:tc>
        <w:tc>
          <w:tcPr>
            <w:tcW w:w="1267"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Quantités</w:t>
            </w:r>
          </w:p>
          <w:p w:rsidR="00F71E55" w:rsidRDefault="00F71E55">
            <w:pPr>
              <w:jc w:val="center"/>
              <w:rPr>
                <w:lang w:val="en-US"/>
              </w:rPr>
            </w:pPr>
            <w:r>
              <w:rPr>
                <w:lang w:val="en-US"/>
              </w:rPr>
              <w:t>N-1</w:t>
            </w:r>
          </w:p>
        </w:tc>
        <w:tc>
          <w:tcPr>
            <w:tcW w:w="1363"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Prix moyen</w:t>
            </w:r>
          </w:p>
          <w:p w:rsidR="00F71E55" w:rsidRDefault="00F71E55">
            <w:pPr>
              <w:jc w:val="center"/>
              <w:rPr>
                <w:lang w:val="en-US"/>
              </w:rPr>
            </w:pPr>
            <w:r>
              <w:rPr>
                <w:lang w:val="en-US"/>
              </w:rPr>
              <w:t>N-1</w:t>
            </w:r>
          </w:p>
        </w:tc>
        <w:tc>
          <w:tcPr>
            <w:tcW w:w="1076"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CA</w:t>
            </w:r>
          </w:p>
          <w:p w:rsidR="00F71E55" w:rsidRDefault="00F71E55">
            <w:pPr>
              <w:jc w:val="center"/>
              <w:rPr>
                <w:lang w:val="en-US"/>
              </w:rPr>
            </w:pPr>
            <w:r>
              <w:rPr>
                <w:lang w:val="en-US"/>
              </w:rPr>
              <w:t>global</w:t>
            </w:r>
          </w:p>
        </w:tc>
        <w:tc>
          <w:tcPr>
            <w:tcW w:w="1161"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Quantités</w:t>
            </w:r>
          </w:p>
          <w:p w:rsidR="00F71E55" w:rsidRDefault="00F71E55">
            <w:pPr>
              <w:jc w:val="center"/>
              <w:rPr>
                <w:lang w:val="en-US"/>
              </w:rPr>
            </w:pPr>
            <w:r>
              <w:rPr>
                <w:lang w:val="en-US"/>
              </w:rPr>
              <w:t>N-2</w:t>
            </w:r>
          </w:p>
        </w:tc>
        <w:tc>
          <w:tcPr>
            <w:tcW w:w="1027"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Prix</w:t>
            </w:r>
          </w:p>
          <w:p w:rsidR="00F71E55" w:rsidRDefault="00F71E55">
            <w:pPr>
              <w:jc w:val="center"/>
              <w:rPr>
                <w:lang w:val="en-US"/>
              </w:rPr>
            </w:pPr>
            <w:r>
              <w:rPr>
                <w:lang w:val="en-US"/>
              </w:rPr>
              <w:t>moyen</w:t>
            </w:r>
          </w:p>
        </w:tc>
        <w:tc>
          <w:tcPr>
            <w:tcW w:w="1056"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CA</w:t>
            </w:r>
          </w:p>
          <w:p w:rsidR="00F71E55" w:rsidRDefault="00F71E55">
            <w:pPr>
              <w:jc w:val="center"/>
              <w:rPr>
                <w:lang w:val="en-US"/>
              </w:rPr>
            </w:pPr>
            <w:r>
              <w:rPr>
                <w:lang w:val="en-US"/>
              </w:rPr>
              <w:t>global</w:t>
            </w:r>
          </w:p>
        </w:tc>
        <w:tc>
          <w:tcPr>
            <w:tcW w:w="1186" w:type="dxa"/>
            <w:tcBorders>
              <w:top w:val="single" w:sz="2" w:space="0" w:color="auto"/>
              <w:left w:val="single" w:sz="2" w:space="0" w:color="auto"/>
              <w:bottom w:val="nil"/>
              <w:right w:val="single" w:sz="2" w:space="0" w:color="auto"/>
            </w:tcBorders>
          </w:tcPr>
          <w:p w:rsidR="00F71E55" w:rsidRDefault="00F71E55">
            <w:pPr>
              <w:spacing w:after="252"/>
              <w:jc w:val="center"/>
              <w:rPr>
                <w:lang w:val="en-US"/>
              </w:rPr>
            </w:pPr>
            <w:r>
              <w:rPr>
                <w:lang w:val="en-US"/>
              </w:rPr>
              <w:t>Ecart</w:t>
            </w:r>
          </w:p>
        </w:tc>
      </w:tr>
      <w:tr w:rsidR="00F71E55">
        <w:tblPrEx>
          <w:tblCellMar>
            <w:top w:w="0" w:type="dxa"/>
            <w:left w:w="0" w:type="dxa"/>
            <w:bottom w:w="0" w:type="dxa"/>
            <w:right w:w="0" w:type="dxa"/>
          </w:tblCellMar>
        </w:tblPrEx>
        <w:trPr>
          <w:trHeight w:hRule="exact" w:val="288"/>
          <w:jc w:val="center"/>
        </w:trPr>
        <w:tc>
          <w:tcPr>
            <w:tcW w:w="1656" w:type="dxa"/>
            <w:tcBorders>
              <w:top w:val="nil"/>
              <w:left w:val="single" w:sz="2" w:space="0" w:color="auto"/>
              <w:bottom w:val="single" w:sz="2" w:space="0" w:color="auto"/>
              <w:right w:val="single" w:sz="2" w:space="0" w:color="auto"/>
            </w:tcBorders>
          </w:tcPr>
          <w:p w:rsidR="00F71E55" w:rsidRDefault="00F71E55">
            <w:pPr>
              <w:rPr>
                <w:lang w:val="en-US"/>
              </w:rPr>
            </w:pPr>
          </w:p>
        </w:tc>
        <w:tc>
          <w:tcPr>
            <w:tcW w:w="1267" w:type="dxa"/>
            <w:tcBorders>
              <w:top w:val="nil"/>
              <w:left w:val="single" w:sz="2" w:space="0" w:color="auto"/>
              <w:bottom w:val="single" w:sz="2" w:space="0" w:color="auto"/>
              <w:right w:val="single" w:sz="2" w:space="0" w:color="auto"/>
            </w:tcBorders>
          </w:tcPr>
          <w:p w:rsidR="00F71E55" w:rsidRDefault="00F71E55">
            <w:pPr>
              <w:rPr>
                <w:lang w:val="en-US"/>
              </w:rPr>
            </w:pPr>
          </w:p>
        </w:tc>
        <w:tc>
          <w:tcPr>
            <w:tcW w:w="1363" w:type="dxa"/>
            <w:tcBorders>
              <w:top w:val="nil"/>
              <w:left w:val="single" w:sz="2" w:space="0" w:color="auto"/>
              <w:bottom w:val="single" w:sz="2" w:space="0" w:color="auto"/>
              <w:right w:val="single" w:sz="2" w:space="0" w:color="auto"/>
            </w:tcBorders>
          </w:tcPr>
          <w:p w:rsidR="00F71E55" w:rsidRDefault="00F71E55">
            <w:pPr>
              <w:rPr>
                <w:lang w:val="en-US"/>
              </w:rPr>
            </w:pPr>
          </w:p>
        </w:tc>
        <w:tc>
          <w:tcPr>
            <w:tcW w:w="1076" w:type="dxa"/>
            <w:tcBorders>
              <w:top w:val="nil"/>
              <w:left w:val="single" w:sz="2" w:space="0" w:color="auto"/>
              <w:bottom w:val="single" w:sz="2" w:space="0" w:color="auto"/>
              <w:right w:val="single" w:sz="2" w:space="0" w:color="auto"/>
            </w:tcBorders>
          </w:tcPr>
          <w:p w:rsidR="00F71E55" w:rsidRDefault="00F71E55">
            <w:pPr>
              <w:jc w:val="center"/>
              <w:rPr>
                <w:lang w:val="en-US"/>
              </w:rPr>
            </w:pPr>
            <w:r>
              <w:rPr>
                <w:lang w:val="en-US"/>
              </w:rPr>
              <w:t>N-1</w:t>
            </w:r>
          </w:p>
        </w:tc>
        <w:tc>
          <w:tcPr>
            <w:tcW w:w="1161" w:type="dxa"/>
            <w:tcBorders>
              <w:top w:val="nil"/>
              <w:left w:val="single" w:sz="2" w:space="0" w:color="auto"/>
              <w:bottom w:val="single" w:sz="2" w:space="0" w:color="auto"/>
              <w:right w:val="single" w:sz="2" w:space="0" w:color="auto"/>
            </w:tcBorders>
          </w:tcPr>
          <w:p w:rsidR="00F71E55" w:rsidRDefault="00F71E55">
            <w:pPr>
              <w:rPr>
                <w:lang w:val="en-US"/>
              </w:rPr>
            </w:pPr>
          </w:p>
        </w:tc>
        <w:tc>
          <w:tcPr>
            <w:tcW w:w="1027" w:type="dxa"/>
            <w:tcBorders>
              <w:top w:val="nil"/>
              <w:left w:val="single" w:sz="2" w:space="0" w:color="auto"/>
              <w:bottom w:val="single" w:sz="2" w:space="0" w:color="auto"/>
              <w:right w:val="single" w:sz="2" w:space="0" w:color="auto"/>
            </w:tcBorders>
          </w:tcPr>
          <w:p w:rsidR="00F71E55" w:rsidRDefault="00F71E55">
            <w:pPr>
              <w:jc w:val="center"/>
              <w:rPr>
                <w:lang w:val="en-US"/>
              </w:rPr>
            </w:pPr>
            <w:r>
              <w:rPr>
                <w:lang w:val="en-US"/>
              </w:rPr>
              <w:t>N-2</w:t>
            </w:r>
          </w:p>
        </w:tc>
        <w:tc>
          <w:tcPr>
            <w:tcW w:w="1056" w:type="dxa"/>
            <w:tcBorders>
              <w:top w:val="nil"/>
              <w:left w:val="single" w:sz="2" w:space="0" w:color="auto"/>
              <w:bottom w:val="single" w:sz="2" w:space="0" w:color="auto"/>
              <w:right w:val="single" w:sz="2" w:space="0" w:color="auto"/>
            </w:tcBorders>
          </w:tcPr>
          <w:p w:rsidR="00F71E55" w:rsidRDefault="00F71E55">
            <w:pPr>
              <w:jc w:val="center"/>
              <w:rPr>
                <w:lang w:val="en-US"/>
              </w:rPr>
            </w:pPr>
            <w:r>
              <w:rPr>
                <w:lang w:val="en-US"/>
              </w:rPr>
              <w:t>N-2</w:t>
            </w:r>
          </w:p>
        </w:tc>
        <w:tc>
          <w:tcPr>
            <w:tcW w:w="1186" w:type="dxa"/>
            <w:tcBorders>
              <w:top w:val="nil"/>
              <w:left w:val="single" w:sz="2" w:space="0" w:color="auto"/>
              <w:bottom w:val="single" w:sz="2" w:space="0" w:color="auto"/>
              <w:right w:val="single" w:sz="2" w:space="0" w:color="auto"/>
            </w:tcBorders>
          </w:tcPr>
          <w:p w:rsidR="00F71E55" w:rsidRDefault="00F71E55">
            <w:pPr>
              <w:rPr>
                <w:lang w:val="en-US"/>
              </w:rPr>
            </w:pPr>
          </w:p>
        </w:tc>
      </w:tr>
      <w:tr w:rsidR="00F71E55">
        <w:tblPrEx>
          <w:tblCellMar>
            <w:top w:w="0" w:type="dxa"/>
            <w:left w:w="0" w:type="dxa"/>
            <w:bottom w:w="0" w:type="dxa"/>
            <w:right w:w="0" w:type="dxa"/>
          </w:tblCellMar>
        </w:tblPrEx>
        <w:trPr>
          <w:trHeight w:hRule="exact" w:val="278"/>
          <w:jc w:val="center"/>
        </w:trPr>
        <w:tc>
          <w:tcPr>
            <w:tcW w:w="1656"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CA GLOBAL</w:t>
            </w:r>
          </w:p>
        </w:tc>
        <w:tc>
          <w:tcPr>
            <w:tcW w:w="1267"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168000</w:t>
            </w:r>
          </w:p>
        </w:tc>
        <w:tc>
          <w:tcPr>
            <w:tcW w:w="1363"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27.75</w:t>
            </w:r>
          </w:p>
        </w:tc>
        <w:tc>
          <w:tcPr>
            <w:tcW w:w="1076"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4662000</w:t>
            </w:r>
          </w:p>
        </w:tc>
        <w:tc>
          <w:tcPr>
            <w:tcW w:w="1161"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150000</w:t>
            </w:r>
          </w:p>
        </w:tc>
        <w:tc>
          <w:tcPr>
            <w:tcW w:w="1027"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30</w:t>
            </w:r>
          </w:p>
        </w:tc>
        <w:tc>
          <w:tcPr>
            <w:tcW w:w="1056"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4500000</w:t>
            </w:r>
          </w:p>
        </w:tc>
        <w:tc>
          <w:tcPr>
            <w:tcW w:w="1186"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162000</w:t>
            </w:r>
          </w:p>
        </w:tc>
      </w:tr>
      <w:tr w:rsidR="00F71E55">
        <w:tblPrEx>
          <w:tblCellMar>
            <w:top w:w="0" w:type="dxa"/>
            <w:left w:w="0" w:type="dxa"/>
            <w:bottom w:w="0" w:type="dxa"/>
            <w:right w:w="0" w:type="dxa"/>
          </w:tblCellMar>
        </w:tblPrEx>
        <w:trPr>
          <w:trHeight w:hRule="exact" w:val="293"/>
          <w:jc w:val="center"/>
        </w:trPr>
        <w:tc>
          <w:tcPr>
            <w:tcW w:w="1656" w:type="dxa"/>
            <w:tcBorders>
              <w:top w:val="nil"/>
              <w:left w:val="single" w:sz="2" w:space="0" w:color="auto"/>
              <w:bottom w:val="single" w:sz="2" w:space="0" w:color="auto"/>
              <w:right w:val="single" w:sz="2" w:space="0" w:color="auto"/>
            </w:tcBorders>
          </w:tcPr>
          <w:p w:rsidR="00F71E55" w:rsidRDefault="00F71E55">
            <w:pPr>
              <w:rPr>
                <w:lang w:val="en-US"/>
              </w:rPr>
            </w:pPr>
          </w:p>
        </w:tc>
        <w:tc>
          <w:tcPr>
            <w:tcW w:w="1267" w:type="dxa"/>
            <w:tcBorders>
              <w:top w:val="nil"/>
              <w:left w:val="single" w:sz="2" w:space="0" w:color="auto"/>
              <w:bottom w:val="single" w:sz="2" w:space="0" w:color="auto"/>
              <w:right w:val="single" w:sz="2" w:space="0" w:color="auto"/>
            </w:tcBorders>
          </w:tcPr>
          <w:p w:rsidR="00F71E55" w:rsidRDefault="00F71E55">
            <w:pPr>
              <w:rPr>
                <w:lang w:val="en-US"/>
              </w:rPr>
            </w:pPr>
          </w:p>
        </w:tc>
        <w:tc>
          <w:tcPr>
            <w:tcW w:w="1363" w:type="dxa"/>
            <w:tcBorders>
              <w:top w:val="nil"/>
              <w:left w:val="single" w:sz="2" w:space="0" w:color="auto"/>
              <w:bottom w:val="single" w:sz="2" w:space="0" w:color="auto"/>
              <w:right w:val="single" w:sz="2" w:space="0" w:color="auto"/>
            </w:tcBorders>
          </w:tcPr>
          <w:p w:rsidR="00F71E55" w:rsidRDefault="00F71E55">
            <w:pPr>
              <w:rPr>
                <w:lang w:val="en-US"/>
              </w:rPr>
            </w:pPr>
          </w:p>
        </w:tc>
        <w:tc>
          <w:tcPr>
            <w:tcW w:w="1076" w:type="dxa"/>
            <w:tcBorders>
              <w:top w:val="nil"/>
              <w:left w:val="single" w:sz="2" w:space="0" w:color="auto"/>
              <w:bottom w:val="single" w:sz="2" w:space="0" w:color="auto"/>
              <w:right w:val="single" w:sz="2" w:space="0" w:color="auto"/>
            </w:tcBorders>
          </w:tcPr>
          <w:p w:rsidR="00F71E55" w:rsidRDefault="00F71E55">
            <w:pPr>
              <w:rPr>
                <w:lang w:val="en-US"/>
              </w:rPr>
            </w:pPr>
          </w:p>
        </w:tc>
        <w:tc>
          <w:tcPr>
            <w:tcW w:w="1161" w:type="dxa"/>
            <w:tcBorders>
              <w:top w:val="nil"/>
              <w:left w:val="single" w:sz="2" w:space="0" w:color="auto"/>
              <w:bottom w:val="single" w:sz="2" w:space="0" w:color="auto"/>
              <w:right w:val="single" w:sz="2" w:space="0" w:color="auto"/>
            </w:tcBorders>
          </w:tcPr>
          <w:p w:rsidR="00F71E55" w:rsidRDefault="00F71E55">
            <w:pPr>
              <w:rPr>
                <w:lang w:val="en-US"/>
              </w:rPr>
            </w:pPr>
          </w:p>
        </w:tc>
        <w:tc>
          <w:tcPr>
            <w:tcW w:w="1027" w:type="dxa"/>
            <w:tcBorders>
              <w:top w:val="nil"/>
              <w:left w:val="single" w:sz="2" w:space="0" w:color="auto"/>
              <w:bottom w:val="single" w:sz="2" w:space="0" w:color="auto"/>
              <w:right w:val="single" w:sz="2" w:space="0" w:color="auto"/>
            </w:tcBorders>
          </w:tcPr>
          <w:p w:rsidR="00F71E55" w:rsidRDefault="00F71E55">
            <w:pPr>
              <w:rPr>
                <w:lang w:val="en-US"/>
              </w:rPr>
            </w:pPr>
          </w:p>
        </w:tc>
        <w:tc>
          <w:tcPr>
            <w:tcW w:w="1056" w:type="dxa"/>
            <w:tcBorders>
              <w:top w:val="nil"/>
              <w:left w:val="single" w:sz="2" w:space="0" w:color="auto"/>
              <w:bottom w:val="single" w:sz="2" w:space="0" w:color="auto"/>
              <w:right w:val="single" w:sz="2" w:space="0" w:color="auto"/>
            </w:tcBorders>
          </w:tcPr>
          <w:p w:rsidR="00F71E55" w:rsidRDefault="00F71E55">
            <w:pPr>
              <w:rPr>
                <w:lang w:val="en-US"/>
              </w:rPr>
            </w:pPr>
          </w:p>
        </w:tc>
        <w:tc>
          <w:tcPr>
            <w:tcW w:w="1186" w:type="dxa"/>
            <w:tcBorders>
              <w:top w:val="nil"/>
              <w:left w:val="single" w:sz="2" w:space="0" w:color="auto"/>
              <w:bottom w:val="single" w:sz="2" w:space="0" w:color="auto"/>
              <w:right w:val="single" w:sz="2" w:space="0" w:color="auto"/>
            </w:tcBorders>
          </w:tcPr>
          <w:p w:rsidR="00F71E55" w:rsidRDefault="00F71E55">
            <w:pPr>
              <w:jc w:val="center"/>
              <w:rPr>
                <w:lang w:val="en-US"/>
              </w:rPr>
            </w:pPr>
            <w:r>
              <w:rPr>
                <w:lang w:val="en-US"/>
              </w:rPr>
              <w:t>Favorable</w:t>
            </w:r>
          </w:p>
        </w:tc>
      </w:tr>
    </w:tbl>
    <w:p w:rsidR="00F71E55" w:rsidRPr="00F71E55" w:rsidRDefault="00F71E55" w:rsidP="00F71E55">
      <w:pPr>
        <w:spacing w:before="252"/>
        <w:ind w:left="288" w:right="11"/>
        <w:jc w:val="both"/>
      </w:pPr>
      <w:r w:rsidRPr="00F71E55">
        <w:t>En l’absence de précision sur les conventions de calcul, l’une ou l’autre des deux analyses suivantes de l’écart total sur C.A peuvent être effectuées :</w:t>
      </w:r>
    </w:p>
    <w:p w:rsidR="00F71E55" w:rsidRPr="00F71E55" w:rsidRDefault="00F71E55" w:rsidP="00F71E55">
      <w:pPr>
        <w:ind w:right="11"/>
        <w:jc w:val="both"/>
      </w:pPr>
    </w:p>
    <w:p w:rsidR="00F71E55" w:rsidRPr="00F71E55" w:rsidRDefault="00F71E55" w:rsidP="00F71E55">
      <w:pPr>
        <w:numPr>
          <w:ilvl w:val="0"/>
          <w:numId w:val="6"/>
        </w:numPr>
        <w:ind w:right="11"/>
        <w:jc w:val="both"/>
      </w:pPr>
      <w:r w:rsidRPr="00F71E55">
        <w:t>Valorisation de l’écart sur quantité au prix moyen de N-2, et calcul de l’écart sur prix avec les quantités de N-1</w:t>
      </w:r>
    </w:p>
    <w:p w:rsidR="00F71E55" w:rsidRPr="00F71E55" w:rsidRDefault="00F71E55" w:rsidP="00F71E55">
      <w:pPr>
        <w:tabs>
          <w:tab w:val="left" w:pos="3868"/>
        </w:tabs>
        <w:ind w:left="1512" w:right="11"/>
        <w:jc w:val="both"/>
      </w:pPr>
      <w:r w:rsidRPr="00F71E55">
        <w:t>E/Q = 540 000</w:t>
      </w:r>
      <w:r w:rsidRPr="00F71E55">
        <w:tab/>
        <w:t>Favorable</w:t>
      </w:r>
    </w:p>
    <w:p w:rsidR="00F71E55" w:rsidRPr="00F71E55" w:rsidRDefault="00F71E55" w:rsidP="00F71E55">
      <w:pPr>
        <w:tabs>
          <w:tab w:val="left" w:pos="3868"/>
        </w:tabs>
        <w:ind w:left="864" w:right="11" w:firstLine="648"/>
        <w:jc w:val="both"/>
        <w:rPr>
          <w:b/>
          <w:bCs/>
        </w:rPr>
      </w:pPr>
      <w:r w:rsidRPr="00F71E55">
        <w:t>E/P = -378 000</w:t>
      </w:r>
      <w:r w:rsidRPr="00F71E55">
        <w:rPr>
          <w:spacing w:val="-2"/>
        </w:rPr>
        <w:tab/>
        <w:t>Défavorable</w:t>
      </w:r>
      <w:r w:rsidRPr="00F71E55">
        <w:t xml:space="preserve"> </w:t>
      </w:r>
      <w:r w:rsidRPr="00F71E55">
        <w:rPr>
          <w:b/>
          <w:bCs/>
        </w:rPr>
        <w:t>Ou</w:t>
      </w:r>
    </w:p>
    <w:p w:rsidR="00F71E55" w:rsidRPr="00F71E55" w:rsidRDefault="00F71E55" w:rsidP="00F71E55">
      <w:pPr>
        <w:ind w:right="11"/>
        <w:jc w:val="both"/>
      </w:pPr>
    </w:p>
    <w:p w:rsidR="00F71E55" w:rsidRPr="00F71E55" w:rsidRDefault="00F71E55" w:rsidP="00F71E55">
      <w:pPr>
        <w:numPr>
          <w:ilvl w:val="0"/>
          <w:numId w:val="6"/>
        </w:numPr>
        <w:ind w:right="11"/>
        <w:jc w:val="both"/>
      </w:pPr>
      <w:r w:rsidRPr="00F71E55">
        <w:t>Valorisation de l’écart sur quantité au prix moyen de N-1, et calcul de l’écart sur prix avec les quantités de N-2</w:t>
      </w:r>
    </w:p>
    <w:p w:rsidR="00F71E55" w:rsidRPr="00F71E55" w:rsidRDefault="00F71E55" w:rsidP="00F71E55">
      <w:pPr>
        <w:ind w:right="11"/>
        <w:jc w:val="both"/>
      </w:pPr>
    </w:p>
    <w:p w:rsidR="00F71E55" w:rsidRPr="00F71E55" w:rsidRDefault="00F71E55" w:rsidP="00F71E55">
      <w:pPr>
        <w:tabs>
          <w:tab w:val="left" w:pos="3868"/>
        </w:tabs>
        <w:ind w:left="1512" w:right="11"/>
        <w:jc w:val="both"/>
      </w:pPr>
      <w:r w:rsidRPr="00F71E55">
        <w:t>E/Q = 499 500</w:t>
      </w:r>
      <w:r w:rsidRPr="00F71E55">
        <w:tab/>
        <w:t>Favorable</w:t>
      </w:r>
    </w:p>
    <w:p w:rsidR="00F71E55" w:rsidRPr="00F71E55" w:rsidRDefault="00F71E55" w:rsidP="00F71E55">
      <w:pPr>
        <w:tabs>
          <w:tab w:val="left" w:pos="3868"/>
        </w:tabs>
        <w:ind w:left="1512" w:right="11"/>
        <w:jc w:val="both"/>
      </w:pPr>
      <w:r w:rsidRPr="00F71E55">
        <w:t>E/P = -337 500</w:t>
      </w:r>
      <w:r w:rsidRPr="00F71E55">
        <w:tab/>
        <w:t>Défavorable</w:t>
      </w:r>
    </w:p>
    <w:p w:rsidR="00F71E55" w:rsidRPr="00F71E55" w:rsidRDefault="00F71E55" w:rsidP="00F71E55">
      <w:pPr>
        <w:ind w:right="11"/>
        <w:jc w:val="both"/>
      </w:pPr>
    </w:p>
    <w:p w:rsidR="00F71E55" w:rsidRDefault="00F71E55" w:rsidP="00F71E55">
      <w:pPr>
        <w:spacing w:after="252"/>
        <w:ind w:left="648" w:right="11"/>
        <w:jc w:val="both"/>
        <w:rPr>
          <w:lang w:val="en-US"/>
        </w:rPr>
      </w:pPr>
      <w:r>
        <w:rPr>
          <w:lang w:val="en-US"/>
        </w:rPr>
        <w:t>B- Calcul détaillé de l’écart</w:t>
      </w:r>
    </w:p>
    <w:tbl>
      <w:tblPr>
        <w:tblW w:w="0" w:type="auto"/>
        <w:tblInd w:w="3" w:type="dxa"/>
        <w:tblLayout w:type="fixed"/>
        <w:tblCellMar>
          <w:left w:w="0" w:type="dxa"/>
          <w:right w:w="0" w:type="dxa"/>
        </w:tblCellMar>
        <w:tblLook w:val="0000" w:firstRow="0" w:lastRow="0" w:firstColumn="0" w:lastColumn="0" w:noHBand="0" w:noVBand="0"/>
      </w:tblPr>
      <w:tblGrid>
        <w:gridCol w:w="1810"/>
        <w:gridCol w:w="874"/>
        <w:gridCol w:w="873"/>
        <w:gridCol w:w="874"/>
        <w:gridCol w:w="873"/>
        <w:gridCol w:w="874"/>
        <w:gridCol w:w="874"/>
        <w:gridCol w:w="873"/>
        <w:gridCol w:w="874"/>
        <w:gridCol w:w="965"/>
      </w:tblGrid>
      <w:tr w:rsidR="00F71E55">
        <w:tblPrEx>
          <w:tblCellMar>
            <w:top w:w="0" w:type="dxa"/>
            <w:left w:w="0" w:type="dxa"/>
            <w:bottom w:w="0" w:type="dxa"/>
            <w:right w:w="0" w:type="dxa"/>
          </w:tblCellMar>
        </w:tblPrEx>
        <w:trPr>
          <w:trHeight w:hRule="exact" w:val="274"/>
        </w:trPr>
        <w:tc>
          <w:tcPr>
            <w:tcW w:w="1810"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c>
          <w:tcPr>
            <w:tcW w:w="1747" w:type="dxa"/>
            <w:gridSpan w:val="2"/>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adultes</w:t>
            </w:r>
          </w:p>
        </w:tc>
        <w:tc>
          <w:tcPr>
            <w:tcW w:w="1747" w:type="dxa"/>
            <w:gridSpan w:val="2"/>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enfants</w:t>
            </w:r>
          </w:p>
        </w:tc>
        <w:tc>
          <w:tcPr>
            <w:tcW w:w="1748" w:type="dxa"/>
            <w:gridSpan w:val="2"/>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FDJ 17</w:t>
            </w:r>
          </w:p>
        </w:tc>
        <w:tc>
          <w:tcPr>
            <w:tcW w:w="1747" w:type="dxa"/>
            <w:gridSpan w:val="2"/>
            <w:tcBorders>
              <w:top w:val="single" w:sz="2" w:space="0" w:color="auto"/>
              <w:left w:val="single" w:sz="2" w:space="0" w:color="auto"/>
              <w:bottom w:val="single" w:sz="2" w:space="0" w:color="auto"/>
              <w:right w:val="single" w:sz="2" w:space="0" w:color="auto"/>
            </w:tcBorders>
          </w:tcPr>
          <w:p w:rsidR="00F71E55" w:rsidRDefault="00F71E55">
            <w:pPr>
              <w:ind w:left="601"/>
              <w:rPr>
                <w:sz w:val="20"/>
                <w:szCs w:val="20"/>
                <w:lang w:val="en-US"/>
              </w:rPr>
            </w:pPr>
            <w:r>
              <w:rPr>
                <w:sz w:val="20"/>
                <w:szCs w:val="20"/>
                <w:lang w:val="en-US"/>
              </w:rPr>
              <w:t>Total</w:t>
            </w:r>
          </w:p>
        </w:tc>
        <w:tc>
          <w:tcPr>
            <w:tcW w:w="965" w:type="dxa"/>
            <w:tcBorders>
              <w:top w:val="single" w:sz="2" w:space="0" w:color="auto"/>
              <w:left w:val="single" w:sz="2" w:space="0" w:color="auto"/>
              <w:bottom w:val="single" w:sz="2" w:space="0" w:color="auto"/>
              <w:right w:val="single" w:sz="2" w:space="0" w:color="auto"/>
            </w:tcBorders>
          </w:tcPr>
          <w:p w:rsidR="00F71E55" w:rsidRDefault="00F71E55">
            <w:pPr>
              <w:rPr>
                <w:sz w:val="20"/>
                <w:szCs w:val="20"/>
                <w:lang w:val="en-US"/>
              </w:rPr>
            </w:pPr>
            <w:r>
              <w:rPr>
                <w:sz w:val="20"/>
                <w:szCs w:val="20"/>
                <w:lang w:val="en-US"/>
              </w:rPr>
              <w:t>écart total</w:t>
            </w:r>
          </w:p>
        </w:tc>
      </w:tr>
      <w:tr w:rsidR="00F71E55">
        <w:tblPrEx>
          <w:tblCellMar>
            <w:top w:w="0" w:type="dxa"/>
            <w:left w:w="0" w:type="dxa"/>
            <w:bottom w:w="0" w:type="dxa"/>
            <w:right w:w="0" w:type="dxa"/>
          </w:tblCellMar>
        </w:tblPrEx>
        <w:trPr>
          <w:trHeight w:hRule="exact" w:val="259"/>
        </w:trPr>
        <w:tc>
          <w:tcPr>
            <w:tcW w:w="1810"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c>
          <w:tcPr>
            <w:tcW w:w="874" w:type="dxa"/>
            <w:tcBorders>
              <w:top w:val="single" w:sz="2" w:space="0" w:color="auto"/>
              <w:left w:val="single" w:sz="2" w:space="0" w:color="auto"/>
              <w:bottom w:val="single" w:sz="2" w:space="0" w:color="auto"/>
              <w:right w:val="single" w:sz="2" w:space="0" w:color="auto"/>
            </w:tcBorders>
          </w:tcPr>
          <w:p w:rsidR="00F71E55" w:rsidRDefault="00F71E55">
            <w:pPr>
              <w:ind w:left="242"/>
              <w:rPr>
                <w:sz w:val="20"/>
                <w:szCs w:val="20"/>
                <w:lang w:val="en-US"/>
              </w:rPr>
            </w:pPr>
            <w:r>
              <w:rPr>
                <w:sz w:val="20"/>
                <w:szCs w:val="20"/>
                <w:lang w:val="en-US"/>
              </w:rPr>
              <w:t>N-1</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N-2</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N-1</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N-2</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N-1</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N-2</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ind w:left="218"/>
              <w:rPr>
                <w:sz w:val="20"/>
                <w:szCs w:val="20"/>
                <w:lang w:val="en-US"/>
              </w:rPr>
            </w:pPr>
            <w:r>
              <w:rPr>
                <w:sz w:val="20"/>
                <w:szCs w:val="20"/>
                <w:lang w:val="en-US"/>
              </w:rPr>
              <w:t>N-1</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ind w:left="223"/>
              <w:rPr>
                <w:sz w:val="20"/>
                <w:szCs w:val="20"/>
                <w:lang w:val="en-US"/>
              </w:rPr>
            </w:pPr>
            <w:r>
              <w:rPr>
                <w:sz w:val="20"/>
                <w:szCs w:val="20"/>
                <w:lang w:val="en-US"/>
              </w:rPr>
              <w:t>N-2</w:t>
            </w:r>
          </w:p>
        </w:tc>
        <w:tc>
          <w:tcPr>
            <w:tcW w:w="965"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r>
      <w:tr w:rsidR="00F71E55">
        <w:tblPrEx>
          <w:tblCellMar>
            <w:top w:w="0" w:type="dxa"/>
            <w:left w:w="0" w:type="dxa"/>
            <w:bottom w:w="0" w:type="dxa"/>
            <w:right w:w="0" w:type="dxa"/>
          </w:tblCellMar>
        </w:tblPrEx>
        <w:trPr>
          <w:trHeight w:hRule="exact" w:val="269"/>
        </w:trPr>
        <w:tc>
          <w:tcPr>
            <w:tcW w:w="1810" w:type="dxa"/>
            <w:tcBorders>
              <w:top w:val="single" w:sz="2" w:space="0" w:color="auto"/>
              <w:left w:val="single" w:sz="2" w:space="0" w:color="auto"/>
              <w:bottom w:val="single" w:sz="2" w:space="0" w:color="auto"/>
              <w:right w:val="single" w:sz="2" w:space="0" w:color="auto"/>
            </w:tcBorders>
          </w:tcPr>
          <w:p w:rsidR="00F71E55" w:rsidRDefault="00F71E55">
            <w:pPr>
              <w:rPr>
                <w:sz w:val="20"/>
                <w:szCs w:val="20"/>
                <w:lang w:val="en-US"/>
              </w:rPr>
            </w:pPr>
            <w:r>
              <w:rPr>
                <w:sz w:val="20"/>
                <w:szCs w:val="20"/>
                <w:lang w:val="en-US"/>
              </w:rPr>
              <w:t>prix unitaire entrée</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ind w:left="242"/>
              <w:rPr>
                <w:sz w:val="20"/>
                <w:szCs w:val="20"/>
                <w:lang w:val="en-US"/>
              </w:rPr>
            </w:pPr>
            <w:r>
              <w:rPr>
                <w:sz w:val="20"/>
                <w:szCs w:val="20"/>
                <w:lang w:val="en-US"/>
              </w:rPr>
              <w:t>32</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33</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27</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28</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17</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c>
          <w:tcPr>
            <w:tcW w:w="874"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c>
          <w:tcPr>
            <w:tcW w:w="965"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r>
      <w:tr w:rsidR="00F71E55">
        <w:tblPrEx>
          <w:tblCellMar>
            <w:top w:w="0" w:type="dxa"/>
            <w:left w:w="0" w:type="dxa"/>
            <w:bottom w:w="0" w:type="dxa"/>
            <w:right w:w="0" w:type="dxa"/>
          </w:tblCellMar>
        </w:tblPrEx>
        <w:trPr>
          <w:trHeight w:hRule="exact" w:val="259"/>
        </w:trPr>
        <w:tc>
          <w:tcPr>
            <w:tcW w:w="1810" w:type="dxa"/>
            <w:tcBorders>
              <w:top w:val="single" w:sz="2" w:space="0" w:color="auto"/>
              <w:left w:val="single" w:sz="2" w:space="0" w:color="auto"/>
              <w:bottom w:val="single" w:sz="2" w:space="0" w:color="auto"/>
              <w:right w:val="single" w:sz="2" w:space="0" w:color="auto"/>
            </w:tcBorders>
          </w:tcPr>
          <w:p w:rsidR="00F71E55" w:rsidRDefault="00F71E55">
            <w:pPr>
              <w:rPr>
                <w:sz w:val="20"/>
                <w:szCs w:val="20"/>
                <w:lang w:val="en-US"/>
              </w:rPr>
            </w:pPr>
            <w:r>
              <w:rPr>
                <w:sz w:val="20"/>
                <w:szCs w:val="20"/>
                <w:lang w:val="en-US"/>
              </w:rPr>
              <w:t>nb annuel entrées</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58800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60000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92400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90000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16800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168000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150000</w:t>
            </w:r>
          </w:p>
        </w:tc>
        <w:tc>
          <w:tcPr>
            <w:tcW w:w="965" w:type="dxa"/>
            <w:tcBorders>
              <w:top w:val="single" w:sz="2" w:space="0" w:color="auto"/>
              <w:left w:val="single" w:sz="2" w:space="0" w:color="auto"/>
              <w:bottom w:val="single" w:sz="2" w:space="0" w:color="auto"/>
              <w:right w:val="single" w:sz="2" w:space="0" w:color="auto"/>
            </w:tcBorders>
          </w:tcPr>
          <w:p w:rsidR="00F71E55" w:rsidRDefault="00F71E55">
            <w:pPr>
              <w:rPr>
                <w:lang w:val="en-US"/>
              </w:rPr>
            </w:pPr>
          </w:p>
        </w:tc>
      </w:tr>
      <w:tr w:rsidR="00F71E55">
        <w:tblPrEx>
          <w:tblCellMar>
            <w:top w:w="0" w:type="dxa"/>
            <w:left w:w="0" w:type="dxa"/>
            <w:bottom w:w="0" w:type="dxa"/>
            <w:right w:w="0" w:type="dxa"/>
          </w:tblCellMar>
        </w:tblPrEx>
        <w:trPr>
          <w:trHeight w:hRule="exact" w:val="274"/>
        </w:trPr>
        <w:tc>
          <w:tcPr>
            <w:tcW w:w="1810" w:type="dxa"/>
            <w:tcBorders>
              <w:top w:val="single" w:sz="2" w:space="0" w:color="auto"/>
              <w:left w:val="single" w:sz="2" w:space="0" w:color="auto"/>
              <w:bottom w:val="single" w:sz="2" w:space="0" w:color="auto"/>
              <w:right w:val="single" w:sz="2" w:space="0" w:color="auto"/>
            </w:tcBorders>
          </w:tcPr>
          <w:p w:rsidR="00F71E55" w:rsidRDefault="00F71E55">
            <w:pPr>
              <w:rPr>
                <w:sz w:val="20"/>
                <w:szCs w:val="20"/>
                <w:lang w:val="en-US"/>
              </w:rPr>
            </w:pPr>
            <w:r>
              <w:rPr>
                <w:sz w:val="20"/>
                <w:szCs w:val="20"/>
                <w:lang w:val="en-US"/>
              </w:rPr>
              <w:t>CA annuel total</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1881600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1980000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2494800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2520000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285600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center"/>
              <w:rPr>
                <w:sz w:val="20"/>
                <w:szCs w:val="20"/>
                <w:lang w:val="en-US"/>
              </w:rPr>
            </w:pPr>
            <w:r>
              <w:rPr>
                <w:sz w:val="20"/>
                <w:szCs w:val="20"/>
                <w:lang w:val="en-US"/>
              </w:rPr>
              <w:t>0</w:t>
            </w:r>
          </w:p>
        </w:tc>
        <w:tc>
          <w:tcPr>
            <w:tcW w:w="873"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4662000</w:t>
            </w:r>
          </w:p>
        </w:tc>
        <w:tc>
          <w:tcPr>
            <w:tcW w:w="874"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4500000</w:t>
            </w:r>
          </w:p>
        </w:tc>
        <w:tc>
          <w:tcPr>
            <w:tcW w:w="965" w:type="dxa"/>
            <w:tcBorders>
              <w:top w:val="single" w:sz="2" w:space="0" w:color="auto"/>
              <w:left w:val="single" w:sz="2" w:space="0" w:color="auto"/>
              <w:bottom w:val="single" w:sz="2" w:space="0" w:color="auto"/>
              <w:right w:val="single" w:sz="2" w:space="0" w:color="auto"/>
            </w:tcBorders>
          </w:tcPr>
          <w:p w:rsidR="00F71E55" w:rsidRDefault="00F71E55">
            <w:pPr>
              <w:ind w:left="249"/>
              <w:rPr>
                <w:b/>
                <w:bCs/>
                <w:sz w:val="20"/>
                <w:szCs w:val="20"/>
                <w:lang w:val="en-US"/>
              </w:rPr>
            </w:pPr>
            <w:r>
              <w:rPr>
                <w:b/>
                <w:bCs/>
                <w:sz w:val="20"/>
                <w:szCs w:val="20"/>
                <w:lang w:val="en-US"/>
              </w:rPr>
              <w:t>162000</w:t>
            </w:r>
          </w:p>
        </w:tc>
      </w:tr>
    </w:tbl>
    <w:p w:rsidR="00F71E55" w:rsidRPr="00F71E55" w:rsidRDefault="00F71E55">
      <w:pPr>
        <w:spacing w:before="252" w:after="252"/>
        <w:ind w:left="1368" w:right="792" w:hanging="360"/>
      </w:pPr>
      <w:r w:rsidRPr="00F71E55">
        <w:t>a) Valorisation de l’écart sur quantité aux prix de N-2, et calcul de l’écart sur prix avec les quantités de N-1</w:t>
      </w:r>
    </w:p>
    <w:tbl>
      <w:tblPr>
        <w:tblW w:w="0" w:type="auto"/>
        <w:tblInd w:w="291" w:type="dxa"/>
        <w:tblLayout w:type="fixed"/>
        <w:tblCellMar>
          <w:left w:w="0" w:type="dxa"/>
          <w:right w:w="0" w:type="dxa"/>
        </w:tblCellMar>
        <w:tblLook w:val="0000" w:firstRow="0" w:lastRow="0" w:firstColumn="0" w:lastColumn="0" w:noHBand="0" w:noVBand="0"/>
      </w:tblPr>
      <w:tblGrid>
        <w:gridCol w:w="3519"/>
        <w:gridCol w:w="941"/>
        <w:gridCol w:w="931"/>
        <w:gridCol w:w="941"/>
        <w:gridCol w:w="936"/>
      </w:tblGrid>
      <w:tr w:rsidR="00F71E55">
        <w:tblPrEx>
          <w:tblCellMar>
            <w:top w:w="0" w:type="dxa"/>
            <w:left w:w="0" w:type="dxa"/>
            <w:bottom w:w="0" w:type="dxa"/>
            <w:right w:w="0" w:type="dxa"/>
          </w:tblCellMar>
        </w:tblPrEx>
        <w:trPr>
          <w:trHeight w:hRule="exact" w:val="273"/>
        </w:trPr>
        <w:tc>
          <w:tcPr>
            <w:tcW w:w="3519" w:type="dxa"/>
            <w:tcBorders>
              <w:top w:val="single" w:sz="2" w:space="0" w:color="auto"/>
              <w:left w:val="single" w:sz="2" w:space="0" w:color="auto"/>
              <w:bottom w:val="single" w:sz="2" w:space="0" w:color="auto"/>
              <w:right w:val="single" w:sz="2" w:space="0" w:color="auto"/>
            </w:tcBorders>
          </w:tcPr>
          <w:p w:rsidR="00F71E55" w:rsidRPr="00F71E55" w:rsidRDefault="00F71E55"/>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adultes</w:t>
            </w:r>
          </w:p>
        </w:tc>
        <w:tc>
          <w:tcPr>
            <w:tcW w:w="93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enfants</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FDJ 17</w:t>
            </w:r>
          </w:p>
        </w:tc>
        <w:tc>
          <w:tcPr>
            <w:tcW w:w="936"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Total</w:t>
            </w:r>
          </w:p>
        </w:tc>
      </w:tr>
      <w:tr w:rsidR="00F71E55">
        <w:tblPrEx>
          <w:tblCellMar>
            <w:top w:w="0" w:type="dxa"/>
            <w:left w:w="0" w:type="dxa"/>
            <w:bottom w:w="0" w:type="dxa"/>
            <w:right w:w="0" w:type="dxa"/>
          </w:tblCellMar>
        </w:tblPrEx>
        <w:trPr>
          <w:trHeight w:hRule="exact" w:val="260"/>
        </w:trPr>
        <w:tc>
          <w:tcPr>
            <w:tcW w:w="3519" w:type="dxa"/>
            <w:tcBorders>
              <w:top w:val="single" w:sz="2" w:space="0" w:color="auto"/>
              <w:left w:val="single" w:sz="2" w:space="0" w:color="auto"/>
              <w:bottom w:val="single" w:sz="2" w:space="0" w:color="auto"/>
              <w:right w:val="single" w:sz="2" w:space="0" w:color="auto"/>
            </w:tcBorders>
          </w:tcPr>
          <w:p w:rsidR="00F71E55" w:rsidRPr="00F71E55" w:rsidRDefault="00F71E55">
            <w:pPr>
              <w:rPr>
                <w:sz w:val="20"/>
                <w:szCs w:val="20"/>
              </w:rPr>
            </w:pPr>
            <w:r w:rsidRPr="00F71E55">
              <w:rPr>
                <w:sz w:val="20"/>
                <w:szCs w:val="20"/>
              </w:rPr>
              <w:t>E/prix =(PxN-1- PxN-2)*QtésN-1</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-58800</w:t>
            </w:r>
          </w:p>
        </w:tc>
        <w:tc>
          <w:tcPr>
            <w:tcW w:w="93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-92400</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285600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134400</w:t>
            </w:r>
          </w:p>
        </w:tc>
      </w:tr>
      <w:tr w:rsidR="00F71E55">
        <w:tblPrEx>
          <w:tblCellMar>
            <w:top w:w="0" w:type="dxa"/>
            <w:left w:w="0" w:type="dxa"/>
            <w:bottom w:w="0" w:type="dxa"/>
            <w:right w:w="0" w:type="dxa"/>
          </w:tblCellMar>
        </w:tblPrEx>
        <w:trPr>
          <w:trHeight w:hRule="exact" w:val="268"/>
        </w:trPr>
        <w:tc>
          <w:tcPr>
            <w:tcW w:w="3519" w:type="dxa"/>
            <w:tcBorders>
              <w:top w:val="single" w:sz="2" w:space="0" w:color="auto"/>
              <w:left w:val="single" w:sz="2" w:space="0" w:color="auto"/>
              <w:bottom w:val="single" w:sz="2" w:space="0" w:color="auto"/>
              <w:right w:val="single" w:sz="2" w:space="0" w:color="auto"/>
            </w:tcBorders>
          </w:tcPr>
          <w:p w:rsidR="00F71E55" w:rsidRPr="00F71E55" w:rsidRDefault="00F71E55">
            <w:pPr>
              <w:rPr>
                <w:sz w:val="20"/>
                <w:szCs w:val="20"/>
              </w:rPr>
            </w:pPr>
            <w:r w:rsidRPr="00F71E55">
              <w:rPr>
                <w:sz w:val="20"/>
                <w:szCs w:val="20"/>
              </w:rPr>
              <w:t>E/qtés = PxN-2 (QtésN-1 -Qtés N-2)</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-39600</w:t>
            </w:r>
          </w:p>
        </w:tc>
        <w:tc>
          <w:tcPr>
            <w:tcW w:w="93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67200</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0</w:t>
            </w:r>
          </w:p>
        </w:tc>
        <w:tc>
          <w:tcPr>
            <w:tcW w:w="936"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27600</w:t>
            </w:r>
          </w:p>
        </w:tc>
      </w:tr>
      <w:tr w:rsidR="00F71E55">
        <w:tblPrEx>
          <w:tblCellMar>
            <w:top w:w="0" w:type="dxa"/>
            <w:left w:w="0" w:type="dxa"/>
            <w:bottom w:w="0" w:type="dxa"/>
            <w:right w:w="0" w:type="dxa"/>
          </w:tblCellMar>
        </w:tblPrEx>
        <w:trPr>
          <w:trHeight w:hRule="exact" w:val="274"/>
        </w:trPr>
        <w:tc>
          <w:tcPr>
            <w:tcW w:w="3519" w:type="dxa"/>
            <w:tcBorders>
              <w:top w:val="single" w:sz="2" w:space="0" w:color="auto"/>
              <w:left w:val="single" w:sz="2" w:space="0" w:color="auto"/>
              <w:bottom w:val="single" w:sz="2" w:space="0" w:color="auto"/>
              <w:right w:val="single" w:sz="2" w:space="0" w:color="auto"/>
            </w:tcBorders>
          </w:tcPr>
          <w:p w:rsidR="00F71E55" w:rsidRDefault="00F71E55">
            <w:pPr>
              <w:rPr>
                <w:sz w:val="20"/>
                <w:szCs w:val="20"/>
                <w:lang w:val="en-US"/>
              </w:rPr>
            </w:pPr>
            <w:r>
              <w:rPr>
                <w:sz w:val="20"/>
                <w:szCs w:val="20"/>
                <w:lang w:val="en-US"/>
              </w:rPr>
              <w:t>Total</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-98400</w:t>
            </w:r>
          </w:p>
        </w:tc>
        <w:tc>
          <w:tcPr>
            <w:tcW w:w="93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-25200</w:t>
            </w:r>
          </w:p>
        </w:tc>
        <w:tc>
          <w:tcPr>
            <w:tcW w:w="941"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285600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pPr>
              <w:jc w:val="right"/>
              <w:rPr>
                <w:sz w:val="20"/>
                <w:szCs w:val="20"/>
                <w:lang w:val="en-US"/>
              </w:rPr>
            </w:pPr>
            <w:r>
              <w:rPr>
                <w:sz w:val="20"/>
                <w:szCs w:val="20"/>
                <w:lang w:val="en-US"/>
              </w:rPr>
              <w:t>162000</w:t>
            </w:r>
          </w:p>
        </w:tc>
      </w:tr>
    </w:tbl>
    <w:p w:rsidR="00F71E55" w:rsidRDefault="00F71E55">
      <w:pPr>
        <w:ind w:left="288"/>
        <w:rPr>
          <w:sz w:val="20"/>
          <w:szCs w:val="20"/>
          <w:lang w:val="en-US"/>
        </w:rPr>
      </w:pPr>
      <w:r>
        <w:rPr>
          <w:sz w:val="20"/>
          <w:szCs w:val="20"/>
          <w:lang w:val="en-US"/>
        </w:rPr>
        <w:t>Signe - = défavorable</w:t>
      </w:r>
    </w:p>
    <w:p w:rsidR="00F71E55" w:rsidRPr="00F71E55" w:rsidRDefault="00F71E55">
      <w:pPr>
        <w:tabs>
          <w:tab w:val="left" w:pos="9057"/>
        </w:tabs>
        <w:spacing w:before="504"/>
        <w:ind w:left="288"/>
        <w:rPr>
          <w:sz w:val="20"/>
          <w:szCs w:val="20"/>
        </w:rPr>
      </w:pPr>
    </w:p>
    <w:p w:rsidR="00F71E55" w:rsidRDefault="00F71E55">
      <w:pPr>
        <w:tabs>
          <w:tab w:val="left" w:pos="9057"/>
        </w:tabs>
        <w:spacing w:before="504"/>
        <w:ind w:left="288"/>
        <w:sectPr w:rsidR="00F71E55" w:rsidSect="00F71E55">
          <w:pgSz w:w="11904" w:h="16843"/>
          <w:pgMar w:top="851" w:right="912" w:bottom="467" w:left="1058" w:header="720" w:footer="720" w:gutter="0"/>
          <w:cols w:space="720"/>
          <w:noEndnote/>
        </w:sectPr>
      </w:pPr>
    </w:p>
    <w:p w:rsidR="00F71E55" w:rsidRPr="00F71E55" w:rsidRDefault="00F71E55">
      <w:pPr>
        <w:spacing w:before="180"/>
        <w:ind w:left="1080"/>
        <w:rPr>
          <w:b/>
          <w:bCs/>
        </w:rPr>
      </w:pPr>
      <w:r w:rsidRPr="00F71E55">
        <w:rPr>
          <w:b/>
          <w:bCs/>
        </w:rPr>
        <w:lastRenderedPageBreak/>
        <w:t>Ou</w:t>
      </w:r>
    </w:p>
    <w:p w:rsidR="00F71E55" w:rsidRPr="00F71E55" w:rsidRDefault="00F71E55"/>
    <w:p w:rsidR="00F71E55" w:rsidRPr="00F71E55" w:rsidRDefault="00F71E55" w:rsidP="00F71E55">
      <w:pPr>
        <w:spacing w:after="252"/>
        <w:ind w:left="1080" w:right="-53" w:hanging="360"/>
        <w:jc w:val="both"/>
      </w:pPr>
      <w:r w:rsidRPr="00F71E55">
        <w:t>b) Valorisation de l’écart sur quantité aux prix de N-1, et calcul de l’écart sur prix avec les quantités de N-2</w:t>
      </w:r>
    </w:p>
    <w:tbl>
      <w:tblPr>
        <w:tblW w:w="0" w:type="auto"/>
        <w:tblInd w:w="75" w:type="dxa"/>
        <w:tblLayout w:type="fixed"/>
        <w:tblCellMar>
          <w:left w:w="0" w:type="dxa"/>
          <w:right w:w="0" w:type="dxa"/>
        </w:tblCellMar>
        <w:tblLook w:val="0000" w:firstRow="0" w:lastRow="0" w:firstColumn="0" w:lastColumn="0" w:noHBand="0" w:noVBand="0"/>
      </w:tblPr>
      <w:tblGrid>
        <w:gridCol w:w="3519"/>
        <w:gridCol w:w="936"/>
        <w:gridCol w:w="936"/>
        <w:gridCol w:w="936"/>
        <w:gridCol w:w="940"/>
      </w:tblGrid>
      <w:tr w:rsidR="00F71E55">
        <w:tblPrEx>
          <w:tblCellMar>
            <w:top w:w="0" w:type="dxa"/>
            <w:left w:w="0" w:type="dxa"/>
            <w:bottom w:w="0" w:type="dxa"/>
            <w:right w:w="0" w:type="dxa"/>
          </w:tblCellMar>
        </w:tblPrEx>
        <w:trPr>
          <w:trHeight w:hRule="exact" w:val="269"/>
        </w:trPr>
        <w:tc>
          <w:tcPr>
            <w:tcW w:w="3519" w:type="dxa"/>
            <w:tcBorders>
              <w:top w:val="single" w:sz="2" w:space="0" w:color="auto"/>
              <w:left w:val="single" w:sz="2" w:space="0" w:color="auto"/>
              <w:bottom w:val="single" w:sz="2" w:space="0" w:color="auto"/>
              <w:right w:val="single" w:sz="2" w:space="0" w:color="auto"/>
            </w:tcBorders>
          </w:tcPr>
          <w:p w:rsidR="00F71E55" w:rsidRPr="00F71E55" w:rsidRDefault="00F71E55" w:rsidP="00F71E55">
            <w:pPr>
              <w:ind w:right="-53"/>
              <w:jc w:val="both"/>
            </w:pP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adultes</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enfants</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FDJ 17</w:t>
            </w:r>
          </w:p>
        </w:tc>
        <w:tc>
          <w:tcPr>
            <w:tcW w:w="940"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Total</w:t>
            </w:r>
          </w:p>
        </w:tc>
      </w:tr>
      <w:tr w:rsidR="00F71E55">
        <w:tblPrEx>
          <w:tblCellMar>
            <w:top w:w="0" w:type="dxa"/>
            <w:left w:w="0" w:type="dxa"/>
            <w:bottom w:w="0" w:type="dxa"/>
            <w:right w:w="0" w:type="dxa"/>
          </w:tblCellMar>
        </w:tblPrEx>
        <w:trPr>
          <w:trHeight w:hRule="exact" w:val="264"/>
        </w:trPr>
        <w:tc>
          <w:tcPr>
            <w:tcW w:w="3519" w:type="dxa"/>
            <w:tcBorders>
              <w:top w:val="single" w:sz="2" w:space="0" w:color="auto"/>
              <w:left w:val="single" w:sz="2" w:space="0" w:color="auto"/>
              <w:bottom w:val="single" w:sz="2" w:space="0" w:color="auto"/>
              <w:right w:val="single" w:sz="2" w:space="0" w:color="auto"/>
            </w:tcBorders>
          </w:tcPr>
          <w:p w:rsidR="00F71E55" w:rsidRPr="00F71E55" w:rsidRDefault="00F71E55" w:rsidP="00F71E55">
            <w:pPr>
              <w:ind w:right="-53"/>
              <w:jc w:val="both"/>
              <w:rPr>
                <w:sz w:val="20"/>
                <w:szCs w:val="20"/>
              </w:rPr>
            </w:pPr>
            <w:r w:rsidRPr="00F71E55">
              <w:rPr>
                <w:sz w:val="20"/>
                <w:szCs w:val="20"/>
              </w:rPr>
              <w:t>E/prix =(PxN-1- PxN-2)*QtésN-2</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-60000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-90000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0</w:t>
            </w:r>
          </w:p>
        </w:tc>
        <w:tc>
          <w:tcPr>
            <w:tcW w:w="940"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-150000</w:t>
            </w:r>
          </w:p>
        </w:tc>
      </w:tr>
      <w:tr w:rsidR="00F71E55">
        <w:tblPrEx>
          <w:tblCellMar>
            <w:top w:w="0" w:type="dxa"/>
            <w:left w:w="0" w:type="dxa"/>
            <w:bottom w:w="0" w:type="dxa"/>
            <w:right w:w="0" w:type="dxa"/>
          </w:tblCellMar>
        </w:tblPrEx>
        <w:trPr>
          <w:trHeight w:hRule="exact" w:val="264"/>
        </w:trPr>
        <w:tc>
          <w:tcPr>
            <w:tcW w:w="3519" w:type="dxa"/>
            <w:tcBorders>
              <w:top w:val="single" w:sz="2" w:space="0" w:color="auto"/>
              <w:left w:val="single" w:sz="2" w:space="0" w:color="auto"/>
              <w:bottom w:val="single" w:sz="2" w:space="0" w:color="auto"/>
              <w:right w:val="single" w:sz="2" w:space="0" w:color="auto"/>
            </w:tcBorders>
          </w:tcPr>
          <w:p w:rsidR="00F71E55" w:rsidRPr="00F71E55" w:rsidRDefault="00F71E55" w:rsidP="00F71E55">
            <w:pPr>
              <w:ind w:right="-53"/>
              <w:jc w:val="both"/>
              <w:rPr>
                <w:sz w:val="20"/>
                <w:szCs w:val="20"/>
              </w:rPr>
            </w:pPr>
            <w:r w:rsidRPr="00F71E55">
              <w:rPr>
                <w:sz w:val="20"/>
                <w:szCs w:val="20"/>
              </w:rPr>
              <w:t>E/qtés = PxN-1 (QtésN-1 -Qtés N-2)</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-38400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64800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285600</w:t>
            </w:r>
          </w:p>
        </w:tc>
        <w:tc>
          <w:tcPr>
            <w:tcW w:w="940"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312000</w:t>
            </w:r>
          </w:p>
        </w:tc>
      </w:tr>
      <w:tr w:rsidR="00F71E55">
        <w:tblPrEx>
          <w:tblCellMar>
            <w:top w:w="0" w:type="dxa"/>
            <w:left w:w="0" w:type="dxa"/>
            <w:bottom w:w="0" w:type="dxa"/>
            <w:right w:w="0" w:type="dxa"/>
          </w:tblCellMar>
        </w:tblPrEx>
        <w:trPr>
          <w:trHeight w:hRule="exact" w:val="273"/>
        </w:trPr>
        <w:tc>
          <w:tcPr>
            <w:tcW w:w="3519"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Total</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-98400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-25200</w:t>
            </w:r>
          </w:p>
        </w:tc>
        <w:tc>
          <w:tcPr>
            <w:tcW w:w="936"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285600</w:t>
            </w:r>
          </w:p>
        </w:tc>
        <w:tc>
          <w:tcPr>
            <w:tcW w:w="940"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162000</w:t>
            </w:r>
          </w:p>
        </w:tc>
      </w:tr>
    </w:tbl>
    <w:p w:rsidR="00F71E55" w:rsidRDefault="00F71E55" w:rsidP="00F71E55">
      <w:pPr>
        <w:ind w:right="-53"/>
        <w:jc w:val="both"/>
        <w:rPr>
          <w:sz w:val="20"/>
          <w:szCs w:val="20"/>
          <w:lang w:val="en-US"/>
        </w:rPr>
      </w:pPr>
      <w:r>
        <w:rPr>
          <w:sz w:val="20"/>
          <w:szCs w:val="20"/>
          <w:lang w:val="en-US"/>
        </w:rPr>
        <w:t>Signe - = défavorable</w:t>
      </w:r>
    </w:p>
    <w:p w:rsidR="00F71E55" w:rsidRDefault="00F71E55" w:rsidP="00F71E55">
      <w:pPr>
        <w:ind w:right="-53"/>
        <w:jc w:val="both"/>
        <w:rPr>
          <w:lang w:val="en-US"/>
        </w:rPr>
      </w:pPr>
    </w:p>
    <w:p w:rsidR="00F71E55" w:rsidRDefault="00F71E55" w:rsidP="00F71E55">
      <w:pPr>
        <w:ind w:right="-53"/>
        <w:jc w:val="both"/>
        <w:rPr>
          <w:lang w:val="en-US"/>
        </w:rPr>
      </w:pPr>
    </w:p>
    <w:p w:rsidR="00F71E55" w:rsidRDefault="00F71E55" w:rsidP="00F71E55">
      <w:pPr>
        <w:ind w:right="-53"/>
        <w:jc w:val="both"/>
        <w:rPr>
          <w:lang w:val="en-US"/>
        </w:rPr>
      </w:pPr>
      <w:r>
        <w:rPr>
          <w:u w:val="single"/>
          <w:lang w:val="en-US"/>
        </w:rPr>
        <w:t>Interprétation et commentaires</w:t>
      </w:r>
    </w:p>
    <w:p w:rsidR="00F71E55" w:rsidRDefault="00F71E55" w:rsidP="00F71E55">
      <w:pPr>
        <w:ind w:right="-53"/>
        <w:jc w:val="both"/>
        <w:rPr>
          <w:lang w:val="en-US"/>
        </w:rPr>
      </w:pPr>
    </w:p>
    <w:p w:rsidR="00F71E55" w:rsidRPr="00F71E55" w:rsidRDefault="00F71E55" w:rsidP="00F71E55">
      <w:pPr>
        <w:ind w:right="-53"/>
        <w:jc w:val="both"/>
      </w:pPr>
      <w:r w:rsidRPr="00F71E55">
        <w:t>L’écart total sur chiffre d’affaires est favorable. Cette évolution s’explique globalement en raison de deux effets contradictoires :</w:t>
      </w:r>
    </w:p>
    <w:p w:rsidR="00F71E55" w:rsidRPr="00F71E55" w:rsidRDefault="00F71E55" w:rsidP="00F71E55">
      <w:pPr>
        <w:numPr>
          <w:ilvl w:val="0"/>
          <w:numId w:val="7"/>
        </w:numPr>
        <w:spacing w:before="288"/>
        <w:ind w:right="-53"/>
        <w:jc w:val="both"/>
      </w:pPr>
      <w:r w:rsidRPr="00F71E55">
        <w:t>Une diminution du prix moyen qui entraine un écart sur prix défavorable</w:t>
      </w:r>
    </w:p>
    <w:p w:rsidR="00F71E55" w:rsidRPr="00F71E55" w:rsidRDefault="00F71E55" w:rsidP="00F71E55">
      <w:pPr>
        <w:numPr>
          <w:ilvl w:val="0"/>
          <w:numId w:val="8"/>
        </w:numPr>
        <w:spacing w:before="288"/>
        <w:ind w:right="-53"/>
        <w:jc w:val="both"/>
      </w:pPr>
      <w:r w:rsidRPr="00F71E55">
        <w:t>Une hausse de la fréquentation du parc, à relier à la baisse des prix (notion d’élasticité).</w:t>
      </w:r>
    </w:p>
    <w:p w:rsidR="00F71E55" w:rsidRPr="00F71E55" w:rsidRDefault="00F71E55" w:rsidP="00F71E55">
      <w:pPr>
        <w:ind w:right="-53"/>
        <w:jc w:val="both"/>
      </w:pPr>
    </w:p>
    <w:p w:rsidR="00F71E55" w:rsidRPr="00F71E55" w:rsidRDefault="00F71E55" w:rsidP="00F71E55">
      <w:pPr>
        <w:ind w:right="-53"/>
        <w:jc w:val="both"/>
      </w:pPr>
      <w:r w:rsidRPr="00F71E55">
        <w:t>Cependant, une analyse par segment de clientèle permet de constater que si l’écart sur chiffre d’affaires est favorable, c’est en raison du nouveau segment (FDJ 17).</w:t>
      </w:r>
    </w:p>
    <w:p w:rsidR="00F71E55" w:rsidRPr="00F71E55" w:rsidRDefault="00F71E55" w:rsidP="00F71E55">
      <w:pPr>
        <w:ind w:right="-53"/>
        <w:jc w:val="both"/>
      </w:pPr>
    </w:p>
    <w:p w:rsidR="00F71E55" w:rsidRPr="00F71E55" w:rsidRDefault="00F71E55" w:rsidP="00F71E55">
      <w:pPr>
        <w:ind w:right="-53"/>
        <w:jc w:val="both"/>
        <w:rPr>
          <w:b/>
          <w:bCs/>
        </w:rPr>
      </w:pPr>
      <w:r w:rsidRPr="00F71E55">
        <w:rPr>
          <w:b/>
          <w:bCs/>
        </w:rPr>
        <w:t>2. Justifier les cellules grisées et encadrées des tableaux de l’annexe 7 en précisant le(s) calcul(s) opéré(s).</w:t>
      </w:r>
    </w:p>
    <w:p w:rsidR="00F71E55" w:rsidRPr="00F71E55" w:rsidRDefault="00F71E55" w:rsidP="00F71E55">
      <w:pPr>
        <w:ind w:right="-53"/>
        <w:jc w:val="both"/>
      </w:pPr>
    </w:p>
    <w:p w:rsidR="00F71E55" w:rsidRPr="00F71E55" w:rsidRDefault="00F71E55" w:rsidP="00F71E55">
      <w:pPr>
        <w:ind w:right="-53"/>
        <w:jc w:val="both"/>
      </w:pPr>
      <w:r w:rsidRPr="00F71E55">
        <w:t>Calculs préparatoires :</w:t>
      </w:r>
    </w:p>
    <w:p w:rsidR="00F71E55" w:rsidRDefault="00F71E55" w:rsidP="00F71E55">
      <w:pPr>
        <w:spacing w:after="252"/>
        <w:ind w:right="-53"/>
        <w:jc w:val="both"/>
        <w:rPr>
          <w:lang w:val="en-US"/>
        </w:rPr>
      </w:pPr>
      <w:r w:rsidRPr="00F71E55">
        <w:t xml:space="preserve">Seule la justification des calculs des compositions « enfants N-2 » et « FDJ 17 N-1 » est utile pour la suite. </w:t>
      </w:r>
      <w:r>
        <w:rPr>
          <w:lang w:val="en-US"/>
        </w:rPr>
        <w:t>Les autres compositions sont indiquées uniquement à titre indicatif.</w:t>
      </w:r>
    </w:p>
    <w:tbl>
      <w:tblPr>
        <w:tblW w:w="0" w:type="auto"/>
        <w:tblInd w:w="75" w:type="dxa"/>
        <w:tblLayout w:type="fixed"/>
        <w:tblCellMar>
          <w:left w:w="0" w:type="dxa"/>
          <w:right w:w="0" w:type="dxa"/>
        </w:tblCellMar>
        <w:tblLook w:val="0000" w:firstRow="0" w:lastRow="0" w:firstColumn="0" w:lastColumn="0" w:noHBand="0" w:noVBand="0"/>
      </w:tblPr>
      <w:tblGrid>
        <w:gridCol w:w="2583"/>
        <w:gridCol w:w="921"/>
        <w:gridCol w:w="922"/>
        <w:gridCol w:w="917"/>
        <w:gridCol w:w="921"/>
        <w:gridCol w:w="922"/>
        <w:gridCol w:w="922"/>
      </w:tblGrid>
      <w:tr w:rsidR="00F71E55">
        <w:tblPrEx>
          <w:tblCellMar>
            <w:top w:w="0" w:type="dxa"/>
            <w:left w:w="0" w:type="dxa"/>
            <w:bottom w:w="0" w:type="dxa"/>
            <w:right w:w="0" w:type="dxa"/>
          </w:tblCellMar>
        </w:tblPrEx>
        <w:trPr>
          <w:trHeight w:hRule="exact" w:val="288"/>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Tarif</w:t>
            </w:r>
          </w:p>
        </w:tc>
        <w:tc>
          <w:tcPr>
            <w:tcW w:w="1843" w:type="dxa"/>
            <w:gridSpan w:val="2"/>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adulte</w:t>
            </w:r>
          </w:p>
        </w:tc>
        <w:tc>
          <w:tcPr>
            <w:tcW w:w="1838" w:type="dxa"/>
            <w:gridSpan w:val="2"/>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enfant</w:t>
            </w:r>
          </w:p>
        </w:tc>
        <w:tc>
          <w:tcPr>
            <w:tcW w:w="1844" w:type="dxa"/>
            <w:gridSpan w:val="2"/>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FDJ 17</w:t>
            </w:r>
          </w:p>
        </w:tc>
      </w:tr>
      <w:tr w:rsidR="00F71E55">
        <w:tblPrEx>
          <w:tblCellMar>
            <w:top w:w="0" w:type="dxa"/>
            <w:left w:w="0" w:type="dxa"/>
            <w:bottom w:w="0" w:type="dxa"/>
            <w:right w:w="0" w:type="dxa"/>
          </w:tblCellMar>
        </w:tblPrEx>
        <w:trPr>
          <w:trHeight w:hRule="exact" w:val="288"/>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saison</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N-1</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N-2</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N-1</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lang w:val="en-US"/>
              </w:rPr>
            </w:pPr>
            <w:r>
              <w:rPr>
                <w:b/>
                <w:bCs/>
                <w:lang w:val="en-US"/>
              </w:rPr>
              <w:t>N-2</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lang w:val="en-US"/>
              </w:rPr>
            </w:pPr>
            <w:r>
              <w:rPr>
                <w:b/>
                <w:bCs/>
                <w:lang w:val="en-US"/>
              </w:rPr>
              <w:t>N-1</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N-2</w:t>
            </w:r>
          </w:p>
        </w:tc>
      </w:tr>
      <w:tr w:rsidR="00F71E55">
        <w:tblPrEx>
          <w:tblCellMar>
            <w:top w:w="0" w:type="dxa"/>
            <w:left w:w="0" w:type="dxa"/>
            <w:bottom w:w="0" w:type="dxa"/>
            <w:right w:w="0" w:type="dxa"/>
          </w:tblCellMar>
        </w:tblPrEx>
        <w:trPr>
          <w:trHeight w:hRule="exact" w:val="283"/>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prix unitaire entrée</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32</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33</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27</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lang w:val="en-US"/>
              </w:rPr>
            </w:pPr>
            <w:r>
              <w:rPr>
                <w:b/>
                <w:bCs/>
                <w:lang w:val="en-US"/>
              </w:rPr>
              <w:t>28</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lang w:val="en-US"/>
              </w:rPr>
            </w:pPr>
            <w:r>
              <w:rPr>
                <w:b/>
                <w:bCs/>
                <w:lang w:val="en-US"/>
              </w:rPr>
              <w:t>17</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sz w:val="20"/>
                <w:szCs w:val="20"/>
                <w:lang w:val="en-US"/>
              </w:rPr>
            </w:pPr>
            <w:r>
              <w:rPr>
                <w:sz w:val="20"/>
                <w:szCs w:val="20"/>
                <w:lang w:val="en-US"/>
              </w:rPr>
              <w:t>inexistant</w:t>
            </w:r>
          </w:p>
        </w:tc>
      </w:tr>
      <w:tr w:rsidR="00F71E55">
        <w:tblPrEx>
          <w:tblCellMar>
            <w:top w:w="0" w:type="dxa"/>
            <w:left w:w="0" w:type="dxa"/>
            <w:bottom w:w="0" w:type="dxa"/>
            <w:right w:w="0" w:type="dxa"/>
          </w:tblCellMar>
        </w:tblPrEx>
        <w:trPr>
          <w:trHeight w:hRule="exact" w:val="288"/>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nb annuel entrées</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58800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60000</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92400</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lang w:val="en-US"/>
              </w:rPr>
            </w:pPr>
            <w:r>
              <w:rPr>
                <w:b/>
                <w:bCs/>
                <w:lang w:val="en-US"/>
              </w:rPr>
              <w:t>90000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lang w:val="en-US"/>
              </w:rPr>
            </w:pPr>
            <w:r>
              <w:rPr>
                <w:b/>
                <w:bCs/>
                <w:lang w:val="en-US"/>
              </w:rPr>
              <w:t>16800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p>
        </w:tc>
      </w:tr>
      <w:tr w:rsidR="00F71E55">
        <w:tblPrEx>
          <w:tblCellMar>
            <w:top w:w="0" w:type="dxa"/>
            <w:left w:w="0" w:type="dxa"/>
            <w:bottom w:w="0" w:type="dxa"/>
            <w:right w:w="0" w:type="dxa"/>
          </w:tblCellMar>
        </w:tblPrEx>
        <w:trPr>
          <w:trHeight w:hRule="exact" w:val="288"/>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lang w:val="en-US"/>
              </w:rPr>
            </w:pPr>
            <w:r>
              <w:rPr>
                <w:lang w:val="en-US"/>
              </w:rPr>
              <w:t>CA</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sz w:val="20"/>
                <w:szCs w:val="20"/>
                <w:lang w:val="en-US"/>
              </w:rPr>
            </w:pPr>
            <w:r>
              <w:rPr>
                <w:sz w:val="20"/>
                <w:szCs w:val="20"/>
                <w:lang w:val="en-US"/>
              </w:rPr>
              <w:t>1881600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sz w:val="20"/>
                <w:szCs w:val="20"/>
                <w:lang w:val="en-US"/>
              </w:rPr>
            </w:pPr>
            <w:r>
              <w:rPr>
                <w:sz w:val="20"/>
                <w:szCs w:val="20"/>
                <w:lang w:val="en-US"/>
              </w:rPr>
              <w:t>1980000</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sz w:val="20"/>
                <w:szCs w:val="20"/>
                <w:lang w:val="en-US"/>
              </w:rPr>
            </w:pPr>
            <w:r>
              <w:rPr>
                <w:sz w:val="20"/>
                <w:szCs w:val="20"/>
                <w:lang w:val="en-US"/>
              </w:rPr>
              <w:t>2494800</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b/>
                <w:bCs/>
                <w:sz w:val="20"/>
                <w:szCs w:val="20"/>
                <w:lang w:val="en-US"/>
              </w:rPr>
            </w:pPr>
            <w:r>
              <w:rPr>
                <w:b/>
                <w:bCs/>
                <w:sz w:val="20"/>
                <w:szCs w:val="20"/>
                <w:lang w:val="en-US"/>
              </w:rPr>
              <w:t>2520000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b/>
                <w:bCs/>
                <w:sz w:val="20"/>
                <w:szCs w:val="20"/>
                <w:lang w:val="en-US"/>
              </w:rPr>
            </w:pPr>
            <w:r>
              <w:rPr>
                <w:b/>
                <w:bCs/>
                <w:sz w:val="20"/>
                <w:szCs w:val="20"/>
                <w:lang w:val="en-US"/>
              </w:rPr>
              <w:t>285600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36"/>
              <w:ind w:right="-53"/>
              <w:jc w:val="both"/>
              <w:rPr>
                <w:sz w:val="20"/>
                <w:szCs w:val="20"/>
                <w:lang w:val="en-US"/>
              </w:rPr>
            </w:pPr>
            <w:r>
              <w:rPr>
                <w:sz w:val="20"/>
                <w:szCs w:val="20"/>
                <w:lang w:val="en-US"/>
              </w:rPr>
              <w:t>0</w:t>
            </w:r>
          </w:p>
        </w:tc>
      </w:tr>
      <w:tr w:rsidR="00F71E55">
        <w:tblPrEx>
          <w:tblCellMar>
            <w:top w:w="0" w:type="dxa"/>
            <w:left w:w="0" w:type="dxa"/>
            <w:bottom w:w="0" w:type="dxa"/>
            <w:right w:w="0" w:type="dxa"/>
          </w:tblCellMar>
        </w:tblPrEx>
        <w:trPr>
          <w:trHeight w:hRule="exact" w:val="264"/>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Prix unitaire</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32</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33</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27</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sz w:val="20"/>
                <w:szCs w:val="20"/>
                <w:lang w:val="en-US"/>
              </w:rPr>
            </w:pPr>
            <w:r>
              <w:rPr>
                <w:b/>
                <w:bCs/>
                <w:sz w:val="20"/>
                <w:szCs w:val="20"/>
                <w:lang w:val="en-US"/>
              </w:rPr>
              <w:t>28</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sz w:val="20"/>
                <w:szCs w:val="20"/>
                <w:lang w:val="en-US"/>
              </w:rPr>
            </w:pPr>
            <w:r>
              <w:rPr>
                <w:b/>
                <w:bCs/>
                <w:sz w:val="20"/>
                <w:szCs w:val="20"/>
                <w:lang w:val="en-US"/>
              </w:rPr>
              <w:t>17</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0</w:t>
            </w:r>
          </w:p>
        </w:tc>
      </w:tr>
      <w:tr w:rsidR="00F71E55">
        <w:tblPrEx>
          <w:tblCellMar>
            <w:top w:w="0" w:type="dxa"/>
            <w:left w:w="0" w:type="dxa"/>
            <w:bottom w:w="0" w:type="dxa"/>
            <w:right w:w="0" w:type="dxa"/>
          </w:tblCellMar>
        </w:tblPrEx>
        <w:trPr>
          <w:trHeight w:hRule="exact" w:val="332"/>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72"/>
              <w:ind w:right="-53"/>
              <w:jc w:val="both"/>
              <w:rPr>
                <w:sz w:val="20"/>
                <w:szCs w:val="20"/>
                <w:lang w:val="en-US"/>
              </w:rPr>
            </w:pPr>
            <w:r>
              <w:rPr>
                <w:sz w:val="20"/>
                <w:szCs w:val="20"/>
                <w:lang w:val="en-US"/>
              </w:rPr>
              <w:t>composition</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108"/>
              <w:ind w:right="-53"/>
              <w:jc w:val="both"/>
              <w:rPr>
                <w:i/>
                <w:iCs/>
                <w:spacing w:val="12"/>
                <w:sz w:val="18"/>
                <w:szCs w:val="18"/>
                <w:lang w:val="en-US"/>
              </w:rPr>
            </w:pPr>
            <w:r>
              <w:rPr>
                <w:i/>
                <w:iCs/>
                <w:spacing w:val="12"/>
                <w:sz w:val="18"/>
                <w:szCs w:val="18"/>
                <w:lang w:val="en-US"/>
              </w:rPr>
              <w:t>0,35</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108"/>
              <w:ind w:right="-53"/>
              <w:jc w:val="both"/>
              <w:rPr>
                <w:i/>
                <w:iCs/>
                <w:spacing w:val="12"/>
                <w:sz w:val="18"/>
                <w:szCs w:val="18"/>
                <w:lang w:val="en-US"/>
              </w:rPr>
            </w:pPr>
            <w:r>
              <w:rPr>
                <w:i/>
                <w:iCs/>
                <w:spacing w:val="12"/>
                <w:sz w:val="18"/>
                <w:szCs w:val="18"/>
                <w:lang w:val="en-US"/>
              </w:rPr>
              <w:t>0,40</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108"/>
              <w:ind w:right="-53"/>
              <w:jc w:val="both"/>
              <w:rPr>
                <w:i/>
                <w:iCs/>
                <w:spacing w:val="12"/>
                <w:sz w:val="18"/>
                <w:szCs w:val="18"/>
                <w:lang w:val="en-US"/>
              </w:rPr>
            </w:pPr>
            <w:r>
              <w:rPr>
                <w:i/>
                <w:iCs/>
                <w:spacing w:val="12"/>
                <w:sz w:val="18"/>
                <w:szCs w:val="18"/>
                <w:lang w:val="en-US"/>
              </w:rPr>
              <w:t>0,55</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spacing w:val="14"/>
                <w:sz w:val="26"/>
                <w:szCs w:val="26"/>
                <w:lang w:val="en-US"/>
              </w:rPr>
            </w:pPr>
            <w:r>
              <w:rPr>
                <w:b/>
                <w:bCs/>
                <w:spacing w:val="14"/>
                <w:sz w:val="26"/>
                <w:szCs w:val="26"/>
                <w:lang w:val="en-US"/>
              </w:rPr>
              <w:t>0,6</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spacing w:val="14"/>
                <w:sz w:val="26"/>
                <w:szCs w:val="26"/>
                <w:lang w:val="en-US"/>
              </w:rPr>
            </w:pPr>
            <w:r>
              <w:rPr>
                <w:b/>
                <w:bCs/>
                <w:spacing w:val="14"/>
                <w:sz w:val="26"/>
                <w:szCs w:val="26"/>
                <w:lang w:val="en-US"/>
              </w:rPr>
              <w:t>0,1</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spacing w:before="108"/>
              <w:ind w:right="-53"/>
              <w:jc w:val="both"/>
              <w:rPr>
                <w:i/>
                <w:iCs/>
                <w:spacing w:val="12"/>
                <w:sz w:val="18"/>
                <w:szCs w:val="18"/>
                <w:lang w:val="en-US"/>
              </w:rPr>
            </w:pPr>
            <w:r>
              <w:rPr>
                <w:i/>
                <w:iCs/>
                <w:spacing w:val="12"/>
                <w:sz w:val="18"/>
                <w:szCs w:val="18"/>
                <w:lang w:val="en-US"/>
              </w:rPr>
              <w:t>0,0</w:t>
            </w:r>
          </w:p>
        </w:tc>
      </w:tr>
      <w:tr w:rsidR="00F71E55">
        <w:tblPrEx>
          <w:tblCellMar>
            <w:top w:w="0" w:type="dxa"/>
            <w:left w:w="0" w:type="dxa"/>
            <w:bottom w:w="0" w:type="dxa"/>
            <w:right w:w="0" w:type="dxa"/>
          </w:tblCellMar>
        </w:tblPrEx>
        <w:trPr>
          <w:trHeight w:hRule="exact" w:val="268"/>
        </w:trPr>
        <w:tc>
          <w:tcPr>
            <w:tcW w:w="2583"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volume total ventes</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168000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150000</w:t>
            </w:r>
          </w:p>
        </w:tc>
        <w:tc>
          <w:tcPr>
            <w:tcW w:w="917"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168000</w:t>
            </w:r>
          </w:p>
        </w:tc>
        <w:tc>
          <w:tcPr>
            <w:tcW w:w="921"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sz w:val="20"/>
                <w:szCs w:val="20"/>
                <w:lang w:val="en-US"/>
              </w:rPr>
            </w:pPr>
            <w:r>
              <w:rPr>
                <w:b/>
                <w:bCs/>
                <w:sz w:val="20"/>
                <w:szCs w:val="20"/>
                <w:lang w:val="en-US"/>
              </w:rPr>
              <w:t>150000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b/>
                <w:bCs/>
                <w:sz w:val="20"/>
                <w:szCs w:val="20"/>
                <w:lang w:val="en-US"/>
              </w:rPr>
            </w:pPr>
            <w:r>
              <w:rPr>
                <w:b/>
                <w:bCs/>
                <w:sz w:val="20"/>
                <w:szCs w:val="20"/>
                <w:lang w:val="en-US"/>
              </w:rPr>
              <w:t>168000</w:t>
            </w:r>
          </w:p>
        </w:tc>
        <w:tc>
          <w:tcPr>
            <w:tcW w:w="922" w:type="dxa"/>
            <w:tcBorders>
              <w:top w:val="single" w:sz="2" w:space="0" w:color="auto"/>
              <w:left w:val="single" w:sz="2" w:space="0" w:color="auto"/>
              <w:bottom w:val="single" w:sz="2" w:space="0" w:color="auto"/>
              <w:right w:val="single" w:sz="2" w:space="0" w:color="auto"/>
            </w:tcBorders>
          </w:tcPr>
          <w:p w:rsidR="00F71E55" w:rsidRDefault="00F71E55" w:rsidP="00F71E55">
            <w:pPr>
              <w:ind w:right="-53"/>
              <w:jc w:val="both"/>
              <w:rPr>
                <w:sz w:val="20"/>
                <w:szCs w:val="20"/>
                <w:lang w:val="en-US"/>
              </w:rPr>
            </w:pPr>
            <w:r>
              <w:rPr>
                <w:sz w:val="20"/>
                <w:szCs w:val="20"/>
                <w:lang w:val="en-US"/>
              </w:rPr>
              <w:t>150000</w:t>
            </w:r>
          </w:p>
        </w:tc>
      </w:tr>
    </w:tbl>
    <w:p w:rsidR="00F71E55" w:rsidRDefault="00F71E55" w:rsidP="00F71E55">
      <w:pPr>
        <w:spacing w:before="252"/>
        <w:ind w:right="-53"/>
        <w:jc w:val="both"/>
        <w:rPr>
          <w:lang w:val="en-US"/>
        </w:rPr>
      </w:pPr>
      <w:r>
        <w:rPr>
          <w:u w:val="single"/>
          <w:lang w:val="en-US"/>
        </w:rPr>
        <w:t>Justification de la proposition 1</w:t>
      </w:r>
    </w:p>
    <w:p w:rsidR="00F71E55" w:rsidRDefault="00F71E55" w:rsidP="00F71E55">
      <w:pPr>
        <w:ind w:right="-53"/>
        <w:jc w:val="both"/>
        <w:rPr>
          <w:lang w:val="en-US"/>
        </w:rPr>
      </w:pPr>
    </w:p>
    <w:p w:rsidR="00F71E55" w:rsidRDefault="00F71E55" w:rsidP="00F71E55">
      <w:pPr>
        <w:numPr>
          <w:ilvl w:val="0"/>
          <w:numId w:val="14"/>
        </w:numPr>
        <w:ind w:right="-53"/>
        <w:jc w:val="both"/>
      </w:pPr>
      <w:r w:rsidRPr="00F71E55">
        <w:t>Cellule FDJ 17 dont le montant est égal à</w:t>
      </w:r>
      <w:r>
        <w:t xml:space="preserve"> 0</w:t>
      </w:r>
    </w:p>
    <w:p w:rsidR="00F71E55" w:rsidRPr="00F71E55" w:rsidRDefault="00F71E55" w:rsidP="00F71E55">
      <w:pPr>
        <w:ind w:left="720" w:right="-53"/>
        <w:jc w:val="both"/>
      </w:pPr>
      <w:r w:rsidRPr="00F71E55">
        <w:t>0 = tarif inexistant * 0,1 * 168 000</w:t>
      </w:r>
    </w:p>
    <w:p w:rsidR="00F71E55" w:rsidRPr="00F71E55" w:rsidRDefault="00F71E55" w:rsidP="00F71E55">
      <w:pPr>
        <w:ind w:right="-53"/>
        <w:jc w:val="both"/>
      </w:pPr>
    </w:p>
    <w:p w:rsidR="00F71E55" w:rsidRDefault="00F71E55" w:rsidP="00F71E55">
      <w:pPr>
        <w:numPr>
          <w:ilvl w:val="0"/>
          <w:numId w:val="14"/>
        </w:numPr>
        <w:ind w:right="-53"/>
        <w:jc w:val="both"/>
      </w:pPr>
      <w:r w:rsidRPr="00F71E55">
        <w:t xml:space="preserve">Cellule enfant dont </w:t>
      </w:r>
      <w:r>
        <w:t>le montant est égal à – 235 200</w:t>
      </w:r>
    </w:p>
    <w:p w:rsidR="00F71E55" w:rsidRPr="00F71E55" w:rsidRDefault="00F71E55" w:rsidP="00F71E55">
      <w:pPr>
        <w:ind w:left="720" w:right="-53"/>
        <w:jc w:val="both"/>
      </w:pPr>
      <w:r w:rsidRPr="00F71E55">
        <w:t>- 235500 = 2 587 200 – 2 822 400</w:t>
      </w:r>
    </w:p>
    <w:p w:rsidR="00F71E55" w:rsidRDefault="00F71E55" w:rsidP="00F71E55">
      <w:pPr>
        <w:numPr>
          <w:ilvl w:val="0"/>
          <w:numId w:val="14"/>
        </w:numPr>
        <w:ind w:right="-53"/>
        <w:jc w:val="both"/>
        <w:sectPr w:rsidR="00F71E55" w:rsidSect="00F71E55">
          <w:pgSz w:w="11904" w:h="16843"/>
          <w:pgMar w:top="709" w:right="1269" w:bottom="955" w:left="1332" w:header="720" w:footer="720" w:gutter="0"/>
          <w:cols w:space="720"/>
          <w:noEndnote/>
        </w:sectPr>
      </w:pPr>
    </w:p>
    <w:p w:rsidR="00F71E55" w:rsidRPr="00F71E55" w:rsidRDefault="00F71E55">
      <w:r w:rsidRPr="00F71E55">
        <w:rPr>
          <w:u w:val="single"/>
        </w:rPr>
        <w:lastRenderedPageBreak/>
        <w:t>Justification de la proposition 2</w:t>
      </w:r>
    </w:p>
    <w:p w:rsidR="00F71E55" w:rsidRPr="00F71E55" w:rsidRDefault="00F71E55"/>
    <w:p w:rsidR="00F71E55" w:rsidRDefault="00F71E55" w:rsidP="00F71E55">
      <w:pPr>
        <w:numPr>
          <w:ilvl w:val="0"/>
          <w:numId w:val="14"/>
        </w:numPr>
        <w:ind w:right="-24"/>
      </w:pPr>
      <w:r w:rsidRPr="00F71E55">
        <w:t xml:space="preserve">Cellule enfant dont </w:t>
      </w:r>
      <w:r>
        <w:t>le montant est égal à 2 430 000</w:t>
      </w:r>
    </w:p>
    <w:p w:rsidR="00F71E55" w:rsidRPr="00F71E55" w:rsidRDefault="00F71E55" w:rsidP="00F71E55">
      <w:pPr>
        <w:ind w:left="720" w:right="-24"/>
      </w:pPr>
      <w:r w:rsidRPr="00F71E55">
        <w:t>2 430 000 = 27* 0.6 *150 000</w:t>
      </w:r>
    </w:p>
    <w:p w:rsidR="00F71E55" w:rsidRPr="00F71E55" w:rsidRDefault="00F71E55" w:rsidP="00F71E55">
      <w:pPr>
        <w:spacing w:before="216"/>
        <w:ind w:left="720" w:right="-24"/>
      </w:pPr>
      <w:r w:rsidRPr="00F71E55">
        <w:t>0 = tarif inexistant * 0,1 * 168 000</w:t>
      </w:r>
    </w:p>
    <w:p w:rsidR="00F71E55" w:rsidRDefault="00F71E55" w:rsidP="00F71E55">
      <w:pPr>
        <w:numPr>
          <w:ilvl w:val="0"/>
          <w:numId w:val="14"/>
        </w:numPr>
        <w:spacing w:before="324"/>
        <w:ind w:right="-24"/>
      </w:pPr>
      <w:r w:rsidRPr="00F71E55">
        <w:t>Cellule FDJ 17 dont</w:t>
      </w:r>
      <w:r>
        <w:t xml:space="preserve"> le montant est égal à 255 000</w:t>
      </w:r>
    </w:p>
    <w:p w:rsidR="00F71E55" w:rsidRPr="00F71E55" w:rsidRDefault="00F71E55" w:rsidP="00F71E55">
      <w:pPr>
        <w:pStyle w:val="Sansinterligne"/>
        <w:ind w:firstLine="709"/>
      </w:pPr>
      <w:r w:rsidRPr="00F71E55">
        <w:t>255 000 = 255 000 - 0</w:t>
      </w:r>
    </w:p>
    <w:p w:rsidR="00F71E55" w:rsidRPr="00F71E55" w:rsidRDefault="00F71E55"/>
    <w:p w:rsidR="00F71E55" w:rsidRPr="00F71E55" w:rsidRDefault="00F71E55" w:rsidP="00F71E55">
      <w:pPr>
        <w:numPr>
          <w:ilvl w:val="0"/>
          <w:numId w:val="9"/>
        </w:numPr>
        <w:jc w:val="both"/>
        <w:rPr>
          <w:b/>
          <w:bCs/>
        </w:rPr>
      </w:pPr>
      <w:r w:rsidRPr="00F71E55">
        <w:rPr>
          <w:b/>
          <w:bCs/>
        </w:rPr>
        <w:t>Le contrôleur de gestion du parc hésite entre les deux méthodes de décomposition, indiquer les raisons pour lesquelles la seconde proposition est plus pertinente dans le contexte étudié en vue de l’analyse.</w:t>
      </w:r>
    </w:p>
    <w:p w:rsidR="00F71E55" w:rsidRPr="00F71E55" w:rsidRDefault="00F71E55" w:rsidP="00F71E55">
      <w:pPr>
        <w:jc w:val="both"/>
      </w:pPr>
    </w:p>
    <w:p w:rsidR="00F71E55" w:rsidRPr="00F71E55" w:rsidRDefault="00F71E55" w:rsidP="00F71E55">
      <w:pPr>
        <w:jc w:val="both"/>
      </w:pPr>
      <w:r w:rsidRPr="00F71E55">
        <w:t>La seconde proposition respecte les principes de base d’une comparaison dynamique (comparaison dans le temps) en prenant pour base de comparaison l’année de référence c’est</w:t>
      </w:r>
      <w:r w:rsidRPr="00F71E55">
        <w:softHyphen/>
        <w:t>à-dire la période la plus ancienne, ici N-2.</w:t>
      </w:r>
    </w:p>
    <w:p w:rsidR="00F71E55" w:rsidRPr="00F71E55" w:rsidRDefault="00F71E55" w:rsidP="00F71E55">
      <w:pPr>
        <w:jc w:val="both"/>
      </w:pPr>
      <w:r w:rsidRPr="00F71E55">
        <w:t>Elle permet, notamment, de ne pas rompre les liens de causes à effets venant expliquer la survenance des écarts.</w:t>
      </w:r>
    </w:p>
    <w:p w:rsidR="00F71E55" w:rsidRPr="00F71E55" w:rsidRDefault="00F71E55" w:rsidP="00F71E55">
      <w:pPr>
        <w:jc w:val="both"/>
      </w:pPr>
      <w:r w:rsidRPr="00F71E55">
        <w:t>Ainsi, si un écart sur composition apparait, c’est dû à l’instauration du nouveau tarif FDJ17 attractif qui incite une partie de la clientèle existante, voire de nouveaux clients, à profiter du parc à partir de 17 h. Cet aspect est mis en évidence dans l’écart de la proposition 2 alors que dans l’approche 1, l’écart sur composition est calculé à partir de l’ancien prix (pas de tarif FDJ17) et aboutit à un écart sur composition nul pour le tarif FDJ !</w:t>
      </w:r>
    </w:p>
    <w:p w:rsidR="00F71E55" w:rsidRPr="00F71E55" w:rsidRDefault="00F71E55" w:rsidP="00F71E55">
      <w:pPr>
        <w:jc w:val="both"/>
      </w:pPr>
    </w:p>
    <w:p w:rsidR="00F71E55" w:rsidRPr="00F71E55" w:rsidRDefault="00F71E55" w:rsidP="00F71E55">
      <w:pPr>
        <w:numPr>
          <w:ilvl w:val="0"/>
          <w:numId w:val="9"/>
        </w:numPr>
        <w:jc w:val="both"/>
        <w:rPr>
          <w:b/>
          <w:bCs/>
        </w:rPr>
      </w:pPr>
      <w:r w:rsidRPr="00F71E55">
        <w:rPr>
          <w:b/>
          <w:bCs/>
        </w:rPr>
        <w:t>Après avoir rappelé la définition de chaque écart, qualifier et interpréter ces écarts à partir de la seconde proposition.</w:t>
      </w:r>
    </w:p>
    <w:p w:rsidR="00F71E55" w:rsidRPr="00F71E55" w:rsidRDefault="00F71E55" w:rsidP="00F71E55">
      <w:pPr>
        <w:jc w:val="both"/>
      </w:pPr>
    </w:p>
    <w:p w:rsidR="00F71E55" w:rsidRPr="00F71E55" w:rsidRDefault="00F71E55" w:rsidP="00F71E55">
      <w:pPr>
        <w:jc w:val="both"/>
      </w:pPr>
      <w:r w:rsidRPr="00F71E55">
        <w:t>L’écart sur prix mesure l’incidence de la variation de prix sur le chiffre d’affaires.</w:t>
      </w:r>
    </w:p>
    <w:p w:rsidR="00F71E55" w:rsidRPr="00F71E55" w:rsidRDefault="00F71E55" w:rsidP="00F71E55">
      <w:pPr>
        <w:jc w:val="both"/>
      </w:pPr>
      <w:r w:rsidRPr="00F71E55">
        <w:t>Il est globalement défavorable puisqu’il mesure quel aurait été le chiffre d’affaires si le comportement de la clientèle (répartition et fréquentation globale) était resté le même. Aussi, comme les prix ont baissé et qu’un nouveau tarif a fait son apparition, le chiffre d’affaires aurait baissé.</w:t>
      </w:r>
    </w:p>
    <w:p w:rsidR="00F71E55" w:rsidRPr="00F71E55" w:rsidRDefault="00F71E55" w:rsidP="00F71E55">
      <w:pPr>
        <w:jc w:val="both"/>
      </w:pPr>
    </w:p>
    <w:p w:rsidR="00F71E55" w:rsidRPr="00F71E55" w:rsidRDefault="00F71E55" w:rsidP="00F71E55">
      <w:pPr>
        <w:jc w:val="both"/>
      </w:pPr>
      <w:r w:rsidRPr="00F71E55">
        <w:t>L’écart sur composition permet d’étudier l’incidence d’une modification de la répartition des ventes (ici les entrées selon les tarifs) sur le chiffre d’affaires.</w:t>
      </w:r>
    </w:p>
    <w:p w:rsidR="00F71E55" w:rsidRPr="00F71E55" w:rsidRDefault="00F71E55" w:rsidP="00F71E55">
      <w:pPr>
        <w:jc w:val="both"/>
      </w:pPr>
      <w:r w:rsidRPr="00F71E55">
        <w:t>Il est globalement défavorable puisque la nouvelle répartition de la clientèle fait la part belle au nouveau tarif attractif FDJ17 qui voit sa part relative progresser (elle était nulle en N-2 puisque le tarif n’existait pas et qu’aucun client ne se présentait après 17 h).</w:t>
      </w:r>
    </w:p>
    <w:p w:rsidR="00F71E55" w:rsidRPr="00F71E55" w:rsidRDefault="00F71E55" w:rsidP="00F71E55">
      <w:pPr>
        <w:jc w:val="both"/>
      </w:pPr>
      <w:r w:rsidRPr="00F71E55">
        <w:t>Cet accroissement se fait au détriment des pleins tarifs qui étaient davantage rémunérateurs en termes de chiffre d’affaires.</w:t>
      </w:r>
    </w:p>
    <w:p w:rsidR="00F71E55" w:rsidRPr="00F71E55" w:rsidRDefault="00F71E55" w:rsidP="00F71E55">
      <w:pPr>
        <w:jc w:val="both"/>
      </w:pPr>
      <w:r w:rsidRPr="00F71E55">
        <w:t>Plus cet écart est défavorable, plus c’est le signe que l’introduction du tarif FDJ17 fonctionne. Le risque c’est qu’il cannibalise les autres tranches tarifaires.</w:t>
      </w:r>
    </w:p>
    <w:p w:rsidR="00F71E55" w:rsidRPr="00F71E55" w:rsidRDefault="00F71E55" w:rsidP="00F71E55">
      <w:pPr>
        <w:jc w:val="both"/>
      </w:pPr>
    </w:p>
    <w:p w:rsidR="00F71E55" w:rsidRPr="00F71E55" w:rsidRDefault="00F71E55" w:rsidP="00F71E55">
      <w:pPr>
        <w:jc w:val="both"/>
      </w:pPr>
      <w:r w:rsidRPr="00F71E55">
        <w:t>L’écart sur volume mesure l’incidence d’une variation des quantités globales sur le chiffre d’affaires.</w:t>
      </w:r>
    </w:p>
    <w:p w:rsidR="00F71E55" w:rsidRPr="00F71E55" w:rsidRDefault="00F71E55" w:rsidP="00F71E55">
      <w:pPr>
        <w:jc w:val="both"/>
      </w:pPr>
      <w:r w:rsidRPr="00F71E55">
        <w:t>Il est globalement favorable indiquant que la fréquentation globale du parc a progressé.</w:t>
      </w:r>
    </w:p>
    <w:p w:rsidR="00F71E55" w:rsidRPr="00F71E55" w:rsidRDefault="00F71E55" w:rsidP="00F71E55">
      <w:pPr>
        <w:jc w:val="both"/>
      </w:pPr>
      <w:r w:rsidRPr="00F71E55">
        <w:t>Ceci est lié, d’une part, à la baisse des tarifs adultes et enfants et, d’autre part, à l’introduction du nouveau tarif FDJ17 qui draine une clientèle nouvelle qui n’aurait pas profité du parc au plein tarif.</w:t>
      </w:r>
    </w:p>
    <w:p w:rsidR="00F71E55" w:rsidRDefault="00F71E55" w:rsidP="00F71E55">
      <w:pPr>
        <w:jc w:val="both"/>
        <w:sectPr w:rsidR="00F71E55">
          <w:pgSz w:w="11904" w:h="16843"/>
          <w:pgMar w:top="1385" w:right="1245" w:bottom="955" w:left="1327" w:header="720" w:footer="720" w:gutter="0"/>
          <w:cols w:space="720"/>
          <w:noEndnote/>
        </w:sectPr>
      </w:pPr>
    </w:p>
    <w:p w:rsidR="00F71E55" w:rsidRPr="00F71E55" w:rsidRDefault="00F71E55" w:rsidP="00F71E55">
      <w:pPr>
        <w:numPr>
          <w:ilvl w:val="0"/>
          <w:numId w:val="10"/>
        </w:numPr>
        <w:jc w:val="both"/>
        <w:rPr>
          <w:b/>
          <w:bCs/>
        </w:rPr>
      </w:pPr>
      <w:r w:rsidRPr="00F71E55">
        <w:rPr>
          <w:b/>
          <w:bCs/>
        </w:rPr>
        <w:lastRenderedPageBreak/>
        <w:t>La mise en place de cette nouvelle grille tarifaire vous semble-t-elle intéressante pour la clientèle et pour le parc en termes d’activité commerciale, de trésorerie et de rentabilité ?</w:t>
      </w:r>
    </w:p>
    <w:p w:rsidR="00F71E55" w:rsidRPr="00F71E55" w:rsidRDefault="00F71E55" w:rsidP="00F71E55">
      <w:pPr>
        <w:jc w:val="both"/>
      </w:pPr>
    </w:p>
    <w:p w:rsidR="00F71E55" w:rsidRPr="00F71E55" w:rsidRDefault="00F71E55" w:rsidP="00F71E55">
      <w:pPr>
        <w:ind w:left="72"/>
        <w:jc w:val="both"/>
      </w:pPr>
      <w:r w:rsidRPr="00F71E55">
        <w:t>Le visiteur est gagnant puisque les prix proposés sont à la baisse ; seules les files d’attente éventuelles aux attractions risquent de progresser…</w:t>
      </w:r>
    </w:p>
    <w:p w:rsidR="00F71E55" w:rsidRPr="00F71E55" w:rsidRDefault="00F71E55" w:rsidP="00F71E55">
      <w:pPr>
        <w:jc w:val="both"/>
      </w:pPr>
    </w:p>
    <w:p w:rsidR="00F71E55" w:rsidRPr="00F71E55" w:rsidRDefault="00F71E55" w:rsidP="00F71E55">
      <w:pPr>
        <w:ind w:left="72"/>
        <w:jc w:val="both"/>
      </w:pPr>
      <w:r w:rsidRPr="00F71E55">
        <w:t>La nouvelle grille tarifaire permet de faire progresser le chiffre d’affaires de 162 000 € soit une hausse de 3,6% obtenue grâce à une hausse du nombre d’entrées de 12 %.</w:t>
      </w:r>
    </w:p>
    <w:p w:rsidR="00F71E55" w:rsidRPr="00F71E55" w:rsidRDefault="00F71E55" w:rsidP="00F71E55">
      <w:pPr>
        <w:ind w:left="72"/>
        <w:jc w:val="both"/>
      </w:pPr>
      <w:r w:rsidRPr="00F71E55">
        <w:t>L’effet sur le chiffre d’affaires est relativement limité et s’inscrit dans une politique de maximisation des recettes quitte à ce que le gain se fasse à la marge.</w:t>
      </w:r>
    </w:p>
    <w:p w:rsidR="00F71E55" w:rsidRPr="00F71E55" w:rsidRDefault="00F71E55" w:rsidP="00F71E55">
      <w:pPr>
        <w:jc w:val="both"/>
      </w:pPr>
    </w:p>
    <w:p w:rsidR="00F71E55" w:rsidRDefault="00F71E55" w:rsidP="00F71E55">
      <w:pPr>
        <w:pStyle w:val="Sansinterligne"/>
      </w:pPr>
      <w:r w:rsidRPr="00F71E55">
        <w:t xml:space="preserve">L’effet sur la rentabilité doit être calculé. Le coût variable unitaire étant de 9 € le calcul est assez rapide. </w:t>
      </w:r>
    </w:p>
    <w:p w:rsidR="00F71E55" w:rsidRDefault="00F71E55" w:rsidP="00F71E55">
      <w:pPr>
        <w:pStyle w:val="Sansinterligne"/>
        <w:rPr>
          <w:lang w:val="en-US"/>
        </w:rPr>
      </w:pPr>
    </w:p>
    <w:p w:rsidR="00F71E55" w:rsidRDefault="00F71E55" w:rsidP="00F71E55">
      <w:pPr>
        <w:pStyle w:val="Sansinterligne"/>
        <w:rPr>
          <w:lang w:val="en-US"/>
        </w:rPr>
      </w:pPr>
      <w:r>
        <w:rPr>
          <w:lang w:val="en-US"/>
        </w:rPr>
        <w:t>Pour N-2</w:t>
      </w:r>
    </w:p>
    <w:p w:rsidR="00F71E55" w:rsidRPr="00F71E55" w:rsidRDefault="00F71E55" w:rsidP="00F71E55">
      <w:pPr>
        <w:pStyle w:val="Sansinterligne"/>
      </w:pPr>
    </w:p>
    <w:tbl>
      <w:tblPr>
        <w:tblW w:w="0" w:type="auto"/>
        <w:tblInd w:w="3" w:type="dxa"/>
        <w:tblLayout w:type="fixed"/>
        <w:tblCellMar>
          <w:left w:w="0" w:type="dxa"/>
          <w:right w:w="0" w:type="dxa"/>
        </w:tblCellMar>
        <w:tblLook w:val="0000" w:firstRow="0" w:lastRow="0" w:firstColumn="0" w:lastColumn="0" w:noHBand="0" w:noVBand="0"/>
      </w:tblPr>
      <w:tblGrid>
        <w:gridCol w:w="2309"/>
        <w:gridCol w:w="1593"/>
        <w:gridCol w:w="711"/>
        <w:gridCol w:w="1828"/>
      </w:tblGrid>
      <w:tr w:rsidR="00F71E55" w:rsidTr="00F71E55">
        <w:tblPrEx>
          <w:tblCellMar>
            <w:top w:w="0" w:type="dxa"/>
            <w:left w:w="0" w:type="dxa"/>
            <w:bottom w:w="0" w:type="dxa"/>
            <w:right w:w="0" w:type="dxa"/>
          </w:tblCellMar>
        </w:tblPrEx>
        <w:trPr>
          <w:trHeight w:hRule="exact" w:val="274"/>
        </w:trPr>
        <w:tc>
          <w:tcPr>
            <w:tcW w:w="2309" w:type="dxa"/>
            <w:tcBorders>
              <w:top w:val="single" w:sz="2" w:space="0" w:color="auto"/>
              <w:left w:val="single" w:sz="2" w:space="0" w:color="auto"/>
              <w:bottom w:val="nil"/>
              <w:right w:val="single" w:sz="2" w:space="0" w:color="auto"/>
            </w:tcBorders>
          </w:tcPr>
          <w:p w:rsidR="00F71E55" w:rsidRDefault="00F71E55" w:rsidP="00F71E55">
            <w:pPr>
              <w:ind w:left="62"/>
              <w:jc w:val="both"/>
              <w:rPr>
                <w:lang w:val="en-US"/>
              </w:rPr>
            </w:pPr>
            <w:r>
              <w:rPr>
                <w:lang w:val="en-US"/>
              </w:rPr>
              <w:t>Chiffre d’affaires</w:t>
            </w:r>
          </w:p>
        </w:tc>
        <w:tc>
          <w:tcPr>
            <w:tcW w:w="1593" w:type="dxa"/>
            <w:tcBorders>
              <w:top w:val="single" w:sz="2" w:space="0" w:color="auto"/>
              <w:left w:val="single" w:sz="2" w:space="0" w:color="auto"/>
              <w:bottom w:val="nil"/>
              <w:right w:val="nil"/>
            </w:tcBorders>
          </w:tcPr>
          <w:p w:rsidR="00F71E55" w:rsidRDefault="00F71E55" w:rsidP="00F71E55">
            <w:pPr>
              <w:jc w:val="center"/>
              <w:rPr>
                <w:lang w:val="en-US"/>
              </w:rPr>
            </w:pPr>
          </w:p>
        </w:tc>
        <w:tc>
          <w:tcPr>
            <w:tcW w:w="711" w:type="dxa"/>
            <w:tcBorders>
              <w:top w:val="single" w:sz="2" w:space="0" w:color="auto"/>
              <w:left w:val="nil"/>
              <w:bottom w:val="nil"/>
              <w:right w:val="single" w:sz="4" w:space="0" w:color="auto"/>
            </w:tcBorders>
          </w:tcPr>
          <w:p w:rsidR="00F71E55" w:rsidRDefault="00F71E55" w:rsidP="00F71E55">
            <w:pPr>
              <w:jc w:val="center"/>
              <w:rPr>
                <w:lang w:val="en-US"/>
              </w:rPr>
            </w:pPr>
          </w:p>
        </w:tc>
        <w:tc>
          <w:tcPr>
            <w:tcW w:w="1828" w:type="dxa"/>
            <w:tcBorders>
              <w:top w:val="single" w:sz="4" w:space="0" w:color="auto"/>
              <w:left w:val="single" w:sz="4" w:space="0" w:color="auto"/>
              <w:bottom w:val="nil"/>
              <w:right w:val="single" w:sz="4" w:space="0" w:color="auto"/>
            </w:tcBorders>
          </w:tcPr>
          <w:p w:rsidR="00F71E55" w:rsidRDefault="00F71E55" w:rsidP="00F71E55">
            <w:pPr>
              <w:jc w:val="center"/>
              <w:rPr>
                <w:lang w:val="en-US"/>
              </w:rPr>
            </w:pPr>
            <w:r>
              <w:rPr>
                <w:lang w:val="en-US"/>
              </w:rPr>
              <w:t>4 500 000</w:t>
            </w:r>
          </w:p>
        </w:tc>
      </w:tr>
      <w:tr w:rsidR="00F71E55" w:rsidTr="00F71E55">
        <w:tblPrEx>
          <w:tblCellMar>
            <w:top w:w="0" w:type="dxa"/>
            <w:left w:w="0" w:type="dxa"/>
            <w:bottom w:w="0" w:type="dxa"/>
            <w:right w:w="0" w:type="dxa"/>
          </w:tblCellMar>
        </w:tblPrEx>
        <w:trPr>
          <w:trHeight w:hRule="exact" w:val="288"/>
        </w:trPr>
        <w:tc>
          <w:tcPr>
            <w:tcW w:w="2309" w:type="dxa"/>
            <w:tcBorders>
              <w:top w:val="nil"/>
              <w:left w:val="single" w:sz="2" w:space="0" w:color="auto"/>
              <w:bottom w:val="nil"/>
              <w:right w:val="single" w:sz="2" w:space="0" w:color="auto"/>
            </w:tcBorders>
          </w:tcPr>
          <w:p w:rsidR="00F71E55" w:rsidRDefault="00F71E55" w:rsidP="00F71E55">
            <w:pPr>
              <w:ind w:left="62"/>
              <w:jc w:val="both"/>
              <w:rPr>
                <w:lang w:val="en-US"/>
              </w:rPr>
            </w:pPr>
            <w:r>
              <w:rPr>
                <w:lang w:val="en-US"/>
              </w:rPr>
              <w:t>Charges variables</w:t>
            </w:r>
          </w:p>
        </w:tc>
        <w:tc>
          <w:tcPr>
            <w:tcW w:w="1593" w:type="dxa"/>
            <w:tcBorders>
              <w:top w:val="nil"/>
              <w:left w:val="single" w:sz="2" w:space="0" w:color="auto"/>
              <w:bottom w:val="nil"/>
              <w:right w:val="nil"/>
            </w:tcBorders>
          </w:tcPr>
          <w:p w:rsidR="00F71E55" w:rsidRDefault="00F71E55" w:rsidP="00F71E55">
            <w:pPr>
              <w:jc w:val="center"/>
              <w:rPr>
                <w:lang w:val="en-US"/>
              </w:rPr>
            </w:pPr>
            <w:r>
              <w:rPr>
                <w:lang w:val="en-US"/>
              </w:rPr>
              <w:t>150 000 *</w:t>
            </w:r>
          </w:p>
        </w:tc>
        <w:tc>
          <w:tcPr>
            <w:tcW w:w="711" w:type="dxa"/>
            <w:tcBorders>
              <w:top w:val="nil"/>
              <w:left w:val="nil"/>
              <w:bottom w:val="nil"/>
              <w:right w:val="single" w:sz="4" w:space="0" w:color="auto"/>
            </w:tcBorders>
          </w:tcPr>
          <w:p w:rsidR="00F71E55" w:rsidRDefault="00F71E55" w:rsidP="00F71E55">
            <w:pPr>
              <w:rPr>
                <w:lang w:val="en-US"/>
              </w:rPr>
            </w:pPr>
            <w:r>
              <w:rPr>
                <w:lang w:val="en-US"/>
              </w:rPr>
              <w:t>9</w:t>
            </w:r>
          </w:p>
        </w:tc>
        <w:tc>
          <w:tcPr>
            <w:tcW w:w="1828" w:type="dxa"/>
            <w:tcBorders>
              <w:top w:val="nil"/>
              <w:left w:val="single" w:sz="4" w:space="0" w:color="auto"/>
              <w:bottom w:val="single" w:sz="2" w:space="0" w:color="auto"/>
              <w:right w:val="single" w:sz="4" w:space="0" w:color="auto"/>
            </w:tcBorders>
          </w:tcPr>
          <w:p w:rsidR="00F71E55" w:rsidRDefault="00F71E55" w:rsidP="00F71E55">
            <w:pPr>
              <w:jc w:val="center"/>
              <w:rPr>
                <w:lang w:val="en-US"/>
              </w:rPr>
            </w:pPr>
            <w:r>
              <w:rPr>
                <w:lang w:val="en-US"/>
              </w:rPr>
              <w:t>1 350 000</w:t>
            </w:r>
          </w:p>
        </w:tc>
      </w:tr>
      <w:tr w:rsidR="00F71E55" w:rsidTr="00F71E55">
        <w:tblPrEx>
          <w:tblCellMar>
            <w:top w:w="0" w:type="dxa"/>
            <w:left w:w="0" w:type="dxa"/>
            <w:bottom w:w="0" w:type="dxa"/>
            <w:right w:w="0" w:type="dxa"/>
          </w:tblCellMar>
        </w:tblPrEx>
        <w:trPr>
          <w:trHeight w:hRule="exact" w:val="288"/>
        </w:trPr>
        <w:tc>
          <w:tcPr>
            <w:tcW w:w="2309" w:type="dxa"/>
            <w:tcBorders>
              <w:top w:val="nil"/>
              <w:left w:val="single" w:sz="2" w:space="0" w:color="auto"/>
              <w:bottom w:val="single" w:sz="2" w:space="0" w:color="auto"/>
              <w:right w:val="single" w:sz="2" w:space="0" w:color="auto"/>
            </w:tcBorders>
          </w:tcPr>
          <w:p w:rsidR="00F71E55" w:rsidRDefault="00F71E55" w:rsidP="00F71E55">
            <w:pPr>
              <w:ind w:left="62"/>
              <w:jc w:val="both"/>
              <w:rPr>
                <w:lang w:val="en-US"/>
              </w:rPr>
            </w:pPr>
            <w:r>
              <w:rPr>
                <w:lang w:val="en-US"/>
              </w:rPr>
              <w:t>MCV</w:t>
            </w:r>
          </w:p>
        </w:tc>
        <w:tc>
          <w:tcPr>
            <w:tcW w:w="1593" w:type="dxa"/>
            <w:tcBorders>
              <w:top w:val="nil"/>
              <w:left w:val="single" w:sz="2" w:space="0" w:color="auto"/>
              <w:bottom w:val="single" w:sz="2" w:space="0" w:color="auto"/>
              <w:right w:val="nil"/>
            </w:tcBorders>
          </w:tcPr>
          <w:p w:rsidR="00F71E55" w:rsidRDefault="00F71E55" w:rsidP="00F71E55">
            <w:pPr>
              <w:jc w:val="center"/>
              <w:rPr>
                <w:lang w:val="en-US"/>
              </w:rPr>
            </w:pPr>
          </w:p>
        </w:tc>
        <w:tc>
          <w:tcPr>
            <w:tcW w:w="711" w:type="dxa"/>
            <w:tcBorders>
              <w:top w:val="nil"/>
              <w:left w:val="nil"/>
              <w:bottom w:val="single" w:sz="2" w:space="0" w:color="auto"/>
              <w:right w:val="single" w:sz="4" w:space="0" w:color="auto"/>
            </w:tcBorders>
          </w:tcPr>
          <w:p w:rsidR="00F71E55" w:rsidRDefault="00F71E55" w:rsidP="00F71E55">
            <w:pPr>
              <w:jc w:val="center"/>
              <w:rPr>
                <w:lang w:val="en-US"/>
              </w:rPr>
            </w:pPr>
          </w:p>
        </w:tc>
        <w:tc>
          <w:tcPr>
            <w:tcW w:w="1828" w:type="dxa"/>
            <w:tcBorders>
              <w:top w:val="single" w:sz="2" w:space="0" w:color="auto"/>
              <w:left w:val="single" w:sz="4" w:space="0" w:color="auto"/>
              <w:bottom w:val="single" w:sz="4" w:space="0" w:color="auto"/>
              <w:right w:val="single" w:sz="4" w:space="0" w:color="auto"/>
            </w:tcBorders>
          </w:tcPr>
          <w:p w:rsidR="00F71E55" w:rsidRDefault="00F71E55" w:rsidP="00F71E55">
            <w:pPr>
              <w:jc w:val="center"/>
              <w:rPr>
                <w:lang w:val="en-US"/>
              </w:rPr>
            </w:pPr>
            <w:r>
              <w:rPr>
                <w:lang w:val="en-US"/>
              </w:rPr>
              <w:t>3 150 000</w:t>
            </w:r>
          </w:p>
        </w:tc>
      </w:tr>
    </w:tbl>
    <w:p w:rsidR="00F71E55" w:rsidRDefault="00F71E55" w:rsidP="00F71E55">
      <w:pPr>
        <w:pStyle w:val="Sansinterligne"/>
        <w:rPr>
          <w:lang w:val="en-US"/>
        </w:rPr>
      </w:pPr>
    </w:p>
    <w:p w:rsidR="00F71E55" w:rsidRPr="00F71E55" w:rsidRDefault="00F71E55" w:rsidP="00F71E55">
      <w:pPr>
        <w:pStyle w:val="Sansinterligne"/>
      </w:pPr>
      <w:r>
        <w:rPr>
          <w:lang w:val="en-US"/>
        </w:rPr>
        <w:t>Pour N-1</w:t>
      </w:r>
    </w:p>
    <w:p w:rsidR="00F71E55" w:rsidRDefault="00F71E55" w:rsidP="00F71E55">
      <w:pPr>
        <w:pStyle w:val="Sansinterligne"/>
      </w:pPr>
    </w:p>
    <w:tbl>
      <w:tblPr>
        <w:tblW w:w="0" w:type="auto"/>
        <w:tblInd w:w="3" w:type="dxa"/>
        <w:tblLayout w:type="fixed"/>
        <w:tblCellMar>
          <w:left w:w="0" w:type="dxa"/>
          <w:right w:w="0" w:type="dxa"/>
        </w:tblCellMar>
        <w:tblLook w:val="0000" w:firstRow="0" w:lastRow="0" w:firstColumn="0" w:lastColumn="0" w:noHBand="0" w:noVBand="0"/>
      </w:tblPr>
      <w:tblGrid>
        <w:gridCol w:w="2309"/>
        <w:gridCol w:w="1593"/>
        <w:gridCol w:w="711"/>
        <w:gridCol w:w="1828"/>
      </w:tblGrid>
      <w:tr w:rsidR="00F71E55" w:rsidTr="00F71E55">
        <w:tblPrEx>
          <w:tblCellMar>
            <w:top w:w="0" w:type="dxa"/>
            <w:left w:w="0" w:type="dxa"/>
            <w:bottom w:w="0" w:type="dxa"/>
            <w:right w:w="0" w:type="dxa"/>
          </w:tblCellMar>
        </w:tblPrEx>
        <w:trPr>
          <w:trHeight w:hRule="exact" w:val="274"/>
        </w:trPr>
        <w:tc>
          <w:tcPr>
            <w:tcW w:w="2309" w:type="dxa"/>
            <w:tcBorders>
              <w:top w:val="single" w:sz="2" w:space="0" w:color="auto"/>
              <w:left w:val="single" w:sz="2" w:space="0" w:color="auto"/>
              <w:bottom w:val="nil"/>
              <w:right w:val="single" w:sz="2" w:space="0" w:color="auto"/>
            </w:tcBorders>
          </w:tcPr>
          <w:p w:rsidR="00F71E55" w:rsidRDefault="00F71E55" w:rsidP="00663C06">
            <w:pPr>
              <w:ind w:left="62"/>
              <w:jc w:val="both"/>
              <w:rPr>
                <w:lang w:val="en-US"/>
              </w:rPr>
            </w:pPr>
            <w:r>
              <w:rPr>
                <w:lang w:val="en-US"/>
              </w:rPr>
              <w:t>Chiffre d’affaires</w:t>
            </w:r>
          </w:p>
        </w:tc>
        <w:tc>
          <w:tcPr>
            <w:tcW w:w="1593" w:type="dxa"/>
            <w:tcBorders>
              <w:top w:val="single" w:sz="2" w:space="0" w:color="auto"/>
              <w:left w:val="single" w:sz="2" w:space="0" w:color="auto"/>
              <w:bottom w:val="nil"/>
              <w:right w:val="nil"/>
            </w:tcBorders>
          </w:tcPr>
          <w:p w:rsidR="00F71E55" w:rsidRDefault="00F71E55" w:rsidP="00663C06">
            <w:pPr>
              <w:jc w:val="both"/>
              <w:rPr>
                <w:lang w:val="en-US"/>
              </w:rPr>
            </w:pPr>
          </w:p>
        </w:tc>
        <w:tc>
          <w:tcPr>
            <w:tcW w:w="711" w:type="dxa"/>
            <w:tcBorders>
              <w:top w:val="single" w:sz="2" w:space="0" w:color="auto"/>
              <w:left w:val="nil"/>
              <w:bottom w:val="nil"/>
              <w:right w:val="single" w:sz="4" w:space="0" w:color="auto"/>
            </w:tcBorders>
          </w:tcPr>
          <w:p w:rsidR="00F71E55" w:rsidRDefault="00F71E55" w:rsidP="00663C06">
            <w:pPr>
              <w:jc w:val="both"/>
              <w:rPr>
                <w:lang w:val="en-US"/>
              </w:rPr>
            </w:pPr>
          </w:p>
        </w:tc>
        <w:tc>
          <w:tcPr>
            <w:tcW w:w="1828" w:type="dxa"/>
            <w:tcBorders>
              <w:top w:val="single" w:sz="4" w:space="0" w:color="auto"/>
              <w:left w:val="single" w:sz="4" w:space="0" w:color="auto"/>
              <w:bottom w:val="nil"/>
              <w:right w:val="single" w:sz="4" w:space="0" w:color="auto"/>
            </w:tcBorders>
          </w:tcPr>
          <w:p w:rsidR="00F71E55" w:rsidRDefault="00F71E55" w:rsidP="00F71E55">
            <w:pPr>
              <w:jc w:val="center"/>
              <w:rPr>
                <w:lang w:val="en-US"/>
              </w:rPr>
            </w:pPr>
            <w:r>
              <w:rPr>
                <w:lang w:val="en-US"/>
              </w:rPr>
              <w:t>4 662 000</w:t>
            </w:r>
          </w:p>
        </w:tc>
      </w:tr>
      <w:tr w:rsidR="00F71E55" w:rsidTr="00F71E55">
        <w:tblPrEx>
          <w:tblCellMar>
            <w:top w:w="0" w:type="dxa"/>
            <w:left w:w="0" w:type="dxa"/>
            <w:bottom w:w="0" w:type="dxa"/>
            <w:right w:w="0" w:type="dxa"/>
          </w:tblCellMar>
        </w:tblPrEx>
        <w:trPr>
          <w:trHeight w:hRule="exact" w:val="288"/>
        </w:trPr>
        <w:tc>
          <w:tcPr>
            <w:tcW w:w="2309" w:type="dxa"/>
            <w:tcBorders>
              <w:top w:val="nil"/>
              <w:left w:val="single" w:sz="2" w:space="0" w:color="auto"/>
              <w:bottom w:val="nil"/>
              <w:right w:val="single" w:sz="2" w:space="0" w:color="auto"/>
            </w:tcBorders>
          </w:tcPr>
          <w:p w:rsidR="00F71E55" w:rsidRDefault="00F71E55" w:rsidP="00663C06">
            <w:pPr>
              <w:ind w:left="62"/>
              <w:jc w:val="both"/>
              <w:rPr>
                <w:lang w:val="en-US"/>
              </w:rPr>
            </w:pPr>
            <w:r>
              <w:rPr>
                <w:lang w:val="en-US"/>
              </w:rPr>
              <w:t>Charges variables</w:t>
            </w:r>
          </w:p>
        </w:tc>
        <w:tc>
          <w:tcPr>
            <w:tcW w:w="1593" w:type="dxa"/>
            <w:tcBorders>
              <w:top w:val="nil"/>
              <w:left w:val="single" w:sz="2" w:space="0" w:color="auto"/>
              <w:bottom w:val="nil"/>
              <w:right w:val="nil"/>
            </w:tcBorders>
          </w:tcPr>
          <w:p w:rsidR="00F71E55" w:rsidRDefault="00F71E55" w:rsidP="00F71E55">
            <w:pPr>
              <w:jc w:val="center"/>
              <w:rPr>
                <w:lang w:val="en-US"/>
              </w:rPr>
            </w:pPr>
            <w:r>
              <w:rPr>
                <w:lang w:val="en-US"/>
              </w:rPr>
              <w:t>168 000 *</w:t>
            </w:r>
          </w:p>
        </w:tc>
        <w:tc>
          <w:tcPr>
            <w:tcW w:w="711" w:type="dxa"/>
            <w:tcBorders>
              <w:top w:val="nil"/>
              <w:left w:val="nil"/>
              <w:bottom w:val="nil"/>
              <w:right w:val="single" w:sz="4" w:space="0" w:color="auto"/>
            </w:tcBorders>
          </w:tcPr>
          <w:p w:rsidR="00F71E55" w:rsidRDefault="00F71E55" w:rsidP="00F71E55">
            <w:pPr>
              <w:rPr>
                <w:lang w:val="en-US"/>
              </w:rPr>
            </w:pPr>
            <w:r>
              <w:rPr>
                <w:lang w:val="en-US"/>
              </w:rPr>
              <w:t>9</w:t>
            </w:r>
          </w:p>
        </w:tc>
        <w:tc>
          <w:tcPr>
            <w:tcW w:w="1828" w:type="dxa"/>
            <w:tcBorders>
              <w:top w:val="nil"/>
              <w:left w:val="single" w:sz="4" w:space="0" w:color="auto"/>
              <w:bottom w:val="single" w:sz="2" w:space="0" w:color="auto"/>
              <w:right w:val="single" w:sz="4" w:space="0" w:color="auto"/>
            </w:tcBorders>
          </w:tcPr>
          <w:p w:rsidR="00F71E55" w:rsidRDefault="00F71E55" w:rsidP="00F71E55">
            <w:pPr>
              <w:jc w:val="center"/>
              <w:rPr>
                <w:lang w:val="en-US"/>
              </w:rPr>
            </w:pPr>
            <w:r>
              <w:rPr>
                <w:lang w:val="en-US"/>
              </w:rPr>
              <w:t>1 512 000</w:t>
            </w:r>
          </w:p>
        </w:tc>
      </w:tr>
      <w:tr w:rsidR="00F71E55" w:rsidTr="00F71E55">
        <w:tblPrEx>
          <w:tblCellMar>
            <w:top w:w="0" w:type="dxa"/>
            <w:left w:w="0" w:type="dxa"/>
            <w:bottom w:w="0" w:type="dxa"/>
            <w:right w:w="0" w:type="dxa"/>
          </w:tblCellMar>
        </w:tblPrEx>
        <w:trPr>
          <w:trHeight w:hRule="exact" w:val="288"/>
        </w:trPr>
        <w:tc>
          <w:tcPr>
            <w:tcW w:w="2309" w:type="dxa"/>
            <w:tcBorders>
              <w:top w:val="nil"/>
              <w:left w:val="single" w:sz="2" w:space="0" w:color="auto"/>
              <w:bottom w:val="single" w:sz="2" w:space="0" w:color="auto"/>
              <w:right w:val="single" w:sz="2" w:space="0" w:color="auto"/>
            </w:tcBorders>
          </w:tcPr>
          <w:p w:rsidR="00F71E55" w:rsidRDefault="00F71E55" w:rsidP="00663C06">
            <w:pPr>
              <w:ind w:left="62"/>
              <w:jc w:val="both"/>
              <w:rPr>
                <w:lang w:val="en-US"/>
              </w:rPr>
            </w:pPr>
            <w:r>
              <w:rPr>
                <w:lang w:val="en-US"/>
              </w:rPr>
              <w:t>MCV</w:t>
            </w:r>
          </w:p>
        </w:tc>
        <w:tc>
          <w:tcPr>
            <w:tcW w:w="1593" w:type="dxa"/>
            <w:tcBorders>
              <w:top w:val="nil"/>
              <w:left w:val="single" w:sz="2" w:space="0" w:color="auto"/>
              <w:bottom w:val="single" w:sz="2" w:space="0" w:color="auto"/>
              <w:right w:val="nil"/>
            </w:tcBorders>
          </w:tcPr>
          <w:p w:rsidR="00F71E55" w:rsidRDefault="00F71E55" w:rsidP="00663C06">
            <w:pPr>
              <w:jc w:val="both"/>
              <w:rPr>
                <w:lang w:val="en-US"/>
              </w:rPr>
            </w:pPr>
          </w:p>
        </w:tc>
        <w:tc>
          <w:tcPr>
            <w:tcW w:w="711" w:type="dxa"/>
            <w:tcBorders>
              <w:top w:val="nil"/>
              <w:left w:val="nil"/>
              <w:bottom w:val="single" w:sz="2" w:space="0" w:color="auto"/>
              <w:right w:val="single" w:sz="4" w:space="0" w:color="auto"/>
            </w:tcBorders>
          </w:tcPr>
          <w:p w:rsidR="00F71E55" w:rsidRDefault="00F71E55" w:rsidP="00663C06">
            <w:pPr>
              <w:jc w:val="both"/>
              <w:rPr>
                <w:lang w:val="en-US"/>
              </w:rPr>
            </w:pPr>
          </w:p>
        </w:tc>
        <w:tc>
          <w:tcPr>
            <w:tcW w:w="1828" w:type="dxa"/>
            <w:tcBorders>
              <w:top w:val="single" w:sz="2" w:space="0" w:color="auto"/>
              <w:left w:val="single" w:sz="4" w:space="0" w:color="auto"/>
              <w:bottom w:val="single" w:sz="4" w:space="0" w:color="auto"/>
              <w:right w:val="single" w:sz="4" w:space="0" w:color="auto"/>
            </w:tcBorders>
          </w:tcPr>
          <w:p w:rsidR="00F71E55" w:rsidRDefault="00F71E55" w:rsidP="00F71E55">
            <w:pPr>
              <w:jc w:val="center"/>
              <w:rPr>
                <w:lang w:val="en-US"/>
              </w:rPr>
            </w:pPr>
            <w:r>
              <w:rPr>
                <w:lang w:val="en-US"/>
              </w:rPr>
              <w:t>3 150 000</w:t>
            </w:r>
          </w:p>
        </w:tc>
      </w:tr>
    </w:tbl>
    <w:p w:rsidR="00F71E55" w:rsidRPr="00F71E55" w:rsidRDefault="00F71E55" w:rsidP="00F71E55">
      <w:pPr>
        <w:spacing w:before="540"/>
        <w:ind w:left="72"/>
        <w:jc w:val="both"/>
      </w:pPr>
      <w:r w:rsidRPr="00F71E55">
        <w:t>L’incidence sur le résultat est donc nulle en valeur absolue.</w:t>
      </w:r>
    </w:p>
    <w:p w:rsidR="00F71E55" w:rsidRPr="00F71E55" w:rsidRDefault="00F71E55" w:rsidP="00F71E55">
      <w:pPr>
        <w:ind w:left="72"/>
        <w:jc w:val="both"/>
      </w:pPr>
      <w:r w:rsidRPr="00F71E55">
        <w:t>Cependant, la profitabilité, mesurée en valeur relative, diminue (un même résultat pour un chiffre d’affaires supérieur).</w:t>
      </w:r>
    </w:p>
    <w:p w:rsidR="00F71E55" w:rsidRPr="00F71E55" w:rsidRDefault="00F71E55" w:rsidP="00F71E55">
      <w:pPr>
        <w:jc w:val="both"/>
      </w:pPr>
    </w:p>
    <w:p w:rsidR="00F71E55" w:rsidRPr="00F71E55" w:rsidRDefault="00F71E55" w:rsidP="00F71E55">
      <w:pPr>
        <w:ind w:left="72"/>
        <w:jc w:val="both"/>
      </w:pPr>
      <w:r w:rsidRPr="00F71E55">
        <w:t>L’accroissement du chiffre d’affaires, conjugué au règlement comptant des clients, voire anticipé en cas de réservation par avance, a probablement un impact positif sur la trésorerie.</w:t>
      </w:r>
    </w:p>
    <w:p w:rsidR="00F71E55" w:rsidRDefault="00F71E55" w:rsidP="00F71E55">
      <w:pPr>
        <w:numPr>
          <w:ilvl w:val="0"/>
          <w:numId w:val="10"/>
        </w:numPr>
        <w:spacing w:before="540"/>
        <w:jc w:val="both"/>
        <w:rPr>
          <w:b/>
          <w:bCs/>
          <w:lang w:val="en-US"/>
        </w:rPr>
      </w:pPr>
      <w:r w:rsidRPr="00F71E55">
        <w:rPr>
          <w:b/>
          <w:bCs/>
        </w:rPr>
        <w:t xml:space="preserve">Le responsable commercial souhaite aller plus loin dans l’évolution de sa grille tarifaire en proposant un « pass » à 40 € offrant l’accès illimité au parc durant toute la saison. Indiquer sans faire de calculs si cette proposition est intéressante. </w:t>
      </w:r>
      <w:r>
        <w:rPr>
          <w:b/>
          <w:bCs/>
          <w:lang w:val="en-US"/>
        </w:rPr>
        <w:t>Sur quel raisonnement économique et mercatique repose-t-elle ?</w:t>
      </w:r>
    </w:p>
    <w:p w:rsidR="00F71E55" w:rsidRDefault="00F71E55" w:rsidP="00F71E55">
      <w:pPr>
        <w:jc w:val="both"/>
        <w:rPr>
          <w:lang w:val="en-US"/>
        </w:rPr>
      </w:pPr>
    </w:p>
    <w:p w:rsidR="00F71E55" w:rsidRPr="00F71E55" w:rsidRDefault="00F71E55" w:rsidP="00F71E55">
      <w:pPr>
        <w:ind w:left="72"/>
        <w:jc w:val="both"/>
      </w:pPr>
      <w:r w:rsidRPr="00F71E55">
        <w:t>Ce raisonnement est fondé sur le pari d’une fréquentation faible du « pass », sur la consommation lors des visites répétées, sur « le monde attire le monde »…</w:t>
      </w:r>
    </w:p>
    <w:p w:rsidR="00F71E55" w:rsidRPr="00F71E55" w:rsidRDefault="00F71E55" w:rsidP="00F71E55">
      <w:pPr>
        <w:jc w:val="both"/>
      </w:pPr>
    </w:p>
    <w:p w:rsidR="00F71E55" w:rsidRPr="00F71E55" w:rsidRDefault="00F71E55" w:rsidP="00F71E55">
      <w:pPr>
        <w:ind w:left="72"/>
        <w:jc w:val="both"/>
      </w:pPr>
      <w:r w:rsidRPr="00F71E55">
        <w:t>Elle peut être intéressante mais il existe un risque de cannibalisation inter tarifs. En conséquence, il convient de bien connaitre la segmentation de la clientèle et de limiter, éventuellement, l’accès à certaines périodes.</w:t>
      </w:r>
    </w:p>
    <w:p w:rsidR="00F71E55" w:rsidRDefault="00F71E55" w:rsidP="00F71E55">
      <w:pPr>
        <w:ind w:left="72"/>
        <w:jc w:val="both"/>
        <w:sectPr w:rsidR="00F71E55">
          <w:pgSz w:w="11904" w:h="16843"/>
          <w:pgMar w:top="1390" w:right="1264" w:bottom="955" w:left="1289" w:header="720" w:footer="720" w:gutter="0"/>
          <w:cols w:space="720"/>
          <w:noEndnote/>
        </w:sectPr>
      </w:pPr>
    </w:p>
    <w:p w:rsidR="00F71E55" w:rsidRPr="00F71E55" w:rsidRDefault="00F71E55" w:rsidP="00F71E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
        <w:rPr>
          <w:b/>
          <w:bCs/>
          <w:spacing w:val="14"/>
          <w:sz w:val="26"/>
          <w:szCs w:val="26"/>
        </w:rPr>
      </w:pPr>
      <w:r w:rsidRPr="00F71E55">
        <w:rPr>
          <w:b/>
          <w:bCs/>
          <w:spacing w:val="14"/>
          <w:sz w:val="26"/>
          <w:szCs w:val="26"/>
        </w:rPr>
        <w:lastRenderedPageBreak/>
        <w:t>DOSSIER 4 - EXTERNALISATION DE LA RESTAURATION</w:t>
      </w:r>
    </w:p>
    <w:p w:rsidR="00F71E55" w:rsidRPr="00F71E55" w:rsidRDefault="00F71E55">
      <w:pPr>
        <w:spacing w:before="252" w:after="252"/>
        <w:rPr>
          <w:b/>
          <w:bCs/>
        </w:rPr>
      </w:pPr>
      <w:r w:rsidRPr="00F71E55">
        <w:rPr>
          <w:b/>
          <w:bCs/>
        </w:rPr>
        <w:t>1. Calculer le résultat obtenu dans le cadre de l’activité restauration.</w:t>
      </w:r>
    </w:p>
    <w:tbl>
      <w:tblPr>
        <w:tblW w:w="0" w:type="auto"/>
        <w:tblInd w:w="3" w:type="dxa"/>
        <w:tblLayout w:type="fixed"/>
        <w:tblCellMar>
          <w:left w:w="0" w:type="dxa"/>
          <w:right w:w="0" w:type="dxa"/>
        </w:tblCellMar>
        <w:tblLook w:val="0000" w:firstRow="0" w:lastRow="0" w:firstColumn="0" w:lastColumn="0" w:noHBand="0" w:noVBand="0"/>
      </w:tblPr>
      <w:tblGrid>
        <w:gridCol w:w="2899"/>
        <w:gridCol w:w="2304"/>
        <w:gridCol w:w="2314"/>
      </w:tblGrid>
      <w:tr w:rsidR="00F71E55">
        <w:tblPrEx>
          <w:tblCellMar>
            <w:top w:w="0" w:type="dxa"/>
            <w:left w:w="0" w:type="dxa"/>
            <w:bottom w:w="0" w:type="dxa"/>
            <w:right w:w="0" w:type="dxa"/>
          </w:tblCellMar>
        </w:tblPrEx>
        <w:trPr>
          <w:trHeight w:hRule="exact" w:val="274"/>
        </w:trPr>
        <w:tc>
          <w:tcPr>
            <w:tcW w:w="2899" w:type="dxa"/>
            <w:tcBorders>
              <w:top w:val="single" w:sz="2" w:space="0" w:color="auto"/>
              <w:left w:val="single" w:sz="2" w:space="0" w:color="auto"/>
              <w:bottom w:val="nil"/>
              <w:right w:val="single" w:sz="2" w:space="0" w:color="auto"/>
            </w:tcBorders>
          </w:tcPr>
          <w:p w:rsidR="00F71E55" w:rsidRDefault="00F71E55">
            <w:pPr>
              <w:ind w:left="67"/>
              <w:rPr>
                <w:lang w:val="en-US"/>
              </w:rPr>
            </w:pPr>
            <w:r>
              <w:rPr>
                <w:lang w:val="en-US"/>
              </w:rPr>
              <w:t>Chiffre d’affaires</w:t>
            </w:r>
          </w:p>
        </w:tc>
        <w:tc>
          <w:tcPr>
            <w:tcW w:w="2304" w:type="dxa"/>
            <w:tcBorders>
              <w:top w:val="single" w:sz="2" w:space="0" w:color="auto"/>
              <w:left w:val="single" w:sz="2" w:space="0" w:color="auto"/>
              <w:bottom w:val="nil"/>
              <w:right w:val="single" w:sz="2" w:space="0" w:color="auto"/>
            </w:tcBorders>
          </w:tcPr>
          <w:p w:rsidR="00F71E55" w:rsidRDefault="00F71E55">
            <w:pPr>
              <w:jc w:val="center"/>
              <w:rPr>
                <w:lang w:val="en-US"/>
              </w:rPr>
            </w:pPr>
            <w:r>
              <w:rPr>
                <w:lang w:val="en-US"/>
              </w:rPr>
              <w:t>500 * 120 * 20</w:t>
            </w:r>
          </w:p>
        </w:tc>
        <w:tc>
          <w:tcPr>
            <w:tcW w:w="2314" w:type="dxa"/>
            <w:tcBorders>
              <w:top w:val="single" w:sz="2" w:space="0" w:color="auto"/>
              <w:left w:val="single" w:sz="2" w:space="0" w:color="auto"/>
              <w:bottom w:val="nil"/>
              <w:right w:val="single" w:sz="2" w:space="0" w:color="auto"/>
            </w:tcBorders>
          </w:tcPr>
          <w:p w:rsidR="00F71E55" w:rsidRDefault="00F71E55">
            <w:pPr>
              <w:ind w:right="66"/>
              <w:jc w:val="right"/>
              <w:rPr>
                <w:lang w:val="en-US"/>
              </w:rPr>
            </w:pPr>
            <w:r>
              <w:rPr>
                <w:lang w:val="en-US"/>
              </w:rPr>
              <w:t>1 200 000</w:t>
            </w:r>
          </w:p>
        </w:tc>
      </w:tr>
      <w:tr w:rsidR="00F71E55">
        <w:tblPrEx>
          <w:tblCellMar>
            <w:top w:w="0" w:type="dxa"/>
            <w:left w:w="0" w:type="dxa"/>
            <w:bottom w:w="0" w:type="dxa"/>
            <w:right w:w="0" w:type="dxa"/>
          </w:tblCellMar>
        </w:tblPrEx>
        <w:trPr>
          <w:trHeight w:hRule="exact" w:val="278"/>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Matières</w:t>
            </w:r>
          </w:p>
        </w:tc>
        <w:tc>
          <w:tcPr>
            <w:tcW w:w="2304" w:type="dxa"/>
            <w:tcBorders>
              <w:top w:val="nil"/>
              <w:left w:val="single" w:sz="2" w:space="0" w:color="auto"/>
              <w:bottom w:val="nil"/>
              <w:right w:val="single" w:sz="2" w:space="0" w:color="auto"/>
            </w:tcBorders>
          </w:tcPr>
          <w:p w:rsidR="00F71E55" w:rsidRDefault="00F71E55">
            <w:pPr>
              <w:jc w:val="center"/>
              <w:rPr>
                <w:lang w:val="en-US"/>
              </w:rPr>
            </w:pPr>
            <w:r>
              <w:rPr>
                <w:lang w:val="en-US"/>
              </w:rPr>
              <w:t>30 % CA</w:t>
            </w:r>
          </w:p>
        </w:tc>
        <w:tc>
          <w:tcPr>
            <w:tcW w:w="2314" w:type="dxa"/>
            <w:tcBorders>
              <w:top w:val="nil"/>
              <w:left w:val="single" w:sz="2" w:space="0" w:color="auto"/>
              <w:bottom w:val="nil"/>
              <w:right w:val="single" w:sz="2" w:space="0" w:color="auto"/>
            </w:tcBorders>
          </w:tcPr>
          <w:p w:rsidR="00F71E55" w:rsidRDefault="00F71E55">
            <w:pPr>
              <w:ind w:right="66"/>
              <w:jc w:val="right"/>
              <w:rPr>
                <w:lang w:val="en-US"/>
              </w:rPr>
            </w:pPr>
            <w:r>
              <w:rPr>
                <w:lang w:val="en-US"/>
              </w:rPr>
              <w:t>360 000</w:t>
            </w:r>
          </w:p>
        </w:tc>
      </w:tr>
      <w:tr w:rsidR="00F71E55">
        <w:tblPrEx>
          <w:tblCellMar>
            <w:top w:w="0" w:type="dxa"/>
            <w:left w:w="0" w:type="dxa"/>
            <w:bottom w:w="0" w:type="dxa"/>
            <w:right w:w="0" w:type="dxa"/>
          </w:tblCellMar>
        </w:tblPrEx>
        <w:trPr>
          <w:trHeight w:hRule="exact" w:val="274"/>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Personnel (variable)</w:t>
            </w:r>
          </w:p>
        </w:tc>
        <w:tc>
          <w:tcPr>
            <w:tcW w:w="2304" w:type="dxa"/>
            <w:tcBorders>
              <w:top w:val="nil"/>
              <w:left w:val="single" w:sz="2" w:space="0" w:color="auto"/>
              <w:bottom w:val="nil"/>
              <w:right w:val="single" w:sz="2" w:space="0" w:color="auto"/>
            </w:tcBorders>
          </w:tcPr>
          <w:p w:rsidR="00F71E55" w:rsidRDefault="00F71E55">
            <w:pPr>
              <w:jc w:val="center"/>
              <w:rPr>
                <w:lang w:val="en-US"/>
              </w:rPr>
            </w:pPr>
            <w:r>
              <w:rPr>
                <w:lang w:val="en-US"/>
              </w:rPr>
              <w:t>10 % CA</w:t>
            </w:r>
          </w:p>
        </w:tc>
        <w:tc>
          <w:tcPr>
            <w:tcW w:w="2314" w:type="dxa"/>
            <w:tcBorders>
              <w:top w:val="nil"/>
              <w:left w:val="single" w:sz="2" w:space="0" w:color="auto"/>
              <w:bottom w:val="nil"/>
              <w:right w:val="single" w:sz="2" w:space="0" w:color="auto"/>
            </w:tcBorders>
          </w:tcPr>
          <w:p w:rsidR="00F71E55" w:rsidRDefault="00F71E55">
            <w:pPr>
              <w:ind w:right="66"/>
              <w:jc w:val="right"/>
              <w:rPr>
                <w:lang w:val="en-US"/>
              </w:rPr>
            </w:pPr>
            <w:r>
              <w:rPr>
                <w:lang w:val="en-US"/>
              </w:rPr>
              <w:t>120 000</w:t>
            </w:r>
          </w:p>
        </w:tc>
      </w:tr>
      <w:tr w:rsidR="00F71E55">
        <w:tblPrEx>
          <w:tblCellMar>
            <w:top w:w="0" w:type="dxa"/>
            <w:left w:w="0" w:type="dxa"/>
            <w:bottom w:w="0" w:type="dxa"/>
            <w:right w:w="0" w:type="dxa"/>
          </w:tblCellMar>
        </w:tblPrEx>
        <w:trPr>
          <w:trHeight w:hRule="exact" w:val="278"/>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Personnel (fixe)</w:t>
            </w:r>
          </w:p>
        </w:tc>
        <w:tc>
          <w:tcPr>
            <w:tcW w:w="2304" w:type="dxa"/>
            <w:tcBorders>
              <w:top w:val="nil"/>
              <w:left w:val="single" w:sz="2" w:space="0" w:color="auto"/>
              <w:bottom w:val="nil"/>
              <w:right w:val="single" w:sz="2" w:space="0" w:color="auto"/>
            </w:tcBorders>
          </w:tcPr>
          <w:p w:rsidR="00F71E55" w:rsidRDefault="00F71E55">
            <w:pPr>
              <w:rPr>
                <w:lang w:val="en-US"/>
              </w:rPr>
            </w:pPr>
          </w:p>
        </w:tc>
        <w:tc>
          <w:tcPr>
            <w:tcW w:w="2314" w:type="dxa"/>
            <w:tcBorders>
              <w:top w:val="nil"/>
              <w:left w:val="single" w:sz="2" w:space="0" w:color="auto"/>
              <w:bottom w:val="nil"/>
              <w:right w:val="single" w:sz="2" w:space="0" w:color="auto"/>
            </w:tcBorders>
          </w:tcPr>
          <w:p w:rsidR="00F71E55" w:rsidRDefault="00F71E55">
            <w:pPr>
              <w:ind w:right="66"/>
              <w:jc w:val="right"/>
              <w:rPr>
                <w:lang w:val="en-US"/>
              </w:rPr>
            </w:pPr>
            <w:r>
              <w:rPr>
                <w:lang w:val="en-US"/>
              </w:rPr>
              <w:t>240 000</w:t>
            </w:r>
          </w:p>
        </w:tc>
      </w:tr>
      <w:tr w:rsidR="00F71E55">
        <w:tblPrEx>
          <w:tblCellMar>
            <w:top w:w="0" w:type="dxa"/>
            <w:left w:w="0" w:type="dxa"/>
            <w:bottom w:w="0" w:type="dxa"/>
            <w:right w:w="0" w:type="dxa"/>
          </w:tblCellMar>
        </w:tblPrEx>
        <w:trPr>
          <w:trHeight w:hRule="exact" w:val="274"/>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Frais généraux</w:t>
            </w:r>
          </w:p>
        </w:tc>
        <w:tc>
          <w:tcPr>
            <w:tcW w:w="2304" w:type="dxa"/>
            <w:tcBorders>
              <w:top w:val="nil"/>
              <w:left w:val="single" w:sz="2" w:space="0" w:color="auto"/>
              <w:bottom w:val="nil"/>
              <w:right w:val="single" w:sz="2" w:space="0" w:color="auto"/>
            </w:tcBorders>
          </w:tcPr>
          <w:p w:rsidR="00F71E55" w:rsidRDefault="00F71E55">
            <w:pPr>
              <w:rPr>
                <w:lang w:val="en-US"/>
              </w:rPr>
            </w:pPr>
          </w:p>
        </w:tc>
        <w:tc>
          <w:tcPr>
            <w:tcW w:w="2314" w:type="dxa"/>
            <w:tcBorders>
              <w:top w:val="nil"/>
              <w:left w:val="single" w:sz="2" w:space="0" w:color="auto"/>
              <w:bottom w:val="nil"/>
              <w:right w:val="single" w:sz="2" w:space="0" w:color="auto"/>
            </w:tcBorders>
          </w:tcPr>
          <w:p w:rsidR="00F71E55" w:rsidRDefault="00F71E55">
            <w:pPr>
              <w:ind w:right="66"/>
              <w:jc w:val="right"/>
              <w:rPr>
                <w:lang w:val="en-US"/>
              </w:rPr>
            </w:pPr>
            <w:r>
              <w:rPr>
                <w:lang w:val="en-US"/>
              </w:rPr>
              <w:t>180 000</w:t>
            </w:r>
          </w:p>
        </w:tc>
      </w:tr>
      <w:tr w:rsidR="00F71E55">
        <w:tblPrEx>
          <w:tblCellMar>
            <w:top w:w="0" w:type="dxa"/>
            <w:left w:w="0" w:type="dxa"/>
            <w:bottom w:w="0" w:type="dxa"/>
            <w:right w:w="0" w:type="dxa"/>
          </w:tblCellMar>
        </w:tblPrEx>
        <w:trPr>
          <w:trHeight w:hRule="exact" w:val="278"/>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Coûts d’occupation</w:t>
            </w:r>
          </w:p>
        </w:tc>
        <w:tc>
          <w:tcPr>
            <w:tcW w:w="2304" w:type="dxa"/>
            <w:tcBorders>
              <w:top w:val="nil"/>
              <w:left w:val="single" w:sz="2" w:space="0" w:color="auto"/>
              <w:bottom w:val="nil"/>
              <w:right w:val="single" w:sz="2" w:space="0" w:color="auto"/>
            </w:tcBorders>
          </w:tcPr>
          <w:p w:rsidR="00F71E55" w:rsidRDefault="00F71E55">
            <w:pPr>
              <w:rPr>
                <w:lang w:val="en-US"/>
              </w:rPr>
            </w:pPr>
          </w:p>
        </w:tc>
        <w:tc>
          <w:tcPr>
            <w:tcW w:w="2314" w:type="dxa"/>
            <w:tcBorders>
              <w:top w:val="nil"/>
              <w:left w:val="single" w:sz="2" w:space="0" w:color="auto"/>
              <w:bottom w:val="nil"/>
              <w:right w:val="single" w:sz="2" w:space="0" w:color="auto"/>
            </w:tcBorders>
          </w:tcPr>
          <w:p w:rsidR="00F71E55" w:rsidRDefault="00F71E55">
            <w:pPr>
              <w:ind w:right="66"/>
              <w:jc w:val="right"/>
              <w:rPr>
                <w:lang w:val="en-US"/>
              </w:rPr>
            </w:pPr>
            <w:r>
              <w:rPr>
                <w:lang w:val="en-US"/>
              </w:rPr>
              <w:t>180 000</w:t>
            </w:r>
          </w:p>
        </w:tc>
      </w:tr>
      <w:tr w:rsidR="00F71E55">
        <w:tblPrEx>
          <w:tblCellMar>
            <w:top w:w="0" w:type="dxa"/>
            <w:left w:w="0" w:type="dxa"/>
            <w:bottom w:w="0" w:type="dxa"/>
            <w:right w:w="0" w:type="dxa"/>
          </w:tblCellMar>
        </w:tblPrEx>
        <w:trPr>
          <w:trHeight w:hRule="exact" w:val="284"/>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Quote-part frais parc</w:t>
            </w:r>
          </w:p>
        </w:tc>
        <w:tc>
          <w:tcPr>
            <w:tcW w:w="2304" w:type="dxa"/>
            <w:tcBorders>
              <w:top w:val="nil"/>
              <w:left w:val="single" w:sz="2" w:space="0" w:color="auto"/>
              <w:bottom w:val="nil"/>
              <w:right w:val="single" w:sz="2" w:space="0" w:color="auto"/>
            </w:tcBorders>
          </w:tcPr>
          <w:p w:rsidR="00F71E55" w:rsidRDefault="00F71E55">
            <w:pPr>
              <w:rPr>
                <w:lang w:val="en-US"/>
              </w:rPr>
            </w:pPr>
          </w:p>
        </w:tc>
        <w:tc>
          <w:tcPr>
            <w:tcW w:w="2314" w:type="dxa"/>
            <w:tcBorders>
              <w:top w:val="nil"/>
              <w:left w:val="single" w:sz="2" w:space="0" w:color="auto"/>
              <w:bottom w:val="single" w:sz="2" w:space="0" w:color="auto"/>
              <w:right w:val="single" w:sz="2" w:space="0" w:color="auto"/>
            </w:tcBorders>
          </w:tcPr>
          <w:p w:rsidR="00F71E55" w:rsidRDefault="00F71E55">
            <w:pPr>
              <w:ind w:right="66"/>
              <w:jc w:val="right"/>
              <w:rPr>
                <w:lang w:val="en-US"/>
              </w:rPr>
            </w:pPr>
            <w:r>
              <w:rPr>
                <w:lang w:val="en-US"/>
              </w:rPr>
              <w:t>150 000</w:t>
            </w:r>
          </w:p>
        </w:tc>
      </w:tr>
      <w:tr w:rsidR="00F71E55">
        <w:tblPrEx>
          <w:tblCellMar>
            <w:top w:w="0" w:type="dxa"/>
            <w:left w:w="0" w:type="dxa"/>
            <w:bottom w:w="0" w:type="dxa"/>
            <w:right w:w="0" w:type="dxa"/>
          </w:tblCellMar>
        </w:tblPrEx>
        <w:trPr>
          <w:trHeight w:hRule="exact" w:val="288"/>
        </w:trPr>
        <w:tc>
          <w:tcPr>
            <w:tcW w:w="2899" w:type="dxa"/>
            <w:tcBorders>
              <w:top w:val="nil"/>
              <w:left w:val="single" w:sz="2" w:space="0" w:color="auto"/>
              <w:bottom w:val="single" w:sz="2" w:space="0" w:color="auto"/>
              <w:right w:val="single" w:sz="2" w:space="0" w:color="auto"/>
            </w:tcBorders>
          </w:tcPr>
          <w:p w:rsidR="00F71E55" w:rsidRDefault="00F71E55">
            <w:pPr>
              <w:ind w:left="67"/>
              <w:rPr>
                <w:lang w:val="en-US"/>
              </w:rPr>
            </w:pPr>
            <w:r>
              <w:rPr>
                <w:lang w:val="en-US"/>
              </w:rPr>
              <w:t>Résultat</w:t>
            </w:r>
          </w:p>
        </w:tc>
        <w:tc>
          <w:tcPr>
            <w:tcW w:w="2304" w:type="dxa"/>
            <w:tcBorders>
              <w:top w:val="nil"/>
              <w:left w:val="single" w:sz="2" w:space="0" w:color="auto"/>
              <w:bottom w:val="single" w:sz="2" w:space="0" w:color="auto"/>
              <w:right w:val="single" w:sz="2" w:space="0" w:color="auto"/>
            </w:tcBorders>
          </w:tcPr>
          <w:p w:rsidR="00F71E55" w:rsidRDefault="00F71E55">
            <w:pPr>
              <w:rPr>
                <w:lang w:val="en-US"/>
              </w:rPr>
            </w:pPr>
          </w:p>
        </w:tc>
        <w:tc>
          <w:tcPr>
            <w:tcW w:w="2314" w:type="dxa"/>
            <w:tcBorders>
              <w:top w:val="single" w:sz="2" w:space="0" w:color="auto"/>
              <w:left w:val="single" w:sz="2" w:space="0" w:color="auto"/>
              <w:bottom w:val="single" w:sz="2" w:space="0" w:color="auto"/>
              <w:right w:val="single" w:sz="2" w:space="0" w:color="auto"/>
            </w:tcBorders>
          </w:tcPr>
          <w:p w:rsidR="00F71E55" w:rsidRDefault="00F71E55">
            <w:pPr>
              <w:tabs>
                <w:tab w:val="left" w:pos="1521"/>
              </w:tabs>
              <w:ind w:right="66"/>
              <w:jc w:val="right"/>
              <w:rPr>
                <w:lang w:val="en-US"/>
              </w:rPr>
            </w:pPr>
            <w:r>
              <w:rPr>
                <w:lang w:val="en-US"/>
              </w:rPr>
              <w:t>-30 000</w:t>
            </w:r>
          </w:p>
        </w:tc>
      </w:tr>
    </w:tbl>
    <w:p w:rsidR="00F71E55" w:rsidRPr="00F71E55" w:rsidRDefault="00F71E55">
      <w:pPr>
        <w:numPr>
          <w:ilvl w:val="0"/>
          <w:numId w:val="11"/>
        </w:numPr>
        <w:spacing w:before="252"/>
        <w:ind w:right="72"/>
        <w:jc w:val="both"/>
        <w:rPr>
          <w:b/>
          <w:bCs/>
        </w:rPr>
      </w:pPr>
      <w:r w:rsidRPr="00F71E55">
        <w:rPr>
          <w:b/>
          <w:bCs/>
        </w:rPr>
        <w:t xml:space="preserve">La direction du restaurant s’interroge sur la viabilité du modèle économique pour le </w:t>
      </w:r>
      <w:r w:rsidRPr="00F71E55">
        <w:rPr>
          <w:b/>
          <w:bCs/>
          <w:spacing w:val="-2"/>
        </w:rPr>
        <w:t xml:space="preserve">volume de couverts et le chiffre d’affaires réalisé. La direction du parc envisage même sa </w:t>
      </w:r>
      <w:r w:rsidRPr="00F71E55">
        <w:rPr>
          <w:b/>
          <w:bCs/>
        </w:rPr>
        <w:t xml:space="preserve">suppression ou du moins une transformation de la formule. Est-il opportun de </w:t>
      </w:r>
      <w:r w:rsidRPr="00F71E55">
        <w:rPr>
          <w:b/>
          <w:bCs/>
          <w:spacing w:val="-2"/>
        </w:rPr>
        <w:t xml:space="preserve">s’appuyer sur le résultat obtenu à la question 1 pour prendre la décision de supprimer le </w:t>
      </w:r>
      <w:r w:rsidRPr="00F71E55">
        <w:rPr>
          <w:b/>
          <w:bCs/>
        </w:rPr>
        <w:t>restaurant ?</w:t>
      </w:r>
    </w:p>
    <w:p w:rsidR="00F71E55" w:rsidRPr="00F71E55" w:rsidRDefault="00F71E55"/>
    <w:p w:rsidR="00F71E55" w:rsidRPr="00F71E55" w:rsidRDefault="00F71E55" w:rsidP="00F71E55">
      <w:pPr>
        <w:ind w:right="72"/>
        <w:jc w:val="both"/>
      </w:pPr>
      <w:r w:rsidRPr="00F71E55">
        <w:t>Un « résultat » ne permet pas de prendre de décision sur le maintien ou l’abandon d’une activité en raison de l’arbitraire lié à la répartition des charges indirectes, ou des charges fixes dans le cas présent.</w:t>
      </w:r>
    </w:p>
    <w:p w:rsidR="00F71E55" w:rsidRPr="00F71E55" w:rsidRDefault="00F71E55" w:rsidP="00F71E55">
      <w:pPr>
        <w:ind w:right="72"/>
        <w:jc w:val="both"/>
      </w:pPr>
      <w:r w:rsidRPr="00F71E55">
        <w:t>Pour prendre une telle décision, indépendamment des considérations stratégiques, il convient de calculer une marge sur coûts variables et/ou une marge sur coûts spécifiques.</w:t>
      </w:r>
    </w:p>
    <w:p w:rsidR="00F71E55" w:rsidRPr="00F71E55" w:rsidRDefault="00F71E55" w:rsidP="00F71E55">
      <w:pPr>
        <w:jc w:val="both"/>
      </w:pPr>
    </w:p>
    <w:p w:rsidR="00F71E55" w:rsidRPr="00F71E55" w:rsidRDefault="00F71E55" w:rsidP="00F71E55">
      <w:pPr>
        <w:numPr>
          <w:ilvl w:val="0"/>
          <w:numId w:val="11"/>
        </w:numPr>
        <w:ind w:right="72"/>
        <w:jc w:val="both"/>
        <w:rPr>
          <w:b/>
          <w:bCs/>
        </w:rPr>
      </w:pPr>
      <w:r w:rsidRPr="00F71E55">
        <w:rPr>
          <w:b/>
          <w:bCs/>
        </w:rPr>
        <w:t>Calculer le résultat analytique faisant apparaître la MCV et la marge sur coût spécifique. Préciser l’apport de cette démarche pour la décision à prendre.</w:t>
      </w:r>
    </w:p>
    <w:p w:rsidR="00F71E55" w:rsidRPr="00F71E55" w:rsidRDefault="00F71E55" w:rsidP="00F71E55">
      <w:pPr>
        <w:jc w:val="both"/>
      </w:pPr>
    </w:p>
    <w:p w:rsidR="00F71E55" w:rsidRPr="00F71E55" w:rsidRDefault="00F71E55" w:rsidP="00F71E55">
      <w:pPr>
        <w:spacing w:after="252"/>
        <w:jc w:val="both"/>
        <w:rPr>
          <w:i/>
          <w:iCs/>
        </w:rPr>
      </w:pPr>
      <w:r w:rsidRPr="00F71E55">
        <w:rPr>
          <w:i/>
          <w:iCs/>
        </w:rPr>
        <w:t>Remarque liminaire : les calculs des marges peuvent être intégrés en question 1</w:t>
      </w:r>
    </w:p>
    <w:tbl>
      <w:tblPr>
        <w:tblW w:w="0" w:type="auto"/>
        <w:tblInd w:w="3" w:type="dxa"/>
        <w:tblLayout w:type="fixed"/>
        <w:tblCellMar>
          <w:left w:w="0" w:type="dxa"/>
          <w:right w:w="0" w:type="dxa"/>
        </w:tblCellMar>
        <w:tblLook w:val="0000" w:firstRow="0" w:lastRow="0" w:firstColumn="0" w:lastColumn="0" w:noHBand="0" w:noVBand="0"/>
      </w:tblPr>
      <w:tblGrid>
        <w:gridCol w:w="2899"/>
        <w:gridCol w:w="999"/>
        <w:gridCol w:w="628"/>
        <w:gridCol w:w="677"/>
        <w:gridCol w:w="1829"/>
        <w:gridCol w:w="485"/>
      </w:tblGrid>
      <w:tr w:rsidR="00F71E55">
        <w:tblPrEx>
          <w:tblCellMar>
            <w:top w:w="0" w:type="dxa"/>
            <w:left w:w="0" w:type="dxa"/>
            <w:bottom w:w="0" w:type="dxa"/>
            <w:right w:w="0" w:type="dxa"/>
          </w:tblCellMar>
        </w:tblPrEx>
        <w:trPr>
          <w:trHeight w:hRule="exact" w:val="269"/>
        </w:trPr>
        <w:tc>
          <w:tcPr>
            <w:tcW w:w="2899" w:type="dxa"/>
            <w:tcBorders>
              <w:top w:val="single" w:sz="2" w:space="0" w:color="auto"/>
              <w:left w:val="single" w:sz="2" w:space="0" w:color="auto"/>
              <w:bottom w:val="nil"/>
              <w:right w:val="single" w:sz="2" w:space="0" w:color="auto"/>
            </w:tcBorders>
          </w:tcPr>
          <w:p w:rsidR="00F71E55" w:rsidRDefault="00F71E55">
            <w:pPr>
              <w:ind w:left="67"/>
              <w:rPr>
                <w:lang w:val="en-US"/>
              </w:rPr>
            </w:pPr>
            <w:r>
              <w:rPr>
                <w:lang w:val="en-US"/>
              </w:rPr>
              <w:t>Chiffre d’affaires</w:t>
            </w:r>
          </w:p>
        </w:tc>
        <w:tc>
          <w:tcPr>
            <w:tcW w:w="999" w:type="dxa"/>
            <w:tcBorders>
              <w:top w:val="single" w:sz="2" w:space="0" w:color="auto"/>
              <w:left w:val="single" w:sz="2" w:space="0" w:color="auto"/>
              <w:bottom w:val="nil"/>
              <w:right w:val="nil"/>
            </w:tcBorders>
          </w:tcPr>
          <w:p w:rsidR="00F71E55" w:rsidRDefault="00F71E55">
            <w:pPr>
              <w:jc w:val="right"/>
              <w:rPr>
                <w:lang w:val="en-US"/>
              </w:rPr>
            </w:pPr>
            <w:r>
              <w:rPr>
                <w:lang w:val="en-US"/>
              </w:rPr>
              <w:t>500 *</w:t>
            </w:r>
          </w:p>
        </w:tc>
        <w:tc>
          <w:tcPr>
            <w:tcW w:w="628" w:type="dxa"/>
            <w:tcBorders>
              <w:top w:val="single" w:sz="2" w:space="0" w:color="auto"/>
              <w:left w:val="nil"/>
              <w:bottom w:val="nil"/>
              <w:right w:val="nil"/>
            </w:tcBorders>
          </w:tcPr>
          <w:p w:rsidR="00F71E55" w:rsidRDefault="00F71E55">
            <w:pPr>
              <w:jc w:val="center"/>
              <w:rPr>
                <w:lang w:val="en-US"/>
              </w:rPr>
            </w:pPr>
            <w:r>
              <w:rPr>
                <w:lang w:val="en-US"/>
              </w:rPr>
              <w:t>120 *</w:t>
            </w:r>
          </w:p>
        </w:tc>
        <w:tc>
          <w:tcPr>
            <w:tcW w:w="677" w:type="dxa"/>
            <w:tcBorders>
              <w:top w:val="single" w:sz="2" w:space="0" w:color="auto"/>
              <w:left w:val="nil"/>
              <w:bottom w:val="nil"/>
              <w:right w:val="single" w:sz="2" w:space="0" w:color="auto"/>
            </w:tcBorders>
          </w:tcPr>
          <w:p w:rsidR="00F71E55" w:rsidRDefault="00F71E55">
            <w:pPr>
              <w:rPr>
                <w:lang w:val="en-US"/>
              </w:rPr>
            </w:pPr>
            <w:r>
              <w:rPr>
                <w:lang w:val="en-US"/>
              </w:rPr>
              <w:t>20</w:t>
            </w:r>
          </w:p>
        </w:tc>
        <w:tc>
          <w:tcPr>
            <w:tcW w:w="1829" w:type="dxa"/>
            <w:tcBorders>
              <w:top w:val="single" w:sz="2" w:space="0" w:color="auto"/>
              <w:left w:val="single" w:sz="2" w:space="0" w:color="auto"/>
              <w:bottom w:val="nil"/>
              <w:right w:val="nil"/>
            </w:tcBorders>
          </w:tcPr>
          <w:p w:rsidR="00F71E55" w:rsidRDefault="00F71E55">
            <w:pPr>
              <w:jc w:val="right"/>
              <w:rPr>
                <w:lang w:val="en-US"/>
              </w:rPr>
            </w:pPr>
            <w:r>
              <w:rPr>
                <w:lang w:val="en-US"/>
              </w:rPr>
              <w:t>1 200</w:t>
            </w:r>
          </w:p>
        </w:tc>
        <w:tc>
          <w:tcPr>
            <w:tcW w:w="485" w:type="dxa"/>
            <w:tcBorders>
              <w:top w:val="single" w:sz="2" w:space="0" w:color="auto"/>
              <w:left w:val="nil"/>
              <w:bottom w:val="nil"/>
              <w:right w:val="single" w:sz="2" w:space="0" w:color="auto"/>
            </w:tcBorders>
          </w:tcPr>
          <w:p w:rsidR="00F71E55" w:rsidRDefault="00F71E55">
            <w:pPr>
              <w:rPr>
                <w:lang w:val="en-US"/>
              </w:rPr>
            </w:pPr>
            <w:r>
              <w:rPr>
                <w:lang w:val="en-US"/>
              </w:rPr>
              <w:t>000</w:t>
            </w:r>
          </w:p>
        </w:tc>
      </w:tr>
      <w:tr w:rsidR="00F71E55">
        <w:tblPrEx>
          <w:tblCellMar>
            <w:top w:w="0" w:type="dxa"/>
            <w:left w:w="0" w:type="dxa"/>
            <w:bottom w:w="0" w:type="dxa"/>
            <w:right w:w="0" w:type="dxa"/>
          </w:tblCellMar>
        </w:tblPrEx>
        <w:trPr>
          <w:trHeight w:hRule="exact" w:val="278"/>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Matières</w:t>
            </w:r>
          </w:p>
        </w:tc>
        <w:tc>
          <w:tcPr>
            <w:tcW w:w="999" w:type="dxa"/>
            <w:tcBorders>
              <w:top w:val="nil"/>
              <w:left w:val="single" w:sz="2" w:space="0" w:color="auto"/>
              <w:bottom w:val="nil"/>
              <w:right w:val="nil"/>
            </w:tcBorders>
          </w:tcPr>
          <w:p w:rsidR="00F71E55" w:rsidRDefault="00F71E55">
            <w:pPr>
              <w:jc w:val="right"/>
              <w:rPr>
                <w:lang w:val="en-US"/>
              </w:rPr>
            </w:pPr>
            <w:r>
              <w:rPr>
                <w:lang w:val="en-US"/>
              </w:rPr>
              <w:t>30</w:t>
            </w:r>
          </w:p>
        </w:tc>
        <w:tc>
          <w:tcPr>
            <w:tcW w:w="628" w:type="dxa"/>
            <w:tcBorders>
              <w:top w:val="nil"/>
              <w:left w:val="nil"/>
              <w:bottom w:val="nil"/>
              <w:right w:val="nil"/>
            </w:tcBorders>
          </w:tcPr>
          <w:p w:rsidR="00F71E55" w:rsidRDefault="00F71E55">
            <w:pPr>
              <w:jc w:val="center"/>
              <w:rPr>
                <w:lang w:val="en-US"/>
              </w:rPr>
            </w:pPr>
            <w:r>
              <w:rPr>
                <w:spacing w:val="-2"/>
                <w:lang w:val="en-US"/>
              </w:rPr>
              <w:t>% CA</w:t>
            </w: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nil"/>
              <w:left w:val="single" w:sz="2" w:space="0" w:color="auto"/>
              <w:bottom w:val="nil"/>
              <w:right w:val="nil"/>
            </w:tcBorders>
          </w:tcPr>
          <w:p w:rsidR="00F71E55" w:rsidRDefault="00F71E55">
            <w:pPr>
              <w:jc w:val="right"/>
              <w:rPr>
                <w:lang w:val="en-US"/>
              </w:rPr>
            </w:pPr>
            <w:r>
              <w:rPr>
                <w:lang w:val="en-US"/>
              </w:rPr>
              <w:t>360</w:t>
            </w:r>
          </w:p>
        </w:tc>
        <w:tc>
          <w:tcPr>
            <w:tcW w:w="485" w:type="dxa"/>
            <w:tcBorders>
              <w:top w:val="nil"/>
              <w:left w:val="nil"/>
              <w:bottom w:val="nil"/>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88"/>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Personnel (variable)</w:t>
            </w:r>
          </w:p>
        </w:tc>
        <w:tc>
          <w:tcPr>
            <w:tcW w:w="999" w:type="dxa"/>
            <w:tcBorders>
              <w:top w:val="nil"/>
              <w:left w:val="single" w:sz="2" w:space="0" w:color="auto"/>
              <w:bottom w:val="nil"/>
              <w:right w:val="nil"/>
            </w:tcBorders>
          </w:tcPr>
          <w:p w:rsidR="00F71E55" w:rsidRDefault="00F71E55">
            <w:pPr>
              <w:jc w:val="right"/>
              <w:rPr>
                <w:lang w:val="en-US"/>
              </w:rPr>
            </w:pPr>
            <w:r>
              <w:rPr>
                <w:lang w:val="en-US"/>
              </w:rPr>
              <w:t>10</w:t>
            </w:r>
          </w:p>
        </w:tc>
        <w:tc>
          <w:tcPr>
            <w:tcW w:w="628" w:type="dxa"/>
            <w:tcBorders>
              <w:top w:val="nil"/>
              <w:left w:val="nil"/>
              <w:bottom w:val="nil"/>
              <w:right w:val="nil"/>
            </w:tcBorders>
          </w:tcPr>
          <w:p w:rsidR="00F71E55" w:rsidRDefault="00F71E55">
            <w:pPr>
              <w:jc w:val="center"/>
              <w:rPr>
                <w:lang w:val="en-US"/>
              </w:rPr>
            </w:pPr>
            <w:r>
              <w:rPr>
                <w:spacing w:val="-2"/>
                <w:lang w:val="en-US"/>
              </w:rPr>
              <w:t>% CA</w:t>
            </w: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nil"/>
              <w:left w:val="single" w:sz="2" w:space="0" w:color="auto"/>
              <w:bottom w:val="single" w:sz="2" w:space="0" w:color="auto"/>
              <w:right w:val="nil"/>
            </w:tcBorders>
          </w:tcPr>
          <w:p w:rsidR="00F71E55" w:rsidRDefault="00F71E55">
            <w:pPr>
              <w:jc w:val="right"/>
              <w:rPr>
                <w:lang w:val="en-US"/>
              </w:rPr>
            </w:pPr>
            <w:r>
              <w:rPr>
                <w:lang w:val="en-US"/>
              </w:rPr>
              <w:t>120</w:t>
            </w:r>
          </w:p>
        </w:tc>
        <w:tc>
          <w:tcPr>
            <w:tcW w:w="485" w:type="dxa"/>
            <w:tcBorders>
              <w:top w:val="nil"/>
              <w:left w:val="nil"/>
              <w:bottom w:val="single" w:sz="2" w:space="0" w:color="auto"/>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74"/>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MCV</w:t>
            </w:r>
          </w:p>
        </w:tc>
        <w:tc>
          <w:tcPr>
            <w:tcW w:w="999" w:type="dxa"/>
            <w:tcBorders>
              <w:top w:val="nil"/>
              <w:left w:val="single" w:sz="2" w:space="0" w:color="auto"/>
              <w:bottom w:val="nil"/>
              <w:right w:val="nil"/>
            </w:tcBorders>
          </w:tcPr>
          <w:p w:rsidR="00F71E55" w:rsidRDefault="00F71E55">
            <w:pPr>
              <w:rPr>
                <w:lang w:val="en-US"/>
              </w:rPr>
            </w:pPr>
          </w:p>
        </w:tc>
        <w:tc>
          <w:tcPr>
            <w:tcW w:w="628" w:type="dxa"/>
            <w:tcBorders>
              <w:top w:val="nil"/>
              <w:left w:val="nil"/>
              <w:bottom w:val="nil"/>
              <w:right w:val="nil"/>
            </w:tcBorders>
          </w:tcPr>
          <w:p w:rsidR="00F71E55" w:rsidRDefault="00F71E55">
            <w:pPr>
              <w:rPr>
                <w:lang w:val="en-US"/>
              </w:rPr>
            </w:pP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single" w:sz="2" w:space="0" w:color="auto"/>
              <w:left w:val="single" w:sz="2" w:space="0" w:color="auto"/>
              <w:bottom w:val="nil"/>
              <w:right w:val="nil"/>
            </w:tcBorders>
          </w:tcPr>
          <w:p w:rsidR="00F71E55" w:rsidRDefault="00F71E55">
            <w:pPr>
              <w:jc w:val="right"/>
              <w:rPr>
                <w:lang w:val="en-US"/>
              </w:rPr>
            </w:pPr>
            <w:r>
              <w:rPr>
                <w:lang w:val="en-US"/>
              </w:rPr>
              <w:t>720</w:t>
            </w:r>
          </w:p>
        </w:tc>
        <w:tc>
          <w:tcPr>
            <w:tcW w:w="485" w:type="dxa"/>
            <w:tcBorders>
              <w:top w:val="single" w:sz="2" w:space="0" w:color="auto"/>
              <w:left w:val="nil"/>
              <w:bottom w:val="nil"/>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73"/>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Personnel (fixe)</w:t>
            </w:r>
          </w:p>
        </w:tc>
        <w:tc>
          <w:tcPr>
            <w:tcW w:w="999" w:type="dxa"/>
            <w:tcBorders>
              <w:top w:val="nil"/>
              <w:left w:val="single" w:sz="2" w:space="0" w:color="auto"/>
              <w:bottom w:val="nil"/>
              <w:right w:val="nil"/>
            </w:tcBorders>
          </w:tcPr>
          <w:p w:rsidR="00F71E55" w:rsidRDefault="00F71E55">
            <w:pPr>
              <w:rPr>
                <w:lang w:val="en-US"/>
              </w:rPr>
            </w:pPr>
          </w:p>
        </w:tc>
        <w:tc>
          <w:tcPr>
            <w:tcW w:w="628" w:type="dxa"/>
            <w:tcBorders>
              <w:top w:val="nil"/>
              <w:left w:val="nil"/>
              <w:bottom w:val="nil"/>
              <w:right w:val="nil"/>
            </w:tcBorders>
          </w:tcPr>
          <w:p w:rsidR="00F71E55" w:rsidRDefault="00F71E55">
            <w:pPr>
              <w:rPr>
                <w:lang w:val="en-US"/>
              </w:rPr>
            </w:pP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nil"/>
              <w:left w:val="single" w:sz="2" w:space="0" w:color="auto"/>
              <w:bottom w:val="nil"/>
              <w:right w:val="nil"/>
            </w:tcBorders>
          </w:tcPr>
          <w:p w:rsidR="00F71E55" w:rsidRDefault="00F71E55">
            <w:pPr>
              <w:jc w:val="right"/>
              <w:rPr>
                <w:lang w:val="en-US"/>
              </w:rPr>
            </w:pPr>
            <w:r>
              <w:rPr>
                <w:lang w:val="en-US"/>
              </w:rPr>
              <w:t>240</w:t>
            </w:r>
          </w:p>
        </w:tc>
        <w:tc>
          <w:tcPr>
            <w:tcW w:w="485" w:type="dxa"/>
            <w:tcBorders>
              <w:top w:val="nil"/>
              <w:left w:val="nil"/>
              <w:bottom w:val="nil"/>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79"/>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Frais généraux</w:t>
            </w:r>
          </w:p>
        </w:tc>
        <w:tc>
          <w:tcPr>
            <w:tcW w:w="999" w:type="dxa"/>
            <w:tcBorders>
              <w:top w:val="nil"/>
              <w:left w:val="single" w:sz="2" w:space="0" w:color="auto"/>
              <w:bottom w:val="nil"/>
              <w:right w:val="nil"/>
            </w:tcBorders>
          </w:tcPr>
          <w:p w:rsidR="00F71E55" w:rsidRDefault="00F71E55">
            <w:pPr>
              <w:rPr>
                <w:lang w:val="en-US"/>
              </w:rPr>
            </w:pPr>
          </w:p>
        </w:tc>
        <w:tc>
          <w:tcPr>
            <w:tcW w:w="628" w:type="dxa"/>
            <w:tcBorders>
              <w:top w:val="nil"/>
              <w:left w:val="nil"/>
              <w:bottom w:val="nil"/>
              <w:right w:val="nil"/>
            </w:tcBorders>
          </w:tcPr>
          <w:p w:rsidR="00F71E55" w:rsidRDefault="00F71E55">
            <w:pPr>
              <w:rPr>
                <w:lang w:val="en-US"/>
              </w:rPr>
            </w:pP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nil"/>
              <w:left w:val="single" w:sz="2" w:space="0" w:color="auto"/>
              <w:bottom w:val="nil"/>
              <w:right w:val="nil"/>
            </w:tcBorders>
          </w:tcPr>
          <w:p w:rsidR="00F71E55" w:rsidRDefault="00F71E55">
            <w:pPr>
              <w:jc w:val="right"/>
              <w:rPr>
                <w:lang w:val="en-US"/>
              </w:rPr>
            </w:pPr>
            <w:r>
              <w:rPr>
                <w:lang w:val="en-US"/>
              </w:rPr>
              <w:t>180</w:t>
            </w:r>
          </w:p>
        </w:tc>
        <w:tc>
          <w:tcPr>
            <w:tcW w:w="485" w:type="dxa"/>
            <w:tcBorders>
              <w:top w:val="nil"/>
              <w:left w:val="nil"/>
              <w:bottom w:val="nil"/>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88"/>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Coûts d’occupation</w:t>
            </w:r>
          </w:p>
        </w:tc>
        <w:tc>
          <w:tcPr>
            <w:tcW w:w="999" w:type="dxa"/>
            <w:tcBorders>
              <w:top w:val="nil"/>
              <w:left w:val="single" w:sz="2" w:space="0" w:color="auto"/>
              <w:bottom w:val="nil"/>
              <w:right w:val="nil"/>
            </w:tcBorders>
          </w:tcPr>
          <w:p w:rsidR="00F71E55" w:rsidRDefault="00F71E55">
            <w:pPr>
              <w:rPr>
                <w:lang w:val="en-US"/>
              </w:rPr>
            </w:pPr>
          </w:p>
        </w:tc>
        <w:tc>
          <w:tcPr>
            <w:tcW w:w="628" w:type="dxa"/>
            <w:tcBorders>
              <w:top w:val="nil"/>
              <w:left w:val="nil"/>
              <w:bottom w:val="nil"/>
              <w:right w:val="nil"/>
            </w:tcBorders>
          </w:tcPr>
          <w:p w:rsidR="00F71E55" w:rsidRDefault="00F71E55">
            <w:pPr>
              <w:rPr>
                <w:lang w:val="en-US"/>
              </w:rPr>
            </w:pP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nil"/>
              <w:left w:val="single" w:sz="2" w:space="0" w:color="auto"/>
              <w:bottom w:val="single" w:sz="2" w:space="0" w:color="auto"/>
              <w:right w:val="nil"/>
            </w:tcBorders>
          </w:tcPr>
          <w:p w:rsidR="00F71E55" w:rsidRDefault="00F71E55">
            <w:pPr>
              <w:jc w:val="right"/>
              <w:rPr>
                <w:lang w:val="en-US"/>
              </w:rPr>
            </w:pPr>
            <w:r>
              <w:rPr>
                <w:lang w:val="en-US"/>
              </w:rPr>
              <w:t>180</w:t>
            </w:r>
          </w:p>
        </w:tc>
        <w:tc>
          <w:tcPr>
            <w:tcW w:w="485" w:type="dxa"/>
            <w:tcBorders>
              <w:top w:val="nil"/>
              <w:left w:val="nil"/>
              <w:bottom w:val="single" w:sz="2" w:space="0" w:color="auto"/>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73"/>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MCS</w:t>
            </w:r>
          </w:p>
        </w:tc>
        <w:tc>
          <w:tcPr>
            <w:tcW w:w="999" w:type="dxa"/>
            <w:tcBorders>
              <w:top w:val="nil"/>
              <w:left w:val="single" w:sz="2" w:space="0" w:color="auto"/>
              <w:bottom w:val="nil"/>
              <w:right w:val="nil"/>
            </w:tcBorders>
          </w:tcPr>
          <w:p w:rsidR="00F71E55" w:rsidRDefault="00F71E55">
            <w:pPr>
              <w:rPr>
                <w:lang w:val="en-US"/>
              </w:rPr>
            </w:pPr>
          </w:p>
        </w:tc>
        <w:tc>
          <w:tcPr>
            <w:tcW w:w="628" w:type="dxa"/>
            <w:tcBorders>
              <w:top w:val="nil"/>
              <w:left w:val="nil"/>
              <w:bottom w:val="nil"/>
              <w:right w:val="nil"/>
            </w:tcBorders>
          </w:tcPr>
          <w:p w:rsidR="00F71E55" w:rsidRDefault="00F71E55">
            <w:pPr>
              <w:rPr>
                <w:lang w:val="en-US"/>
              </w:rPr>
            </w:pP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single" w:sz="2" w:space="0" w:color="auto"/>
              <w:left w:val="single" w:sz="2" w:space="0" w:color="auto"/>
              <w:bottom w:val="nil"/>
              <w:right w:val="nil"/>
            </w:tcBorders>
          </w:tcPr>
          <w:p w:rsidR="00F71E55" w:rsidRDefault="00F71E55">
            <w:pPr>
              <w:jc w:val="right"/>
              <w:rPr>
                <w:lang w:val="en-US"/>
              </w:rPr>
            </w:pPr>
            <w:r>
              <w:rPr>
                <w:lang w:val="en-US"/>
              </w:rPr>
              <w:t>120</w:t>
            </w:r>
          </w:p>
        </w:tc>
        <w:tc>
          <w:tcPr>
            <w:tcW w:w="485" w:type="dxa"/>
            <w:tcBorders>
              <w:top w:val="single" w:sz="2" w:space="0" w:color="auto"/>
              <w:left w:val="nil"/>
              <w:bottom w:val="nil"/>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84"/>
        </w:trPr>
        <w:tc>
          <w:tcPr>
            <w:tcW w:w="2899" w:type="dxa"/>
            <w:tcBorders>
              <w:top w:val="nil"/>
              <w:left w:val="single" w:sz="2" w:space="0" w:color="auto"/>
              <w:bottom w:val="nil"/>
              <w:right w:val="single" w:sz="2" w:space="0" w:color="auto"/>
            </w:tcBorders>
          </w:tcPr>
          <w:p w:rsidR="00F71E55" w:rsidRDefault="00F71E55">
            <w:pPr>
              <w:ind w:left="67"/>
              <w:rPr>
                <w:lang w:val="en-US"/>
              </w:rPr>
            </w:pPr>
            <w:r>
              <w:rPr>
                <w:lang w:val="en-US"/>
              </w:rPr>
              <w:t>Charges communes</w:t>
            </w:r>
          </w:p>
        </w:tc>
        <w:tc>
          <w:tcPr>
            <w:tcW w:w="999" w:type="dxa"/>
            <w:tcBorders>
              <w:top w:val="nil"/>
              <w:left w:val="single" w:sz="2" w:space="0" w:color="auto"/>
              <w:bottom w:val="nil"/>
              <w:right w:val="nil"/>
            </w:tcBorders>
          </w:tcPr>
          <w:p w:rsidR="00F71E55" w:rsidRDefault="00F71E55">
            <w:pPr>
              <w:rPr>
                <w:lang w:val="en-US"/>
              </w:rPr>
            </w:pPr>
          </w:p>
        </w:tc>
        <w:tc>
          <w:tcPr>
            <w:tcW w:w="628" w:type="dxa"/>
            <w:tcBorders>
              <w:top w:val="nil"/>
              <w:left w:val="nil"/>
              <w:bottom w:val="nil"/>
              <w:right w:val="nil"/>
            </w:tcBorders>
          </w:tcPr>
          <w:p w:rsidR="00F71E55" w:rsidRDefault="00F71E55">
            <w:pPr>
              <w:rPr>
                <w:lang w:val="en-US"/>
              </w:rPr>
            </w:pPr>
          </w:p>
        </w:tc>
        <w:tc>
          <w:tcPr>
            <w:tcW w:w="677" w:type="dxa"/>
            <w:tcBorders>
              <w:top w:val="nil"/>
              <w:left w:val="nil"/>
              <w:bottom w:val="nil"/>
              <w:right w:val="single" w:sz="2" w:space="0" w:color="auto"/>
            </w:tcBorders>
          </w:tcPr>
          <w:p w:rsidR="00F71E55" w:rsidRDefault="00F71E55">
            <w:pPr>
              <w:rPr>
                <w:lang w:val="en-US"/>
              </w:rPr>
            </w:pPr>
          </w:p>
        </w:tc>
        <w:tc>
          <w:tcPr>
            <w:tcW w:w="1829" w:type="dxa"/>
            <w:tcBorders>
              <w:top w:val="nil"/>
              <w:left w:val="single" w:sz="2" w:space="0" w:color="auto"/>
              <w:bottom w:val="single" w:sz="2" w:space="0" w:color="auto"/>
              <w:right w:val="nil"/>
            </w:tcBorders>
          </w:tcPr>
          <w:p w:rsidR="00F71E55" w:rsidRDefault="00F71E55">
            <w:pPr>
              <w:jc w:val="right"/>
              <w:rPr>
                <w:lang w:val="en-US"/>
              </w:rPr>
            </w:pPr>
            <w:r>
              <w:rPr>
                <w:lang w:val="en-US"/>
              </w:rPr>
              <w:t>150</w:t>
            </w:r>
          </w:p>
        </w:tc>
        <w:tc>
          <w:tcPr>
            <w:tcW w:w="485" w:type="dxa"/>
            <w:tcBorders>
              <w:top w:val="nil"/>
              <w:left w:val="nil"/>
              <w:bottom w:val="single" w:sz="2" w:space="0" w:color="auto"/>
              <w:right w:val="single" w:sz="2" w:space="0" w:color="auto"/>
            </w:tcBorders>
          </w:tcPr>
          <w:p w:rsidR="00F71E55" w:rsidRDefault="00F71E55">
            <w:pPr>
              <w:jc w:val="center"/>
              <w:rPr>
                <w:lang w:val="en-US"/>
              </w:rPr>
            </w:pPr>
            <w:r>
              <w:rPr>
                <w:lang w:val="en-US"/>
              </w:rPr>
              <w:t>000</w:t>
            </w:r>
          </w:p>
        </w:tc>
      </w:tr>
      <w:tr w:rsidR="00F71E55">
        <w:tblPrEx>
          <w:tblCellMar>
            <w:top w:w="0" w:type="dxa"/>
            <w:left w:w="0" w:type="dxa"/>
            <w:bottom w:w="0" w:type="dxa"/>
            <w:right w:w="0" w:type="dxa"/>
          </w:tblCellMar>
        </w:tblPrEx>
        <w:trPr>
          <w:trHeight w:hRule="exact" w:val="288"/>
        </w:trPr>
        <w:tc>
          <w:tcPr>
            <w:tcW w:w="2899" w:type="dxa"/>
            <w:tcBorders>
              <w:top w:val="nil"/>
              <w:left w:val="single" w:sz="2" w:space="0" w:color="auto"/>
              <w:bottom w:val="single" w:sz="2" w:space="0" w:color="auto"/>
              <w:right w:val="single" w:sz="2" w:space="0" w:color="auto"/>
            </w:tcBorders>
          </w:tcPr>
          <w:p w:rsidR="00F71E55" w:rsidRDefault="00F71E55">
            <w:pPr>
              <w:ind w:left="67"/>
              <w:rPr>
                <w:lang w:val="en-US"/>
              </w:rPr>
            </w:pPr>
            <w:r>
              <w:rPr>
                <w:lang w:val="en-US"/>
              </w:rPr>
              <w:t>Résultat</w:t>
            </w:r>
          </w:p>
        </w:tc>
        <w:tc>
          <w:tcPr>
            <w:tcW w:w="999" w:type="dxa"/>
            <w:tcBorders>
              <w:top w:val="nil"/>
              <w:left w:val="single" w:sz="2" w:space="0" w:color="auto"/>
              <w:bottom w:val="single" w:sz="2" w:space="0" w:color="auto"/>
              <w:right w:val="nil"/>
            </w:tcBorders>
          </w:tcPr>
          <w:p w:rsidR="00F71E55" w:rsidRDefault="00F71E55">
            <w:pPr>
              <w:rPr>
                <w:lang w:val="en-US"/>
              </w:rPr>
            </w:pPr>
          </w:p>
        </w:tc>
        <w:tc>
          <w:tcPr>
            <w:tcW w:w="628" w:type="dxa"/>
            <w:tcBorders>
              <w:top w:val="nil"/>
              <w:left w:val="nil"/>
              <w:bottom w:val="single" w:sz="2" w:space="0" w:color="auto"/>
              <w:right w:val="nil"/>
            </w:tcBorders>
          </w:tcPr>
          <w:p w:rsidR="00F71E55" w:rsidRDefault="00F71E55">
            <w:pPr>
              <w:rPr>
                <w:lang w:val="en-US"/>
              </w:rPr>
            </w:pPr>
          </w:p>
        </w:tc>
        <w:tc>
          <w:tcPr>
            <w:tcW w:w="677" w:type="dxa"/>
            <w:tcBorders>
              <w:top w:val="nil"/>
              <w:left w:val="nil"/>
              <w:bottom w:val="single" w:sz="2" w:space="0" w:color="auto"/>
              <w:right w:val="single" w:sz="2" w:space="0" w:color="auto"/>
            </w:tcBorders>
          </w:tcPr>
          <w:p w:rsidR="00F71E55" w:rsidRDefault="00F71E55">
            <w:pPr>
              <w:rPr>
                <w:lang w:val="en-US"/>
              </w:rPr>
            </w:pPr>
          </w:p>
        </w:tc>
        <w:tc>
          <w:tcPr>
            <w:tcW w:w="1829" w:type="dxa"/>
            <w:tcBorders>
              <w:top w:val="single" w:sz="2" w:space="0" w:color="auto"/>
              <w:left w:val="single" w:sz="2" w:space="0" w:color="auto"/>
              <w:bottom w:val="single" w:sz="2" w:space="0" w:color="auto"/>
              <w:right w:val="nil"/>
            </w:tcBorders>
          </w:tcPr>
          <w:p w:rsidR="00F71E55" w:rsidRDefault="00F71E55">
            <w:pPr>
              <w:tabs>
                <w:tab w:val="left" w:pos="1521"/>
              </w:tabs>
              <w:jc w:val="right"/>
              <w:rPr>
                <w:lang w:val="en-US"/>
              </w:rPr>
            </w:pPr>
            <w:r>
              <w:rPr>
                <w:lang w:val="en-US"/>
              </w:rPr>
              <w:t>-30</w:t>
            </w:r>
          </w:p>
        </w:tc>
        <w:tc>
          <w:tcPr>
            <w:tcW w:w="485" w:type="dxa"/>
            <w:tcBorders>
              <w:top w:val="single" w:sz="2" w:space="0" w:color="auto"/>
              <w:left w:val="nil"/>
              <w:bottom w:val="single" w:sz="2" w:space="0" w:color="auto"/>
              <w:right w:val="single" w:sz="2" w:space="0" w:color="auto"/>
            </w:tcBorders>
          </w:tcPr>
          <w:p w:rsidR="00F71E55" w:rsidRDefault="00F71E55">
            <w:pPr>
              <w:jc w:val="center"/>
              <w:rPr>
                <w:lang w:val="en-US"/>
              </w:rPr>
            </w:pPr>
            <w:r>
              <w:rPr>
                <w:lang w:val="en-US"/>
              </w:rPr>
              <w:t>000</w:t>
            </w:r>
          </w:p>
        </w:tc>
      </w:tr>
    </w:tbl>
    <w:p w:rsidR="00F71E55" w:rsidRDefault="00F71E55">
      <w:pPr>
        <w:spacing w:before="288"/>
        <w:ind w:left="72"/>
        <w:rPr>
          <w:lang w:val="en-US"/>
        </w:rPr>
      </w:pPr>
      <w:r>
        <w:rPr>
          <w:u w:val="single"/>
          <w:lang w:val="en-US"/>
        </w:rPr>
        <w:t>Apport de la démarche</w:t>
      </w:r>
    </w:p>
    <w:p w:rsidR="00F71E55" w:rsidRPr="00F71E55" w:rsidRDefault="00F71E55" w:rsidP="00F71E55">
      <w:pPr>
        <w:ind w:left="72" w:right="72"/>
        <w:jc w:val="both"/>
      </w:pPr>
      <w:r w:rsidRPr="00F71E55">
        <w:t>D’une manière générale, l’étude de la MCV permet de mesurer la contribution de l’activité à la couverture des charges fixes et de voir si l’activité est intrinsèquement rentable. La marge sur coût spécifique mesure la contribution à la couverture des charges communes.</w:t>
      </w:r>
    </w:p>
    <w:p w:rsidR="00F71E55" w:rsidRPr="00F71E55" w:rsidRDefault="00F71E55" w:rsidP="00F71E55">
      <w:pPr>
        <w:jc w:val="both"/>
      </w:pPr>
    </w:p>
    <w:p w:rsidR="00F71E55" w:rsidRPr="00F71E55" w:rsidRDefault="00F71E55" w:rsidP="00F71E55">
      <w:pPr>
        <w:ind w:left="72" w:right="72"/>
        <w:jc w:val="both"/>
      </w:pPr>
      <w:r w:rsidRPr="00F71E55">
        <w:t>Supprimer le restaurant aurait pour conséquence un report des charges communes sur les autres activités.</w:t>
      </w:r>
    </w:p>
    <w:p w:rsidR="00F71E55" w:rsidRPr="00F71E55" w:rsidRDefault="00F71E55" w:rsidP="00F71E55">
      <w:pPr>
        <w:ind w:left="72"/>
        <w:jc w:val="both"/>
      </w:pPr>
      <w:r w:rsidRPr="00F71E55">
        <w:t>La marge sur coûts spécifiques étant positive, il convient de maintenir le restaurant en place.</w:t>
      </w:r>
    </w:p>
    <w:p w:rsidR="00F71E55" w:rsidRDefault="00F71E55" w:rsidP="00F71E55">
      <w:pPr>
        <w:ind w:left="72"/>
        <w:jc w:val="both"/>
        <w:sectPr w:rsidR="00F71E55" w:rsidSect="00F71E55">
          <w:pgSz w:w="11904" w:h="16843"/>
          <w:pgMar w:top="851" w:right="1236" w:bottom="955" w:left="1284" w:header="720" w:footer="720" w:gutter="0"/>
          <w:cols w:space="720"/>
          <w:noEndnote/>
        </w:sectPr>
      </w:pPr>
    </w:p>
    <w:p w:rsidR="00F71E55" w:rsidRPr="00F71E55" w:rsidRDefault="00F71E55">
      <w:pPr>
        <w:numPr>
          <w:ilvl w:val="0"/>
          <w:numId w:val="12"/>
        </w:numPr>
        <w:spacing w:before="504"/>
        <w:rPr>
          <w:b/>
          <w:bCs/>
        </w:rPr>
      </w:pPr>
      <w:r w:rsidRPr="00F71E55">
        <w:rPr>
          <w:b/>
          <w:bCs/>
        </w:rPr>
        <w:lastRenderedPageBreak/>
        <w:t>Indiquer les éléments qualitatifs à prendre en compte pour la décision et conclure.</w:t>
      </w:r>
    </w:p>
    <w:p w:rsidR="00F71E55" w:rsidRPr="00F71E55" w:rsidRDefault="00F71E55" w:rsidP="00F71E55">
      <w:pPr>
        <w:jc w:val="both"/>
      </w:pPr>
    </w:p>
    <w:p w:rsidR="00F71E55" w:rsidRPr="00F71E55" w:rsidRDefault="00F71E55" w:rsidP="00F71E55">
      <w:pPr>
        <w:jc w:val="both"/>
      </w:pPr>
      <w:r w:rsidRPr="00F71E55">
        <w:t>Le maintien du restaurant permet d’étendre l’offre du parc en offrant la possibilité de déjeuner et/ou diner sans forcer les clients à se contenter d’un panier repas emporté.</w:t>
      </w:r>
    </w:p>
    <w:p w:rsidR="00F71E55" w:rsidRPr="00F71E55" w:rsidRDefault="00F71E55" w:rsidP="00F71E55">
      <w:pPr>
        <w:jc w:val="both"/>
      </w:pPr>
    </w:p>
    <w:p w:rsidR="00F71E55" w:rsidRPr="00F71E55" w:rsidRDefault="00F71E55" w:rsidP="00F71E55">
      <w:pPr>
        <w:jc w:val="both"/>
      </w:pPr>
      <w:r w:rsidRPr="00F71E55">
        <w:t>Une décision de maintien ou d’abandon d’activité doit se faire en prenant compte également des considérations stratégiques.</w:t>
      </w:r>
    </w:p>
    <w:p w:rsidR="00F71E55" w:rsidRPr="00F71E55" w:rsidRDefault="00F71E55" w:rsidP="00F71E55">
      <w:pPr>
        <w:jc w:val="both"/>
      </w:pPr>
    </w:p>
    <w:p w:rsidR="00F71E55" w:rsidRPr="00F71E55" w:rsidRDefault="00F71E55" w:rsidP="00F71E55">
      <w:pPr>
        <w:numPr>
          <w:ilvl w:val="0"/>
          <w:numId w:val="12"/>
        </w:numPr>
        <w:jc w:val="both"/>
        <w:rPr>
          <w:b/>
          <w:bCs/>
        </w:rPr>
      </w:pPr>
      <w:r w:rsidRPr="00F71E55">
        <w:rPr>
          <w:b/>
          <w:bCs/>
        </w:rPr>
        <w:t>En prenant l’hypothèse d’une réduction du temps passé à table, calculer le nombre de couverts du déjeuner permettant de parvenir à un objectif de rentabilité de 60 000 € pour le prestataire. En déduire le temps moyen passé à table pour un client qui déjeune.</w:t>
      </w:r>
    </w:p>
    <w:p w:rsidR="00F71E55" w:rsidRPr="00F71E55" w:rsidRDefault="00F71E55" w:rsidP="00F71E55">
      <w:pPr>
        <w:jc w:val="both"/>
      </w:pPr>
    </w:p>
    <w:p w:rsidR="00F71E55" w:rsidRPr="00F71E55" w:rsidRDefault="00F71E55" w:rsidP="00F71E55">
      <w:pPr>
        <w:jc w:val="both"/>
      </w:pPr>
      <w:r w:rsidRPr="00F71E55">
        <w:t>MCV unitaire par repas = 720 000 / 500 x 120 = 12</w:t>
      </w:r>
    </w:p>
    <w:p w:rsidR="00F71E55" w:rsidRPr="00F71E55" w:rsidRDefault="00F71E55" w:rsidP="00F71E55">
      <w:pPr>
        <w:jc w:val="both"/>
      </w:pPr>
    </w:p>
    <w:p w:rsidR="00F71E55" w:rsidRPr="00F71E55" w:rsidRDefault="00F71E55" w:rsidP="00F71E55">
      <w:pPr>
        <w:jc w:val="both"/>
      </w:pPr>
      <w:r w:rsidRPr="00F71E55">
        <w:t>Soit X le nombre de repas de midi</w:t>
      </w:r>
    </w:p>
    <w:p w:rsidR="00F71E55" w:rsidRPr="00F71E55" w:rsidRDefault="00F71E55" w:rsidP="00F71E55">
      <w:pPr>
        <w:jc w:val="both"/>
      </w:pPr>
    </w:p>
    <w:p w:rsidR="00F71E55" w:rsidRPr="00F71E55" w:rsidRDefault="00F71E55" w:rsidP="00F71E55">
      <w:pPr>
        <w:jc w:val="both"/>
      </w:pPr>
      <w:r w:rsidRPr="00F71E55">
        <w:t>60 000 = (X x 120 x 12) + (110 x 120 x 12) – 750 000</w:t>
      </w:r>
    </w:p>
    <w:p w:rsidR="00F71E55" w:rsidRPr="00F71E55" w:rsidRDefault="00F71E55" w:rsidP="00F71E55">
      <w:pPr>
        <w:jc w:val="both"/>
      </w:pPr>
    </w:p>
    <w:p w:rsidR="00F71E55" w:rsidRPr="00F71E55" w:rsidRDefault="00F71E55" w:rsidP="00F71E55">
      <w:pPr>
        <w:jc w:val="both"/>
      </w:pPr>
      <w:r w:rsidRPr="00F71E55">
        <w:t>Soit 452 repas de midi</w:t>
      </w:r>
    </w:p>
    <w:p w:rsidR="00F71E55" w:rsidRPr="00F71E55" w:rsidRDefault="00F71E55" w:rsidP="00F71E55">
      <w:pPr>
        <w:jc w:val="both"/>
      </w:pPr>
    </w:p>
    <w:p w:rsidR="00F71E55" w:rsidRPr="00F71E55" w:rsidRDefault="00F71E55" w:rsidP="00F71E55">
      <w:pPr>
        <w:jc w:val="both"/>
      </w:pPr>
      <w:r w:rsidRPr="00F71E55">
        <w:t>Temps moyen = (130 * 3) / 452 x 60 = 52 minutes (soit 8 minutes de moins)</w:t>
      </w:r>
    </w:p>
    <w:sectPr w:rsidR="00F71E55" w:rsidRPr="00F71E55" w:rsidSect="00F71E55">
      <w:pgSz w:w="11904" w:h="16843"/>
      <w:pgMar w:top="709" w:right="1310" w:bottom="955" w:left="1289" w:header="720" w:footer="720" w:gutter="0"/>
      <w:pgNumType w:start="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DC" w:rsidRDefault="00CE16DC" w:rsidP="00F71E55">
      <w:r>
        <w:separator/>
      </w:r>
    </w:p>
  </w:endnote>
  <w:endnote w:type="continuationSeparator" w:id="0">
    <w:p w:rsidR="00CE16DC" w:rsidRDefault="00CE16DC" w:rsidP="00F7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55" w:rsidRPr="005167E2" w:rsidRDefault="005167E2" w:rsidP="005167E2">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A953F8">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A953F8">
      <w:rPr>
        <w:rStyle w:val="Numrodepage"/>
        <w:noProof/>
        <w:sz w:val="22"/>
      </w:rPr>
      <w:t>10</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DC" w:rsidRDefault="00CE16DC" w:rsidP="00F71E55">
      <w:r>
        <w:separator/>
      </w:r>
    </w:p>
  </w:footnote>
  <w:footnote w:type="continuationSeparator" w:id="0">
    <w:p w:rsidR="00CE16DC" w:rsidRDefault="00CE16DC" w:rsidP="00F7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E2" w:rsidRDefault="0019327B" w:rsidP="005167E2">
    <w:pPr>
      <w:pStyle w:val="En-tte"/>
      <w:tabs>
        <w:tab w:val="left" w:pos="555"/>
        <w:tab w:val="left" w:pos="900"/>
        <w:tab w:val="left" w:pos="20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7E2">
      <w:tab/>
    </w:r>
    <w:r w:rsidR="005167E2">
      <w:tab/>
    </w:r>
    <w:r w:rsidR="005167E2">
      <w:tab/>
    </w:r>
    <w:r w:rsidR="005167E2">
      <w:tab/>
    </w:r>
    <w:r w:rsidR="005167E2">
      <w:tab/>
    </w:r>
    <w:r w:rsidR="005167E2">
      <w:tab/>
    </w:r>
    <w:r w:rsidR="00CE16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5167E2" w:rsidRPr="001C2C1B">
        <w:rPr>
          <w:rStyle w:val="Lienhypertexte"/>
          <w:rFonts w:cs="Calibri"/>
          <w:color w:val="E36C0A"/>
        </w:rPr>
        <w:t>www.comptazine.fr</w:t>
      </w:r>
    </w:hyperlink>
    <w:r w:rsidR="005167E2">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7E2" w:rsidRPr="005E18B7" w:rsidRDefault="005167E2" w:rsidP="005167E2">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7"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5167E2" w:rsidRPr="005E18B7" w:rsidRDefault="005167E2" w:rsidP="005167E2">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FD76"/>
    <w:multiLevelType w:val="singleLevel"/>
    <w:tmpl w:val="5AB96580"/>
    <w:lvl w:ilvl="0">
      <w:numFmt w:val="bullet"/>
      <w:lvlText w:val="·"/>
      <w:lvlJc w:val="left"/>
      <w:pPr>
        <w:tabs>
          <w:tab w:val="num" w:pos="792"/>
        </w:tabs>
        <w:ind w:left="792" w:hanging="432"/>
      </w:pPr>
      <w:rPr>
        <w:rFonts w:ascii="Symbol" w:hAnsi="Symbol" w:hint="default"/>
        <w:color w:val="000000"/>
      </w:rPr>
    </w:lvl>
  </w:abstractNum>
  <w:abstractNum w:abstractNumId="1">
    <w:nsid w:val="22CB5CBD"/>
    <w:multiLevelType w:val="singleLevel"/>
    <w:tmpl w:val="4498024A"/>
    <w:lvl w:ilvl="0">
      <w:start w:val="1"/>
      <w:numFmt w:val="lowerLetter"/>
      <w:lvlText w:val="%1)"/>
      <w:lvlJc w:val="left"/>
      <w:pPr>
        <w:tabs>
          <w:tab w:val="num" w:pos="1368"/>
        </w:tabs>
        <w:ind w:left="1368" w:hanging="360"/>
      </w:pPr>
      <w:rPr>
        <w:rFonts w:cs="Times New Roman"/>
        <w:color w:val="000000"/>
      </w:rPr>
    </w:lvl>
  </w:abstractNum>
  <w:abstractNum w:abstractNumId="2">
    <w:nsid w:val="2720E563"/>
    <w:multiLevelType w:val="singleLevel"/>
    <w:tmpl w:val="6CF67798"/>
    <w:lvl w:ilvl="0">
      <w:start w:val="3"/>
      <w:numFmt w:val="decimal"/>
      <w:lvlText w:val="%1."/>
      <w:lvlJc w:val="left"/>
      <w:pPr>
        <w:tabs>
          <w:tab w:val="num" w:pos="360"/>
        </w:tabs>
      </w:pPr>
      <w:rPr>
        <w:rFonts w:cs="Times New Roman"/>
        <w:color w:val="000000"/>
      </w:rPr>
    </w:lvl>
  </w:abstractNum>
  <w:abstractNum w:abstractNumId="3">
    <w:nsid w:val="35E145C5"/>
    <w:multiLevelType w:val="singleLevel"/>
    <w:tmpl w:val="447DA29C"/>
    <w:lvl w:ilvl="0">
      <w:start w:val="4"/>
      <w:numFmt w:val="decimal"/>
      <w:lvlText w:val="%1."/>
      <w:lvlJc w:val="left"/>
      <w:pPr>
        <w:tabs>
          <w:tab w:val="num" w:pos="288"/>
        </w:tabs>
      </w:pPr>
      <w:rPr>
        <w:rFonts w:cs="Times New Roman"/>
        <w:color w:val="000000"/>
      </w:rPr>
    </w:lvl>
  </w:abstractNum>
  <w:abstractNum w:abstractNumId="4">
    <w:nsid w:val="387306FB"/>
    <w:multiLevelType w:val="singleLevel"/>
    <w:tmpl w:val="5BA92048"/>
    <w:lvl w:ilvl="0">
      <w:numFmt w:val="bullet"/>
      <w:lvlText w:val="·"/>
      <w:lvlJc w:val="left"/>
      <w:pPr>
        <w:tabs>
          <w:tab w:val="num" w:pos="720"/>
        </w:tabs>
        <w:ind w:left="720" w:hanging="360"/>
      </w:pPr>
      <w:rPr>
        <w:rFonts w:ascii="Symbol" w:hAnsi="Symbol" w:hint="default"/>
        <w:color w:val="000000"/>
      </w:rPr>
    </w:lvl>
  </w:abstractNum>
  <w:abstractNum w:abstractNumId="5">
    <w:nsid w:val="3D5056AC"/>
    <w:multiLevelType w:val="hybridMultilevel"/>
    <w:tmpl w:val="8FBCAE02"/>
    <w:lvl w:ilvl="0" w:tplc="A314C474">
      <w:numFmt w:val="bullet"/>
      <w:lvlText w:val="-"/>
      <w:lvlJc w:val="left"/>
      <w:pPr>
        <w:ind w:left="648" w:hanging="360"/>
      </w:pPr>
      <w:rPr>
        <w:rFonts w:ascii="Times New Roman" w:eastAsiaTheme="minorEastAsia" w:hAnsi="Times New Roman" w:hint="default"/>
      </w:rPr>
    </w:lvl>
    <w:lvl w:ilvl="1" w:tplc="040C0003" w:tentative="1">
      <w:start w:val="1"/>
      <w:numFmt w:val="bullet"/>
      <w:lvlText w:val="o"/>
      <w:lvlJc w:val="left"/>
      <w:pPr>
        <w:ind w:left="1368" w:hanging="360"/>
      </w:pPr>
      <w:rPr>
        <w:rFonts w:ascii="Courier New" w:hAnsi="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6">
    <w:nsid w:val="4B3334DB"/>
    <w:multiLevelType w:val="hybridMultilevel"/>
    <w:tmpl w:val="D18EC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05BD2B"/>
    <w:multiLevelType w:val="singleLevel"/>
    <w:tmpl w:val="7D754FBA"/>
    <w:lvl w:ilvl="0">
      <w:numFmt w:val="bullet"/>
      <w:lvlText w:val="·"/>
      <w:lvlJc w:val="left"/>
      <w:pPr>
        <w:tabs>
          <w:tab w:val="num" w:pos="792"/>
        </w:tabs>
        <w:ind w:left="360"/>
      </w:pPr>
      <w:rPr>
        <w:rFonts w:ascii="Symbol" w:hAnsi="Symbol" w:hint="default"/>
        <w:color w:val="000000"/>
      </w:rPr>
    </w:lvl>
  </w:abstractNum>
  <w:abstractNum w:abstractNumId="8">
    <w:nsid w:val="5644AB42"/>
    <w:multiLevelType w:val="singleLevel"/>
    <w:tmpl w:val="7E5F33B1"/>
    <w:lvl w:ilvl="0">
      <w:start w:val="1"/>
      <w:numFmt w:val="decimal"/>
      <w:lvlText w:val="%1."/>
      <w:lvlJc w:val="left"/>
      <w:pPr>
        <w:tabs>
          <w:tab w:val="num" w:pos="360"/>
        </w:tabs>
        <w:ind w:left="72"/>
      </w:pPr>
      <w:rPr>
        <w:rFonts w:cs="Times New Roman"/>
        <w:color w:val="000000"/>
      </w:rPr>
    </w:lvl>
  </w:abstractNum>
  <w:abstractNum w:abstractNumId="9">
    <w:nsid w:val="572C6DA3"/>
    <w:multiLevelType w:val="singleLevel"/>
    <w:tmpl w:val="2CFA5923"/>
    <w:lvl w:ilvl="0">
      <w:start w:val="3"/>
      <w:numFmt w:val="decimal"/>
      <w:lvlText w:val="%1."/>
      <w:lvlJc w:val="left"/>
      <w:pPr>
        <w:tabs>
          <w:tab w:val="num" w:pos="360"/>
        </w:tabs>
      </w:pPr>
      <w:rPr>
        <w:rFonts w:cs="Times New Roman"/>
        <w:color w:val="000000"/>
      </w:rPr>
    </w:lvl>
  </w:abstractNum>
  <w:abstractNum w:abstractNumId="10">
    <w:nsid w:val="58870C94"/>
    <w:multiLevelType w:val="hybridMultilevel"/>
    <w:tmpl w:val="6EB0D2EE"/>
    <w:lvl w:ilvl="0" w:tplc="A314C474">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871BE6"/>
    <w:multiLevelType w:val="singleLevel"/>
    <w:tmpl w:val="572E2915"/>
    <w:lvl w:ilvl="0">
      <w:numFmt w:val="bullet"/>
      <w:lvlText w:val="·"/>
      <w:lvlJc w:val="left"/>
      <w:pPr>
        <w:tabs>
          <w:tab w:val="num" w:pos="720"/>
        </w:tabs>
        <w:ind w:left="360"/>
      </w:pPr>
      <w:rPr>
        <w:rFonts w:ascii="Symbol" w:hAnsi="Symbol" w:hint="default"/>
        <w:color w:val="000000"/>
      </w:rPr>
    </w:lvl>
  </w:abstractNum>
  <w:abstractNum w:abstractNumId="12">
    <w:nsid w:val="5A35B0AD"/>
    <w:multiLevelType w:val="singleLevel"/>
    <w:tmpl w:val="44DCF0C6"/>
    <w:lvl w:ilvl="0">
      <w:start w:val="2"/>
      <w:numFmt w:val="decimal"/>
      <w:lvlText w:val="%1."/>
      <w:lvlJc w:val="left"/>
      <w:pPr>
        <w:tabs>
          <w:tab w:val="num" w:pos="360"/>
        </w:tabs>
        <w:ind w:left="72"/>
      </w:pPr>
      <w:rPr>
        <w:rFonts w:cs="Times New Roman"/>
        <w:color w:val="000000"/>
      </w:rPr>
    </w:lvl>
  </w:abstractNum>
  <w:abstractNum w:abstractNumId="13">
    <w:nsid w:val="5A9FDF06"/>
    <w:multiLevelType w:val="singleLevel"/>
    <w:tmpl w:val="4514EAF7"/>
    <w:lvl w:ilvl="0">
      <w:start w:val="5"/>
      <w:numFmt w:val="decimal"/>
      <w:lvlText w:val="%1."/>
      <w:lvlJc w:val="left"/>
      <w:pPr>
        <w:tabs>
          <w:tab w:val="num" w:pos="360"/>
        </w:tabs>
        <w:ind w:left="72"/>
      </w:pPr>
      <w:rPr>
        <w:rFonts w:cs="Times New Roman"/>
        <w:color w:val="000000"/>
      </w:rPr>
    </w:lvl>
  </w:abstractNum>
  <w:abstractNum w:abstractNumId="14">
    <w:nsid w:val="7811DF5E"/>
    <w:multiLevelType w:val="singleLevel"/>
    <w:tmpl w:val="69CDA26D"/>
    <w:lvl w:ilvl="0">
      <w:start w:val="6"/>
      <w:numFmt w:val="decimal"/>
      <w:lvlText w:val="%1."/>
      <w:lvlJc w:val="left"/>
      <w:pPr>
        <w:tabs>
          <w:tab w:val="num" w:pos="288"/>
        </w:tabs>
      </w:pPr>
      <w:rPr>
        <w:rFonts w:cs="Times New Roman"/>
        <w:color w:val="000000"/>
      </w:rPr>
    </w:lvl>
  </w:abstractNum>
  <w:num w:numId="1">
    <w:abstractNumId w:val="2"/>
  </w:num>
  <w:num w:numId="2">
    <w:abstractNumId w:val="7"/>
  </w:num>
  <w:num w:numId="3">
    <w:abstractNumId w:val="0"/>
  </w:num>
  <w:num w:numId="4">
    <w:abstractNumId w:val="14"/>
  </w:num>
  <w:num w:numId="5">
    <w:abstractNumId w:val="8"/>
  </w:num>
  <w:num w:numId="6">
    <w:abstractNumId w:val="1"/>
  </w:num>
  <w:num w:numId="7">
    <w:abstractNumId w:val="11"/>
  </w:num>
  <w:num w:numId="8">
    <w:abstractNumId w:val="4"/>
  </w:num>
  <w:num w:numId="9">
    <w:abstractNumId w:val="9"/>
  </w:num>
  <w:num w:numId="10">
    <w:abstractNumId w:val="13"/>
  </w:num>
  <w:num w:numId="11">
    <w:abstractNumId w:val="12"/>
  </w:num>
  <w:num w:numId="12">
    <w:abstractNumId w:val="3"/>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F4"/>
    <w:rsid w:val="000B6FF4"/>
    <w:rsid w:val="00171C3B"/>
    <w:rsid w:val="0019327B"/>
    <w:rsid w:val="001C2C1B"/>
    <w:rsid w:val="005167E2"/>
    <w:rsid w:val="005A1517"/>
    <w:rsid w:val="005A7D90"/>
    <w:rsid w:val="005E18B7"/>
    <w:rsid w:val="00663C06"/>
    <w:rsid w:val="00A90401"/>
    <w:rsid w:val="00A953F8"/>
    <w:rsid w:val="00CE16DC"/>
    <w:rsid w:val="00F71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E55"/>
    <w:pPr>
      <w:tabs>
        <w:tab w:val="center" w:pos="4536"/>
        <w:tab w:val="right" w:pos="9072"/>
      </w:tabs>
    </w:pPr>
  </w:style>
  <w:style w:type="character" w:customStyle="1" w:styleId="En-tteCar">
    <w:name w:val="En-tête Car"/>
    <w:basedOn w:val="Policepardfaut"/>
    <w:link w:val="En-tte"/>
    <w:uiPriority w:val="99"/>
    <w:locked/>
    <w:rsid w:val="00F71E55"/>
    <w:rPr>
      <w:rFonts w:ascii="Times New Roman" w:hAnsi="Times New Roman" w:cs="Times New Roman"/>
      <w:sz w:val="24"/>
      <w:szCs w:val="24"/>
    </w:rPr>
  </w:style>
  <w:style w:type="paragraph" w:styleId="Pieddepage">
    <w:name w:val="footer"/>
    <w:basedOn w:val="Normal"/>
    <w:link w:val="PieddepageCar"/>
    <w:uiPriority w:val="99"/>
    <w:unhideWhenUsed/>
    <w:rsid w:val="00F71E55"/>
    <w:pPr>
      <w:tabs>
        <w:tab w:val="center" w:pos="4536"/>
        <w:tab w:val="right" w:pos="9072"/>
      </w:tabs>
    </w:pPr>
  </w:style>
  <w:style w:type="character" w:customStyle="1" w:styleId="PieddepageCar">
    <w:name w:val="Pied de page Car"/>
    <w:basedOn w:val="Policepardfaut"/>
    <w:link w:val="Pieddepage"/>
    <w:uiPriority w:val="99"/>
    <w:locked/>
    <w:rsid w:val="00F71E55"/>
    <w:rPr>
      <w:rFonts w:ascii="Times New Roman" w:hAnsi="Times New Roman" w:cs="Times New Roman"/>
      <w:sz w:val="24"/>
      <w:szCs w:val="24"/>
    </w:rPr>
  </w:style>
  <w:style w:type="paragraph" w:styleId="Sansinterligne">
    <w:name w:val="No Spacing"/>
    <w:uiPriority w:val="1"/>
    <w:qFormat/>
    <w:rsid w:val="00F71E55"/>
    <w:pPr>
      <w:widowControl w:val="0"/>
      <w:autoSpaceDE w:val="0"/>
      <w:autoSpaceDN w:val="0"/>
      <w:spacing w:after="0" w:line="240" w:lineRule="auto"/>
    </w:pPr>
    <w:rPr>
      <w:rFonts w:ascii="Times New Roman" w:hAnsi="Times New Roman"/>
      <w:sz w:val="24"/>
      <w:szCs w:val="24"/>
    </w:rPr>
  </w:style>
  <w:style w:type="character" w:styleId="Lienhypertexte">
    <w:name w:val="Hyperlink"/>
    <w:basedOn w:val="Policepardfaut"/>
    <w:uiPriority w:val="99"/>
    <w:unhideWhenUsed/>
    <w:rsid w:val="005167E2"/>
    <w:rPr>
      <w:rFonts w:cs="Times New Roman"/>
      <w:color w:val="0000FF"/>
      <w:u w:val="single"/>
    </w:rPr>
  </w:style>
  <w:style w:type="character" w:styleId="Numrodepage">
    <w:name w:val="page number"/>
    <w:basedOn w:val="Policepardfaut"/>
    <w:uiPriority w:val="99"/>
    <w:rsid w:val="005167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E55"/>
    <w:pPr>
      <w:tabs>
        <w:tab w:val="center" w:pos="4536"/>
        <w:tab w:val="right" w:pos="9072"/>
      </w:tabs>
    </w:pPr>
  </w:style>
  <w:style w:type="character" w:customStyle="1" w:styleId="En-tteCar">
    <w:name w:val="En-tête Car"/>
    <w:basedOn w:val="Policepardfaut"/>
    <w:link w:val="En-tte"/>
    <w:uiPriority w:val="99"/>
    <w:locked/>
    <w:rsid w:val="00F71E55"/>
    <w:rPr>
      <w:rFonts w:ascii="Times New Roman" w:hAnsi="Times New Roman" w:cs="Times New Roman"/>
      <w:sz w:val="24"/>
      <w:szCs w:val="24"/>
    </w:rPr>
  </w:style>
  <w:style w:type="paragraph" w:styleId="Pieddepage">
    <w:name w:val="footer"/>
    <w:basedOn w:val="Normal"/>
    <w:link w:val="PieddepageCar"/>
    <w:uiPriority w:val="99"/>
    <w:unhideWhenUsed/>
    <w:rsid w:val="00F71E55"/>
    <w:pPr>
      <w:tabs>
        <w:tab w:val="center" w:pos="4536"/>
        <w:tab w:val="right" w:pos="9072"/>
      </w:tabs>
    </w:pPr>
  </w:style>
  <w:style w:type="character" w:customStyle="1" w:styleId="PieddepageCar">
    <w:name w:val="Pied de page Car"/>
    <w:basedOn w:val="Policepardfaut"/>
    <w:link w:val="Pieddepage"/>
    <w:uiPriority w:val="99"/>
    <w:locked/>
    <w:rsid w:val="00F71E55"/>
    <w:rPr>
      <w:rFonts w:ascii="Times New Roman" w:hAnsi="Times New Roman" w:cs="Times New Roman"/>
      <w:sz w:val="24"/>
      <w:szCs w:val="24"/>
    </w:rPr>
  </w:style>
  <w:style w:type="paragraph" w:styleId="Sansinterligne">
    <w:name w:val="No Spacing"/>
    <w:uiPriority w:val="1"/>
    <w:qFormat/>
    <w:rsid w:val="00F71E55"/>
    <w:pPr>
      <w:widowControl w:val="0"/>
      <w:autoSpaceDE w:val="0"/>
      <w:autoSpaceDN w:val="0"/>
      <w:spacing w:after="0" w:line="240" w:lineRule="auto"/>
    </w:pPr>
    <w:rPr>
      <w:rFonts w:ascii="Times New Roman" w:hAnsi="Times New Roman"/>
      <w:sz w:val="24"/>
      <w:szCs w:val="24"/>
    </w:rPr>
  </w:style>
  <w:style w:type="character" w:styleId="Lienhypertexte">
    <w:name w:val="Hyperlink"/>
    <w:basedOn w:val="Policepardfaut"/>
    <w:uiPriority w:val="99"/>
    <w:unhideWhenUsed/>
    <w:rsid w:val="005167E2"/>
    <w:rPr>
      <w:rFonts w:cs="Times New Roman"/>
      <w:color w:val="0000FF"/>
      <w:u w:val="single"/>
    </w:rPr>
  </w:style>
  <w:style w:type="character" w:styleId="Numrodepage">
    <w:name w:val="page number"/>
    <w:basedOn w:val="Policepardfaut"/>
    <w:uiPriority w:val="99"/>
    <w:rsid w:val="005167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2773</Words>
  <Characters>15256</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2012-12-18T08:14:00Z</cp:lastPrinted>
  <dcterms:created xsi:type="dcterms:W3CDTF">2012-12-18T08:14:00Z</dcterms:created>
  <dcterms:modified xsi:type="dcterms:W3CDTF">2012-12-18T08:15:00Z</dcterms:modified>
</cp:coreProperties>
</file>