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3B" w:rsidRPr="00171C3B" w:rsidRDefault="00171C3B" w:rsidP="00171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rPr>
          <w:rFonts w:eastAsia="Times New Roman"/>
          <w:b/>
          <w:bCs/>
          <w:noProof/>
          <w:sz w:val="22"/>
          <w:szCs w:val="22"/>
        </w:rPr>
      </w:pPr>
      <w:bookmarkStart w:id="0" w:name="_GoBack"/>
      <w:bookmarkEnd w:id="0"/>
      <w:r w:rsidRPr="00171C3B">
        <w:rPr>
          <w:rFonts w:eastAsia="Times New Roman"/>
          <w:b/>
          <w:bCs/>
          <w:noProof/>
          <w:sz w:val="22"/>
          <w:szCs w:val="22"/>
        </w:rPr>
        <w:t>DCG session 2012</w:t>
      </w:r>
      <w:r w:rsidRPr="00171C3B">
        <w:rPr>
          <w:rFonts w:eastAsia="Times New Roman"/>
          <w:b/>
          <w:bCs/>
          <w:noProof/>
          <w:sz w:val="22"/>
          <w:szCs w:val="22"/>
        </w:rPr>
        <w:tab/>
      </w:r>
      <w:r w:rsidRPr="00171C3B">
        <w:rPr>
          <w:rFonts w:eastAsia="Times New Roman"/>
          <w:b/>
          <w:bCs/>
          <w:noProof/>
          <w:sz w:val="22"/>
          <w:szCs w:val="22"/>
        </w:rPr>
        <w:tab/>
      </w:r>
      <w:r w:rsidRPr="00171C3B">
        <w:rPr>
          <w:rFonts w:eastAsia="Times New Roman"/>
          <w:b/>
          <w:bCs/>
          <w:noProof/>
          <w:sz w:val="22"/>
          <w:szCs w:val="22"/>
        </w:rPr>
        <w:tab/>
        <w:t>UE4 Droit Fiscal</w:t>
      </w:r>
      <w:r w:rsidRPr="00171C3B">
        <w:rPr>
          <w:rFonts w:eastAsia="Times New Roman"/>
          <w:b/>
          <w:bCs/>
          <w:noProof/>
          <w:sz w:val="22"/>
          <w:szCs w:val="22"/>
        </w:rPr>
        <w:tab/>
      </w:r>
      <w:r w:rsidRPr="00171C3B">
        <w:rPr>
          <w:rFonts w:eastAsia="Times New Roman"/>
          <w:b/>
          <w:bCs/>
          <w:noProof/>
          <w:sz w:val="22"/>
          <w:szCs w:val="22"/>
        </w:rPr>
        <w:tab/>
      </w:r>
      <w:r w:rsidRPr="00171C3B">
        <w:rPr>
          <w:rFonts w:eastAsia="Times New Roman"/>
          <w:b/>
          <w:bCs/>
          <w:noProof/>
          <w:sz w:val="22"/>
          <w:szCs w:val="22"/>
        </w:rPr>
        <w:tab/>
        <w:t>Corrigé indicatif</w:t>
      </w:r>
    </w:p>
    <w:p w:rsidR="00171C3B" w:rsidRPr="00171C3B" w:rsidRDefault="00171C3B" w:rsidP="00171C3B">
      <w:pPr>
        <w:pStyle w:val="Sansinterligne"/>
      </w:pPr>
    </w:p>
    <w:p w:rsidR="00F77A4C" w:rsidRPr="00171C3B" w:rsidRDefault="00F77A4C" w:rsidP="00171C3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171C3B">
        <w:rPr>
          <w:b/>
        </w:rPr>
        <w:t>DOSSIER 1 – BÉNÉFICES INDUST</w:t>
      </w:r>
      <w:r w:rsidR="00171C3B" w:rsidRPr="00171C3B">
        <w:rPr>
          <w:b/>
        </w:rPr>
        <w:t>RIELS ET COMMERCIAUX</w:t>
      </w:r>
    </w:p>
    <w:p w:rsidR="00F77A4C" w:rsidRPr="00171C3B" w:rsidRDefault="00F77A4C">
      <w:pPr>
        <w:spacing w:before="252"/>
        <w:ind w:left="144"/>
        <w:rPr>
          <w:b/>
          <w:bCs/>
          <w:i/>
          <w:iCs/>
          <w:spacing w:val="10"/>
          <w:sz w:val="22"/>
          <w:szCs w:val="22"/>
        </w:rPr>
      </w:pPr>
      <w:r w:rsidRPr="00171C3B">
        <w:rPr>
          <w:b/>
          <w:bCs/>
          <w:i/>
          <w:iCs/>
          <w:spacing w:val="10"/>
          <w:sz w:val="22"/>
          <w:szCs w:val="22"/>
        </w:rPr>
        <w:t>À l’aide de l’annexe 1,</w:t>
      </w:r>
    </w:p>
    <w:p w:rsidR="00F77A4C" w:rsidRPr="00171C3B" w:rsidRDefault="00F77A4C">
      <w:pPr>
        <w:rPr>
          <w:sz w:val="22"/>
          <w:szCs w:val="22"/>
        </w:rPr>
      </w:pPr>
    </w:p>
    <w:p w:rsidR="00F77A4C" w:rsidRPr="00171C3B" w:rsidRDefault="00F77A4C" w:rsidP="00171C3B">
      <w:pPr>
        <w:numPr>
          <w:ilvl w:val="1"/>
          <w:numId w:val="19"/>
        </w:numPr>
        <w:ind w:left="1276" w:right="72" w:hanging="556"/>
        <w:rPr>
          <w:b/>
          <w:bCs/>
          <w:sz w:val="22"/>
          <w:szCs w:val="22"/>
        </w:rPr>
      </w:pPr>
      <w:r w:rsidRPr="00171C3B">
        <w:rPr>
          <w:b/>
          <w:bCs/>
          <w:sz w:val="22"/>
          <w:szCs w:val="22"/>
        </w:rPr>
        <w:t xml:space="preserve">Vérifier que la SARL MASC peut opter pour l’imposition de ses bénéfices à l’impôt sur le revenu. </w:t>
      </w:r>
    </w:p>
    <w:p w:rsidR="00F77A4C" w:rsidRPr="00171C3B" w:rsidRDefault="00F77A4C">
      <w:pPr>
        <w:rPr>
          <w:sz w:val="22"/>
          <w:szCs w:val="22"/>
        </w:rPr>
      </w:pPr>
    </w:p>
    <w:p w:rsidR="00F77A4C" w:rsidRPr="00171C3B" w:rsidRDefault="00F77A4C">
      <w:pPr>
        <w:ind w:left="144" w:right="72"/>
        <w:rPr>
          <w:sz w:val="22"/>
          <w:szCs w:val="22"/>
        </w:rPr>
      </w:pPr>
      <w:r w:rsidRPr="00171C3B">
        <w:rPr>
          <w:sz w:val="22"/>
          <w:szCs w:val="22"/>
        </w:rPr>
        <w:t>Une SARL peut opter pour le régime fiscal des sociétés de personnes lorsque les deux conditions suivantes sont réunies :</w:t>
      </w:r>
    </w:p>
    <w:p w:rsidR="00F77A4C" w:rsidRPr="00171C3B" w:rsidRDefault="00F77A4C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171C3B">
        <w:rPr>
          <w:sz w:val="22"/>
          <w:szCs w:val="22"/>
        </w:rPr>
        <w:t>La SARL doit exercer une activité industrielle, commerciale, artisanale ou agricole;</w:t>
      </w:r>
    </w:p>
    <w:p w:rsidR="00F77A4C" w:rsidRPr="00171C3B" w:rsidRDefault="00F77A4C">
      <w:pPr>
        <w:numPr>
          <w:ilvl w:val="0"/>
          <w:numId w:val="2"/>
        </w:numPr>
        <w:ind w:right="72"/>
        <w:rPr>
          <w:b/>
          <w:bCs/>
          <w:sz w:val="22"/>
          <w:szCs w:val="22"/>
        </w:rPr>
      </w:pPr>
      <w:r w:rsidRPr="00171C3B">
        <w:rPr>
          <w:sz w:val="22"/>
          <w:szCs w:val="22"/>
        </w:rPr>
        <w:t>La société doit être exclusivement formée entre parents en ligne directe ou entre frères et sœurs.</w:t>
      </w:r>
    </w:p>
    <w:p w:rsidR="00F77A4C" w:rsidRPr="00171C3B" w:rsidRDefault="00F77A4C">
      <w:pPr>
        <w:ind w:left="504"/>
        <w:rPr>
          <w:sz w:val="22"/>
          <w:szCs w:val="22"/>
        </w:rPr>
      </w:pPr>
      <w:r w:rsidRPr="00171C3B">
        <w:rPr>
          <w:sz w:val="22"/>
          <w:szCs w:val="22"/>
        </w:rPr>
        <w:t>Les conjoints et partenaires de PACS des personnes précitées peuvent également être associés.</w:t>
      </w:r>
    </w:p>
    <w:p w:rsidR="00F77A4C" w:rsidRPr="00171C3B" w:rsidRDefault="00F77A4C">
      <w:pPr>
        <w:rPr>
          <w:sz w:val="22"/>
          <w:szCs w:val="22"/>
        </w:rPr>
      </w:pPr>
    </w:p>
    <w:p w:rsidR="00F77A4C" w:rsidRPr="00171C3B" w:rsidRDefault="00F77A4C">
      <w:pPr>
        <w:ind w:left="144" w:right="1296"/>
        <w:rPr>
          <w:sz w:val="22"/>
          <w:szCs w:val="22"/>
        </w:rPr>
      </w:pPr>
      <w:r w:rsidRPr="00171C3B">
        <w:rPr>
          <w:sz w:val="22"/>
          <w:szCs w:val="22"/>
        </w:rPr>
        <w:t>En l’espèce, la SARL MASC exerce une activité artisanale (voire commerciale). Ses deux associés sont en outre parents en ligne directe (père et fils).</w:t>
      </w:r>
      <w:r w:rsidRPr="00171C3B">
        <w:rPr>
          <w:b/>
          <w:bCs/>
          <w:sz w:val="22"/>
          <w:szCs w:val="22"/>
        </w:rPr>
        <w:t xml:space="preserve"> </w:t>
      </w:r>
      <w:r w:rsidRPr="00171C3B">
        <w:rPr>
          <w:sz w:val="22"/>
          <w:szCs w:val="22"/>
        </w:rPr>
        <w:t>En conséquence, la société MASC peut opter pour une imposition de ses bénéfices à l’IR.</w:t>
      </w:r>
    </w:p>
    <w:p w:rsidR="00F77A4C" w:rsidRPr="00171C3B" w:rsidRDefault="00F77A4C">
      <w:pPr>
        <w:rPr>
          <w:sz w:val="22"/>
          <w:szCs w:val="22"/>
        </w:rPr>
      </w:pPr>
    </w:p>
    <w:p w:rsidR="00F77A4C" w:rsidRPr="00171C3B" w:rsidRDefault="00F77A4C" w:rsidP="00171C3B">
      <w:pPr>
        <w:numPr>
          <w:ilvl w:val="1"/>
          <w:numId w:val="19"/>
        </w:numPr>
        <w:ind w:left="1276" w:right="72" w:hanging="556"/>
        <w:rPr>
          <w:b/>
          <w:bCs/>
          <w:sz w:val="22"/>
          <w:szCs w:val="22"/>
        </w:rPr>
      </w:pPr>
      <w:r w:rsidRPr="00171C3B">
        <w:rPr>
          <w:b/>
          <w:bCs/>
          <w:sz w:val="22"/>
          <w:szCs w:val="22"/>
        </w:rPr>
        <w:t>Indiquer les redevables de l’imposition sur les bénéfices éventuellement réalisés en 2011 par la SARL MASC ?</w:t>
      </w:r>
    </w:p>
    <w:p w:rsidR="00F77A4C" w:rsidRPr="00171C3B" w:rsidRDefault="00F77A4C">
      <w:pPr>
        <w:rPr>
          <w:sz w:val="22"/>
          <w:szCs w:val="22"/>
        </w:rPr>
      </w:pPr>
    </w:p>
    <w:p w:rsidR="00F77A4C" w:rsidRDefault="00F77A4C">
      <w:pPr>
        <w:ind w:left="144" w:right="72"/>
        <w:jc w:val="both"/>
        <w:rPr>
          <w:sz w:val="22"/>
          <w:szCs w:val="22"/>
        </w:rPr>
      </w:pPr>
      <w:r w:rsidRPr="00171C3B">
        <w:rPr>
          <w:sz w:val="22"/>
          <w:szCs w:val="22"/>
        </w:rPr>
        <w:t>Les bénéfices de la société MASC, société bénéficiant du régime fiscal des sociétés de personnes</w:t>
      </w:r>
      <w:r w:rsidRPr="00171C3B">
        <w:rPr>
          <w:b/>
          <w:bCs/>
          <w:sz w:val="22"/>
          <w:szCs w:val="22"/>
        </w:rPr>
        <w:t xml:space="preserve">, </w:t>
      </w:r>
      <w:r w:rsidRPr="00171C3B">
        <w:rPr>
          <w:sz w:val="22"/>
          <w:szCs w:val="22"/>
        </w:rPr>
        <w:t>seront ainsi imposés entre les mains de Monsieur Alain BOULEY et de Monsieur Jérémy BOULEY.</w:t>
      </w:r>
    </w:p>
    <w:p w:rsidR="00171C3B" w:rsidRPr="00171C3B" w:rsidRDefault="00171C3B">
      <w:pPr>
        <w:ind w:left="144" w:right="72"/>
        <w:jc w:val="both"/>
        <w:rPr>
          <w:b/>
          <w:bCs/>
          <w:sz w:val="22"/>
          <w:szCs w:val="22"/>
        </w:rPr>
      </w:pPr>
    </w:p>
    <w:p w:rsidR="00F77A4C" w:rsidRDefault="00F77A4C" w:rsidP="00171C3B">
      <w:pPr>
        <w:numPr>
          <w:ilvl w:val="1"/>
          <w:numId w:val="19"/>
        </w:numPr>
        <w:ind w:left="1276" w:right="72" w:hanging="556"/>
        <w:rPr>
          <w:b/>
          <w:bCs/>
          <w:sz w:val="22"/>
          <w:szCs w:val="22"/>
        </w:rPr>
      </w:pPr>
      <w:r w:rsidRPr="00171C3B">
        <w:rPr>
          <w:b/>
          <w:bCs/>
          <w:sz w:val="22"/>
          <w:szCs w:val="22"/>
        </w:rPr>
        <w:t>Établir le tableau des plus et moins - val</w:t>
      </w:r>
      <w:r w:rsidR="00171C3B">
        <w:rPr>
          <w:b/>
          <w:bCs/>
          <w:sz w:val="22"/>
          <w:szCs w:val="22"/>
        </w:rPr>
        <w:t>ues professionnelles.</w:t>
      </w:r>
    </w:p>
    <w:p w:rsidR="00171C3B" w:rsidRPr="00171C3B" w:rsidRDefault="00171C3B" w:rsidP="00171C3B">
      <w:pPr>
        <w:ind w:right="72"/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6317"/>
        <w:gridCol w:w="950"/>
        <w:gridCol w:w="946"/>
      </w:tblGrid>
      <w:tr w:rsidR="00F77A4C" w:rsidRPr="00171C3B" w:rsidT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  <w:jc w:val="center"/>
        </w:trPr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171C3B" w:rsidRDefault="00F77A4C" w:rsidP="00171C3B">
            <w:pPr>
              <w:pStyle w:val="Sansinterligne"/>
              <w:jc w:val="center"/>
              <w:rPr>
                <w:b/>
                <w:lang w:val="en-US"/>
              </w:rPr>
            </w:pPr>
            <w:r w:rsidRPr="00171C3B">
              <w:rPr>
                <w:b/>
                <w:lang w:val="en-US"/>
              </w:rPr>
              <w:t>Éléments</w:t>
            </w:r>
          </w:p>
        </w:tc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after="360"/>
              <w:ind w:left="65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71C3B">
              <w:rPr>
                <w:b/>
                <w:bCs/>
                <w:sz w:val="22"/>
                <w:szCs w:val="22"/>
                <w:lang w:val="en-US"/>
              </w:rPr>
              <w:t>Calcul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ind w:left="6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71C3B">
              <w:rPr>
                <w:b/>
                <w:bCs/>
                <w:sz w:val="22"/>
                <w:szCs w:val="22"/>
                <w:lang w:val="en-US"/>
              </w:rPr>
              <w:t>Court</w:t>
            </w:r>
            <w:r w:rsidR="00171C3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71C3B">
              <w:rPr>
                <w:b/>
                <w:bCs/>
                <w:sz w:val="22"/>
                <w:szCs w:val="22"/>
                <w:lang w:val="en-US"/>
              </w:rPr>
              <w:t>terme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ind w:left="9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71C3B">
              <w:rPr>
                <w:b/>
                <w:bCs/>
                <w:sz w:val="22"/>
                <w:szCs w:val="22"/>
                <w:lang w:val="en-US"/>
              </w:rPr>
              <w:t>Long</w:t>
            </w:r>
            <w:r w:rsidR="00171C3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71C3B">
              <w:rPr>
                <w:b/>
                <w:bCs/>
                <w:sz w:val="22"/>
                <w:szCs w:val="22"/>
                <w:lang w:val="en-US"/>
              </w:rPr>
              <w:t>terme</w:t>
            </w:r>
          </w:p>
        </w:tc>
      </w:tr>
      <w:tr w:rsidR="00F77A4C" w:rsidRPr="00171C3B" w:rsidT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1"/>
          <w:jc w:val="center"/>
        </w:trPr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171C3B" w:rsidRDefault="00F77A4C" w:rsidP="00171C3B">
            <w:pPr>
              <w:pStyle w:val="Sansinterligne"/>
              <w:jc w:val="center"/>
              <w:rPr>
                <w:b/>
                <w:lang w:val="en-US"/>
              </w:rPr>
            </w:pPr>
            <w:r w:rsidRPr="00171C3B">
              <w:rPr>
                <w:b/>
                <w:lang w:val="en-US"/>
              </w:rPr>
              <w:t>Compresseur</w:t>
            </w:r>
          </w:p>
        </w:tc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171C3B" w:rsidRDefault="00F77A4C" w:rsidP="00171C3B">
            <w:pPr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La valeur nette comptable (VNC) de ce bien se monte à :</w:t>
            </w:r>
          </w:p>
          <w:p w:rsidR="00F77A4C" w:rsidRPr="00171C3B" w:rsidRDefault="00F77A4C" w:rsidP="00171C3B">
            <w:pPr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 xml:space="preserve">14 000 – 9680 = 4 320 € </w:t>
            </w:r>
          </w:p>
          <w:p w:rsidR="00F77A4C" w:rsidRPr="00171C3B" w:rsidRDefault="00F77A4C" w:rsidP="00171C3B">
            <w:pPr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La plus-value sur ce bien se monte à :</w:t>
            </w:r>
          </w:p>
          <w:p w:rsidR="00F77A4C" w:rsidRPr="00171C3B" w:rsidRDefault="00F77A4C" w:rsidP="00171C3B">
            <w:pPr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7820 – 4320 = 3 500 €</w:t>
            </w:r>
          </w:p>
          <w:p w:rsidR="00F77A4C" w:rsidRPr="00171C3B" w:rsidRDefault="00F77A4C" w:rsidP="00171C3B">
            <w:pPr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Cette plus-value résultant de la cession d’un bien détenu depuis plus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de deux ans</w:t>
            </w:r>
            <w:r w:rsidRPr="00171C3B">
              <w:rPr>
                <w:b/>
                <w:bCs/>
                <w:sz w:val="22"/>
                <w:szCs w:val="22"/>
              </w:rPr>
              <w:t xml:space="preserve">, </w:t>
            </w:r>
            <w:r w:rsidRPr="00171C3B">
              <w:rPr>
                <w:sz w:val="22"/>
                <w:szCs w:val="22"/>
              </w:rPr>
              <w:t>elle est qualifiée à court terme à hauteur des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amortissements pratiqués (9680 €), donc en totalité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171C3B" w:rsidRDefault="00F77A4C" w:rsidP="00171C3B">
            <w:pPr>
              <w:spacing w:after="1620"/>
              <w:ind w:left="60"/>
              <w:rPr>
                <w:b/>
                <w:bCs/>
                <w:sz w:val="22"/>
                <w:szCs w:val="22"/>
                <w:lang w:val="en-US"/>
              </w:rPr>
            </w:pPr>
            <w:r w:rsidRPr="00171C3B">
              <w:rPr>
                <w:b/>
                <w:bCs/>
                <w:sz w:val="22"/>
                <w:szCs w:val="22"/>
                <w:lang w:val="en-US"/>
              </w:rPr>
              <w:t>3 500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 w:rsidT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0"/>
          <w:jc w:val="center"/>
        </w:trPr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1C3B" w:rsidRPr="00171C3B" w:rsidRDefault="00F77A4C" w:rsidP="00171C3B">
            <w:pPr>
              <w:pStyle w:val="Sansinterligne"/>
              <w:jc w:val="center"/>
              <w:rPr>
                <w:b/>
                <w:lang w:val="en-US"/>
              </w:rPr>
            </w:pPr>
            <w:r w:rsidRPr="00171C3B">
              <w:rPr>
                <w:b/>
                <w:lang w:val="en-US"/>
              </w:rPr>
              <w:t>Logicie</w:t>
            </w:r>
            <w:r w:rsidR="00171C3B" w:rsidRPr="00171C3B">
              <w:rPr>
                <w:b/>
                <w:lang w:val="en-US"/>
              </w:rPr>
              <w:t>l</w:t>
            </w:r>
          </w:p>
        </w:tc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171C3B" w:rsidRDefault="00F77A4C" w:rsidP="00171C3B">
            <w:pPr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Le logiciel cédé a été intégralement amorti sur douze mois, par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faveur fiscale. A la date de cession, il est donc intégralement amorti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et sa VNC est nulle.</w:t>
            </w:r>
          </w:p>
          <w:p w:rsidR="00F77A4C" w:rsidRPr="00171C3B" w:rsidRDefault="00F77A4C" w:rsidP="00171C3B">
            <w:pPr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 xml:space="preserve">La plus-value réalisée se monte donc à 400-0 = 400 euros </w:t>
            </w:r>
          </w:p>
          <w:p w:rsidR="00F77A4C" w:rsidRPr="00171C3B" w:rsidRDefault="00F77A4C" w:rsidP="00171C3B">
            <w:pPr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S’agissant d’un bien détenu depuis moins de deux ans lors de la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cession</w:t>
            </w:r>
            <w:r w:rsidRPr="00171C3B">
              <w:rPr>
                <w:b/>
                <w:bCs/>
                <w:sz w:val="22"/>
                <w:szCs w:val="22"/>
              </w:rPr>
              <w:t xml:space="preserve">, </w:t>
            </w:r>
            <w:r w:rsidRPr="00171C3B">
              <w:rPr>
                <w:sz w:val="22"/>
                <w:szCs w:val="22"/>
              </w:rPr>
              <w:t>la plus-value est qualifiée à court terme.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171C3B" w:rsidRDefault="00F77A4C" w:rsidP="00171C3B">
            <w:pPr>
              <w:spacing w:after="1872"/>
              <w:ind w:left="60"/>
              <w:rPr>
                <w:b/>
                <w:bCs/>
                <w:sz w:val="22"/>
                <w:szCs w:val="22"/>
                <w:lang w:val="en-US"/>
              </w:rPr>
            </w:pPr>
            <w:r w:rsidRPr="00171C3B">
              <w:rPr>
                <w:b/>
                <w:bCs/>
                <w:sz w:val="22"/>
                <w:szCs w:val="22"/>
                <w:lang w:val="en-US"/>
              </w:rPr>
              <w:t>400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 w:rsidT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pStyle w:val="Sansinterligne"/>
              <w:jc w:val="center"/>
              <w:rPr>
                <w:b/>
                <w:lang w:val="en-US"/>
              </w:rPr>
            </w:pPr>
          </w:p>
        </w:tc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after="144"/>
              <w:ind w:left="65"/>
              <w:rPr>
                <w:b/>
                <w:bCs/>
                <w:sz w:val="22"/>
                <w:szCs w:val="22"/>
                <w:lang w:val="en-US"/>
              </w:rPr>
            </w:pPr>
            <w:r w:rsidRPr="00171C3B">
              <w:rPr>
                <w:b/>
                <w:bCs/>
                <w:sz w:val="22"/>
                <w:szCs w:val="22"/>
                <w:lang w:val="en-US"/>
              </w:rPr>
              <w:t>PVNCT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after="144"/>
              <w:ind w:left="60"/>
              <w:rPr>
                <w:b/>
                <w:bCs/>
                <w:sz w:val="22"/>
                <w:szCs w:val="22"/>
                <w:lang w:val="en-US"/>
              </w:rPr>
            </w:pPr>
            <w:r w:rsidRPr="00171C3B">
              <w:rPr>
                <w:b/>
                <w:bCs/>
                <w:sz w:val="22"/>
                <w:szCs w:val="22"/>
                <w:lang w:val="en-US"/>
              </w:rPr>
              <w:t>3 900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171C3B" w:rsidRDefault="00171C3B">
      <w:pPr>
        <w:ind w:left="1152" w:hanging="432"/>
        <w:rPr>
          <w:b/>
          <w:bCs/>
          <w:sz w:val="22"/>
          <w:szCs w:val="22"/>
        </w:rPr>
      </w:pPr>
    </w:p>
    <w:p w:rsidR="00F77A4C" w:rsidRPr="00171C3B" w:rsidRDefault="00171C3B" w:rsidP="00171C3B">
      <w:pPr>
        <w:numPr>
          <w:ilvl w:val="1"/>
          <w:numId w:val="19"/>
        </w:numPr>
        <w:ind w:left="1276" w:right="72" w:hanging="55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F77A4C" w:rsidRPr="00171C3B">
        <w:rPr>
          <w:b/>
          <w:bCs/>
          <w:sz w:val="22"/>
          <w:szCs w:val="22"/>
        </w:rPr>
        <w:lastRenderedPageBreak/>
        <w:t>Déterminer le résultat fiscal de l’exercice 2011 de la SARL MASC (Réponse sou</w:t>
      </w:r>
      <w:r>
        <w:rPr>
          <w:b/>
          <w:bCs/>
          <w:sz w:val="22"/>
          <w:szCs w:val="22"/>
        </w:rPr>
        <w:t>s forme de tableau).</w:t>
      </w:r>
    </w:p>
    <w:p w:rsidR="00F77A4C" w:rsidRPr="00171C3B" w:rsidRDefault="00F77A4C" w:rsidP="00171C3B">
      <w:pPr>
        <w:ind w:right="72"/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9"/>
        <w:gridCol w:w="1498"/>
        <w:gridCol w:w="1224"/>
      </w:tblGrid>
      <w:tr w:rsidR="00F77A4C" w:rsidRPr="00171C3B" w:rsidT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  <w:tblHeader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171C3B" w:rsidRDefault="00F77A4C" w:rsidP="00171C3B">
            <w:pPr>
              <w:pStyle w:val="Sansinterligne"/>
              <w:jc w:val="center"/>
              <w:rPr>
                <w:b/>
              </w:rPr>
            </w:pPr>
            <w:r w:rsidRPr="00171C3B">
              <w:rPr>
                <w:b/>
              </w:rPr>
              <w:t>Détermination du résultat fiscal 2011 de la société MASC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171C3B" w:rsidRDefault="00F77A4C" w:rsidP="00171C3B">
            <w:pPr>
              <w:pStyle w:val="Sansinterligne"/>
              <w:jc w:val="center"/>
              <w:rPr>
                <w:b/>
                <w:lang w:val="en-US"/>
              </w:rPr>
            </w:pPr>
            <w:r w:rsidRPr="00171C3B">
              <w:rPr>
                <w:b/>
                <w:lang w:val="en-US"/>
              </w:rPr>
              <w:t>Réint</w:t>
            </w:r>
            <w:r w:rsidR="00171C3B">
              <w:rPr>
                <w:b/>
                <w:lang w:val="en-US"/>
              </w:rPr>
              <w:t>.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171C3B" w:rsidRDefault="00F77A4C" w:rsidP="00171C3B">
            <w:pPr>
              <w:pStyle w:val="Sansinterligne"/>
              <w:jc w:val="center"/>
              <w:rPr>
                <w:b/>
                <w:lang w:val="en-US"/>
              </w:rPr>
            </w:pPr>
            <w:r w:rsidRPr="00171C3B">
              <w:rPr>
                <w:b/>
                <w:lang w:val="en-US"/>
              </w:rPr>
              <w:t>Déductions</w:t>
            </w: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1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 w:after="252"/>
              <w:ind w:left="61"/>
              <w:jc w:val="both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Résultat comptable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36 500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4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1/ Dividendes perçus</w:t>
            </w:r>
          </w:p>
          <w:p w:rsidR="00F77A4C" w:rsidRPr="00171C3B" w:rsidRDefault="00F77A4C" w:rsidP="00171C3B">
            <w:pPr>
              <w:ind w:left="61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Les dividendes perçus par une société du fait des titres inscrits à son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portefeuille-titres sont déduits de son résultat fiscal</w:t>
            </w:r>
            <w:r w:rsidRPr="00171C3B">
              <w:rPr>
                <w:b/>
                <w:bCs/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et déclarés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dans la catégorie des revenus mobiliers par les associés personnes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physiques, au prorata de leurs droits sociaux, pour bénéficier des avantages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offerts par le régime des revenus mobiliers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540" w:after="1260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2 110</w:t>
            </w: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2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2/ Gain de change latent</w:t>
            </w:r>
          </w:p>
          <w:p w:rsidR="00F77A4C" w:rsidRPr="00171C3B" w:rsidRDefault="00F77A4C" w:rsidP="00171C3B">
            <w:pPr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La valeur de la créance en livres sterling s’étant accrue entre le 15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novembre 2011 et la fin de l’exercice, un gain de change latent est constaté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à l’inventaire.</w:t>
            </w:r>
          </w:p>
          <w:p w:rsidR="00F77A4C" w:rsidRPr="00171C3B" w:rsidRDefault="00F77A4C" w:rsidP="00171C3B">
            <w:pPr>
              <w:ind w:left="61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Ce gain de change latent ne participe pas à la formation du résultat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comptable mais il participe à la formation du résultat fiscal : il doit donc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être réintégré fiscalement.</w:t>
            </w:r>
          </w:p>
          <w:p w:rsidR="00F77A4C" w:rsidRPr="00171C3B" w:rsidRDefault="00F77A4C" w:rsidP="00171C3B">
            <w:pPr>
              <w:spacing w:after="252"/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A réintégrer : 7 560 – 7 200 = 360 euros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540" w:after="1764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360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2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3/ Subvention d’équipement perçue</w:t>
            </w:r>
          </w:p>
          <w:p w:rsidR="00F77A4C" w:rsidRPr="00171C3B" w:rsidRDefault="00F77A4C" w:rsidP="00171C3B">
            <w:pPr>
              <w:ind w:left="61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Sur option, une subvention d’équipement versée par une personne publique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pour l’acquisition d’un bien amortissable peut être étalée sur la durée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d’amortissement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ce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bien.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Elle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est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rapportée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au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rythme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amortissements pratiqués, suivant le rapport entre les dotations aux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amortissements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pour</w:t>
            </w:r>
            <w:r w:rsidRPr="00171C3B">
              <w:rPr>
                <w:sz w:val="22"/>
                <w:szCs w:val="22"/>
              </w:rPr>
              <w:tab/>
              <w:t>le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bien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acquis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et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le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prix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de</w:t>
            </w:r>
            <w:r w:rsidRPr="00171C3B">
              <w:rPr>
                <w:sz w:val="22"/>
                <w:szCs w:val="22"/>
              </w:rPr>
              <w:tab/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revient</w:t>
            </w:r>
            <w:r w:rsidRPr="00171C3B">
              <w:rPr>
                <w:sz w:val="22"/>
                <w:szCs w:val="22"/>
              </w:rPr>
              <w:tab/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l’immobilisation. Le traitement comptable et le traitement fiscal sont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similaires, si les durées d’amortissement coïncident. Aucune réintégration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et aucune déduction ne sont donc ici nécessaires.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93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1C3B" w:rsidRDefault="00F77A4C" w:rsidP="00171C3B">
            <w:pPr>
              <w:spacing w:before="252"/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4/ Rémunérations, cotisations sociales et intérêts versés sur le compte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courant du gérant associé Alain BOULEY</w:t>
            </w:r>
          </w:p>
          <w:p w:rsidR="00F77A4C" w:rsidRPr="00171C3B" w:rsidRDefault="00F77A4C" w:rsidP="00171C3B">
            <w:pPr>
              <w:spacing w:before="252"/>
              <w:ind w:left="61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Les rémunérations versées à un associé de SARL IR ne sont pas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déductibles fiscalement.</w:t>
            </w:r>
          </w:p>
          <w:p w:rsidR="00F77A4C" w:rsidRPr="00171C3B" w:rsidRDefault="00F77A4C" w:rsidP="00171C3B">
            <w:pPr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Elles doivent être réintégrées en totalité.</w:t>
            </w:r>
          </w:p>
          <w:p w:rsidR="00F77A4C" w:rsidRPr="00171C3B" w:rsidRDefault="00F77A4C" w:rsidP="00171C3B">
            <w:pPr>
              <w:spacing w:before="252"/>
              <w:ind w:left="61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Les cotisations sociales versées à des régimes obligatoires, de base et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complémentaires, de protection sociale par une société soumise à l’IR pour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le compte d’un associé ne sont pas déductibles de son résultat.</w:t>
            </w:r>
          </w:p>
          <w:p w:rsidR="00F77A4C" w:rsidRPr="00171C3B" w:rsidRDefault="00F77A4C" w:rsidP="00171C3B">
            <w:pPr>
              <w:spacing w:after="288"/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Elles doivent également être réintégrées.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1080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49 000</w:t>
            </w:r>
          </w:p>
          <w:p w:rsidR="00F77A4C" w:rsidRPr="00171C3B" w:rsidRDefault="00F77A4C">
            <w:pPr>
              <w:spacing w:before="828" w:after="936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20 000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61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lastRenderedPageBreak/>
              <w:t>Les intérêts versés sur le compte courant débiteur d’un associé d’une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société sont déductibles par la société versante sous deux conditions :</w:t>
            </w:r>
          </w:p>
          <w:p w:rsidR="00F77A4C" w:rsidRPr="00171C3B" w:rsidRDefault="00F77A4C" w:rsidP="00171C3B">
            <w:pPr>
              <w:numPr>
                <w:ilvl w:val="0"/>
                <w:numId w:val="21"/>
              </w:numPr>
              <w:ind w:hanging="216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Son capital social doit être entièrement libéré ;</w:t>
            </w:r>
          </w:p>
          <w:p w:rsidR="00F77A4C" w:rsidRPr="00171C3B" w:rsidRDefault="00F77A4C" w:rsidP="00171C3B">
            <w:pPr>
              <w:numPr>
                <w:ilvl w:val="0"/>
                <w:numId w:val="21"/>
              </w:numPr>
              <w:ind w:hanging="216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Le taux de rémunération ne doit pas excéder le TMPV.</w:t>
            </w:r>
          </w:p>
          <w:p w:rsidR="00F77A4C" w:rsidRPr="00171C3B" w:rsidRDefault="00F77A4C" w:rsidP="00171C3B">
            <w:pPr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Les intérêts excédant le TMPV ne sont pas déductibles fiscalement.</w:t>
            </w:r>
          </w:p>
          <w:p w:rsidR="00F77A4C" w:rsidRPr="00171C3B" w:rsidRDefault="00F77A4C" w:rsidP="00171C3B">
            <w:pPr>
              <w:spacing w:before="252" w:after="252"/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À réintégrer ici : (7 %-4 %) x 20 000 = 600 €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1368" w:after="720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4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5/ Rémunérations et cotisations sociales de l’associé Jérémy BOULEY</w:t>
            </w:r>
          </w:p>
          <w:p w:rsidR="00F77A4C" w:rsidRPr="00171C3B" w:rsidRDefault="00F77A4C" w:rsidP="00171C3B">
            <w:pPr>
              <w:tabs>
                <w:tab w:val="left" w:pos="594"/>
                <w:tab w:val="left" w:pos="1305"/>
                <w:tab w:val="left" w:pos="2439"/>
                <w:tab w:val="left" w:pos="3429"/>
                <w:tab w:val="left" w:pos="3969"/>
                <w:tab w:val="left" w:pos="4392"/>
                <w:tab w:val="left" w:pos="5310"/>
                <w:tab w:val="left" w:pos="5652"/>
                <w:tab w:val="left" w:pos="6444"/>
              </w:tabs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règles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envisagées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ci-dessus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sont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les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mêmes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la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totalité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rémunérations (ou appointements) et des cotisations sociales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versées par la SARL MASC doit être réintégrée.</w:t>
            </w:r>
          </w:p>
          <w:p w:rsidR="00F77A4C" w:rsidRPr="00171C3B" w:rsidRDefault="00F77A4C" w:rsidP="00171C3B">
            <w:pPr>
              <w:spacing w:before="252" w:after="360"/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A réintégrer : 30 000 + 10 000 = 40 000 euros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1368" w:after="540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40 000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4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6/ Rémunération de Madame Jacqueline BOULEY</w:t>
            </w:r>
          </w:p>
          <w:p w:rsidR="00F77A4C" w:rsidRPr="00171C3B" w:rsidRDefault="00F77A4C" w:rsidP="00171C3B">
            <w:pPr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La rémunération du conjoint d’un associé d’une SARL IR est déductible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normalement lorsque la société a adhéré à un centre de gestion agréé, à condition que le travail du conjoint soit réel et la rémunération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non excessive.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8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7/ Amortissements de la Renault Scénic</w:t>
            </w:r>
          </w:p>
          <w:p w:rsidR="00F77A4C" w:rsidRPr="00171C3B" w:rsidRDefault="00F77A4C" w:rsidP="00171C3B">
            <w:pPr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Les amortissements sur un véhicule de tourisme émettant moins de 200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grammes de CO2 par kilomètre sont déductibles fiscalement pour 18</w:t>
            </w:r>
            <w:r w:rsidR="00171C3B">
              <w:rPr>
                <w:sz w:val="22"/>
                <w:szCs w:val="22"/>
              </w:rPr>
              <w:t> </w:t>
            </w:r>
            <w:r w:rsidRPr="00171C3B">
              <w:rPr>
                <w:sz w:val="22"/>
                <w:szCs w:val="22"/>
              </w:rPr>
              <w:t>300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euros au total.</w:t>
            </w:r>
          </w:p>
          <w:p w:rsidR="00F77A4C" w:rsidRPr="00171C3B" w:rsidRDefault="00F77A4C" w:rsidP="00171C3B">
            <w:pPr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Les amortissements excédentaires doivent être réintégrés.</w:t>
            </w:r>
          </w:p>
          <w:p w:rsidR="00F77A4C" w:rsidRPr="00171C3B" w:rsidRDefault="00F77A4C" w:rsidP="00171C3B">
            <w:pPr>
              <w:spacing w:before="252" w:after="108"/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À réintégrer ici : 10/12 x (22 500 – 18 300)/5 = 700 euros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1656" w:after="252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2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8/ Pénalités</w:t>
            </w:r>
          </w:p>
          <w:p w:rsidR="00F77A4C" w:rsidRPr="00171C3B" w:rsidRDefault="00F77A4C" w:rsidP="00171C3B">
            <w:pPr>
              <w:tabs>
                <w:tab w:val="left" w:pos="594"/>
                <w:tab w:val="left" w:pos="1566"/>
                <w:tab w:val="left" w:pos="1953"/>
                <w:tab w:val="left" w:pos="2565"/>
                <w:tab w:val="left" w:pos="3312"/>
                <w:tab w:val="left" w:pos="4293"/>
                <w:tab w:val="left" w:pos="5004"/>
                <w:tab w:val="left" w:pos="6021"/>
              </w:tabs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pénalités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toute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nature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d’origine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légale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(amendes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pénales,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sociales…) ne sont pas déductibles fiscalement.</w:t>
            </w:r>
          </w:p>
          <w:p w:rsidR="00F77A4C" w:rsidRPr="00171C3B" w:rsidRDefault="00F77A4C" w:rsidP="00171C3B">
            <w:pPr>
              <w:spacing w:after="324"/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L’amende pénale pour excès de vitesse doit être réintégrée.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1080" w:after="252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4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9/ Provision pour dépréciation des créances douteuses</w:t>
            </w:r>
          </w:p>
          <w:p w:rsidR="00F77A4C" w:rsidRPr="00171C3B" w:rsidRDefault="00F77A4C" w:rsidP="00171C3B">
            <w:pPr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Cette provision n’est pas déductible dans la mesure où la société ne subira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aucune perte du fait de ces créances : son assureur l’indemnisera si la perte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se réalise (pas de variation probable de l’actif net).</w:t>
            </w:r>
          </w:p>
          <w:p w:rsidR="00F77A4C" w:rsidRPr="00171C3B" w:rsidRDefault="00F77A4C" w:rsidP="00171C3B">
            <w:pPr>
              <w:spacing w:after="252"/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Cette provision doit donc être réintégrée en totalité.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828" w:after="720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4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10/ Paiement d’impôts</w:t>
            </w:r>
          </w:p>
          <w:p w:rsidR="00171C3B" w:rsidRDefault="00F77A4C" w:rsidP="00171C3B">
            <w:pPr>
              <w:ind w:left="65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La CVAE est déductible pour la détermination du résultat fiscal d’une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société IR réalisant des BIC. Aucun retraitement n’est donc nécessaire.</w:t>
            </w:r>
          </w:p>
          <w:p w:rsidR="00F77A4C" w:rsidRPr="00171C3B" w:rsidRDefault="00F77A4C" w:rsidP="00171C3B">
            <w:pPr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De même, la TVTS est un impôt déductible des résultats d’une société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 xml:space="preserve">soumise à l’impôt sur le revenu. Aucun retraitement n’est nécessaire.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1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/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lastRenderedPageBreak/>
              <w:t>Plus-value nette à court terme</w:t>
            </w:r>
          </w:p>
          <w:p w:rsidR="00F77A4C" w:rsidRPr="00171C3B" w:rsidRDefault="00F77A4C" w:rsidP="00171C3B">
            <w:pPr>
              <w:ind w:left="61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La plus-value nette à court terme d'un exercice est étalable sur option en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parts égales sur 3 exercices.</w:t>
            </w:r>
          </w:p>
          <w:p w:rsidR="00F77A4C" w:rsidRPr="00171C3B" w:rsidRDefault="00F77A4C" w:rsidP="00171C3B">
            <w:pPr>
              <w:spacing w:before="252"/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PVCT nette 2011 = 3500 + 400 = 3900 euros</w:t>
            </w:r>
          </w:p>
          <w:p w:rsidR="00F77A4C" w:rsidRPr="00171C3B" w:rsidRDefault="00F77A4C" w:rsidP="00171C3B">
            <w:pPr>
              <w:ind w:left="61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À déduire : 2/3 x 3900 = 2 600 euros</w:t>
            </w:r>
          </w:p>
          <w:p w:rsidR="00F77A4C" w:rsidRPr="00171C3B" w:rsidRDefault="00F77A4C" w:rsidP="00171C3B">
            <w:pPr>
              <w:ind w:left="61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PVCT nette 2009 et 2010 = 510 + 1200 = 1710</w:t>
            </w:r>
          </w:p>
          <w:p w:rsidR="00F77A4C" w:rsidRPr="00171C3B" w:rsidRDefault="00F77A4C" w:rsidP="00171C3B">
            <w:pPr>
              <w:spacing w:after="252"/>
              <w:ind w:left="61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À réintégrer : 1/3 x 1710 = 570 euros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1656" w:after="684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570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1656" w:after="684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2 600</w:t>
            </w:r>
          </w:p>
        </w:tc>
      </w:tr>
      <w:tr w:rsidR="00F77A4C" w:rsidRPr="00171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1"/>
          <w:jc w:val="center"/>
        </w:trPr>
        <w:tc>
          <w:tcPr>
            <w:tcW w:w="6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171C3B">
            <w:pPr>
              <w:spacing w:before="252" w:after="288"/>
              <w:ind w:left="61"/>
              <w:jc w:val="both"/>
              <w:rPr>
                <w:b/>
                <w:sz w:val="22"/>
                <w:szCs w:val="22"/>
                <w:lang w:val="en-US"/>
              </w:rPr>
            </w:pPr>
            <w:r w:rsidRPr="00171C3B">
              <w:rPr>
                <w:b/>
                <w:sz w:val="22"/>
                <w:szCs w:val="22"/>
                <w:lang w:val="en-US"/>
              </w:rPr>
              <w:t>TOTAUX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252" w:after="288"/>
              <w:jc w:val="center"/>
              <w:rPr>
                <w:b/>
                <w:sz w:val="22"/>
                <w:szCs w:val="22"/>
                <w:lang w:val="en-US"/>
              </w:rPr>
            </w:pPr>
            <w:r w:rsidRPr="00171C3B">
              <w:rPr>
                <w:b/>
                <w:sz w:val="22"/>
                <w:szCs w:val="22"/>
                <w:lang w:val="en-US"/>
              </w:rPr>
              <w:t>148 420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252" w:after="288"/>
              <w:jc w:val="center"/>
              <w:rPr>
                <w:b/>
                <w:sz w:val="22"/>
                <w:szCs w:val="22"/>
                <w:lang w:val="en-US"/>
              </w:rPr>
            </w:pPr>
            <w:r w:rsidRPr="00171C3B">
              <w:rPr>
                <w:b/>
                <w:sz w:val="22"/>
                <w:szCs w:val="22"/>
                <w:lang w:val="en-US"/>
              </w:rPr>
              <w:t>4 710</w:t>
            </w:r>
          </w:p>
        </w:tc>
      </w:tr>
    </w:tbl>
    <w:p w:rsidR="00171C3B" w:rsidRDefault="00171C3B" w:rsidP="00171C3B">
      <w:pPr>
        <w:pStyle w:val="Sansinterligne"/>
        <w:rPr>
          <w:lang w:val="en-US"/>
        </w:rPr>
      </w:pPr>
    </w:p>
    <w:p w:rsidR="00F77A4C" w:rsidRDefault="00F77A4C" w:rsidP="00171C3B">
      <w:pPr>
        <w:pStyle w:val="Sansinterligne"/>
        <w:rPr>
          <w:lang w:val="en-US"/>
        </w:rPr>
      </w:pPr>
      <w:r w:rsidRPr="00171C3B">
        <w:rPr>
          <w:lang w:val="en-US"/>
        </w:rPr>
        <w:t>Résultat fiscal = 148 420 – 4 710 = 143 710 €</w:t>
      </w:r>
    </w:p>
    <w:p w:rsidR="00171C3B" w:rsidRPr="00171C3B" w:rsidRDefault="00171C3B" w:rsidP="00171C3B">
      <w:pPr>
        <w:rPr>
          <w:sz w:val="22"/>
          <w:szCs w:val="22"/>
        </w:rPr>
      </w:pPr>
    </w:p>
    <w:p w:rsidR="00F77A4C" w:rsidRPr="00171C3B" w:rsidRDefault="00F77A4C" w:rsidP="00171C3B">
      <w:pPr>
        <w:numPr>
          <w:ilvl w:val="1"/>
          <w:numId w:val="19"/>
        </w:numPr>
        <w:ind w:left="1276" w:right="72" w:hanging="556"/>
        <w:rPr>
          <w:b/>
          <w:bCs/>
          <w:sz w:val="22"/>
          <w:szCs w:val="22"/>
        </w:rPr>
      </w:pPr>
      <w:r w:rsidRPr="00171C3B">
        <w:rPr>
          <w:b/>
          <w:bCs/>
          <w:sz w:val="22"/>
          <w:szCs w:val="22"/>
        </w:rPr>
        <w:t>Calculer la quote-part du résultat</w:t>
      </w:r>
      <w:r w:rsidR="00171C3B">
        <w:rPr>
          <w:b/>
          <w:bCs/>
          <w:sz w:val="22"/>
          <w:szCs w:val="22"/>
        </w:rPr>
        <w:t xml:space="preserve"> qui revient à M. Alain BOULEY.</w:t>
      </w:r>
    </w:p>
    <w:p w:rsidR="00F77A4C" w:rsidRPr="00171C3B" w:rsidRDefault="00F77A4C">
      <w:pPr>
        <w:rPr>
          <w:sz w:val="22"/>
          <w:szCs w:val="22"/>
        </w:rPr>
      </w:pPr>
    </w:p>
    <w:p w:rsidR="00F77A4C" w:rsidRPr="00171C3B" w:rsidRDefault="00F77A4C" w:rsidP="00171C3B">
      <w:pPr>
        <w:numPr>
          <w:ilvl w:val="0"/>
          <w:numId w:val="3"/>
        </w:numPr>
        <w:tabs>
          <w:tab w:val="clear" w:pos="936"/>
          <w:tab w:val="num" w:pos="993"/>
        </w:tabs>
        <w:ind w:left="993" w:hanging="417"/>
        <w:jc w:val="both"/>
        <w:rPr>
          <w:sz w:val="22"/>
          <w:szCs w:val="22"/>
        </w:rPr>
      </w:pPr>
      <w:r w:rsidRPr="00171C3B">
        <w:rPr>
          <w:sz w:val="22"/>
          <w:szCs w:val="22"/>
        </w:rPr>
        <w:t>Il convient en premier lieu de calculer le bénéfice fiscal à répartir</w:t>
      </w:r>
    </w:p>
    <w:p w:rsidR="00F77A4C" w:rsidRPr="00171C3B" w:rsidRDefault="00F77A4C" w:rsidP="00171C3B">
      <w:pPr>
        <w:jc w:val="both"/>
        <w:rPr>
          <w:sz w:val="22"/>
          <w:szCs w:val="22"/>
        </w:rPr>
      </w:pPr>
      <w:r w:rsidRPr="00171C3B">
        <w:rPr>
          <w:sz w:val="22"/>
          <w:szCs w:val="22"/>
        </w:rPr>
        <w:t>Ce dernier équivaut au bénéfice fiscal tel que calculé dans la question 3, minoré des sommes dont ont bénéficié personnellement les associés.</w:t>
      </w:r>
    </w:p>
    <w:p w:rsidR="00171C3B" w:rsidRDefault="00171C3B" w:rsidP="00171C3B">
      <w:pPr>
        <w:jc w:val="both"/>
        <w:rPr>
          <w:sz w:val="22"/>
          <w:szCs w:val="22"/>
        </w:rPr>
      </w:pPr>
    </w:p>
    <w:p w:rsidR="00F77A4C" w:rsidRDefault="00F77A4C" w:rsidP="00171C3B">
      <w:pPr>
        <w:jc w:val="both"/>
        <w:rPr>
          <w:sz w:val="22"/>
          <w:szCs w:val="22"/>
        </w:rPr>
      </w:pPr>
      <w:r w:rsidRPr="00171C3B">
        <w:rPr>
          <w:sz w:val="22"/>
          <w:szCs w:val="22"/>
        </w:rPr>
        <w:t>Bénéfice fiscal 2011 à répartir par la SARL MASC = 143 710 euros</w:t>
      </w:r>
    </w:p>
    <w:p w:rsidR="00171C3B" w:rsidRPr="00171C3B" w:rsidRDefault="00171C3B" w:rsidP="00171C3B">
      <w:pPr>
        <w:jc w:val="both"/>
        <w:rPr>
          <w:b/>
          <w:bCs/>
          <w:sz w:val="22"/>
          <w:szCs w:val="22"/>
        </w:rPr>
      </w:pPr>
    </w:p>
    <w:p w:rsidR="00F77A4C" w:rsidRPr="00171C3B" w:rsidRDefault="00F77A4C" w:rsidP="00171C3B">
      <w:pPr>
        <w:numPr>
          <w:ilvl w:val="0"/>
          <w:numId w:val="22"/>
        </w:numPr>
        <w:ind w:left="426" w:hanging="284"/>
        <w:jc w:val="both"/>
        <w:rPr>
          <w:b/>
          <w:bCs/>
          <w:sz w:val="22"/>
          <w:szCs w:val="22"/>
        </w:rPr>
      </w:pPr>
      <w:r w:rsidRPr="00171C3B">
        <w:rPr>
          <w:sz w:val="22"/>
          <w:szCs w:val="22"/>
        </w:rPr>
        <w:t>rémunérations des associés 49 000 + 30 000 = 79 000 euros</w:t>
      </w:r>
    </w:p>
    <w:p w:rsidR="00171C3B" w:rsidRPr="00171C3B" w:rsidRDefault="00171C3B" w:rsidP="00171C3B">
      <w:pPr>
        <w:ind w:left="426"/>
        <w:jc w:val="both"/>
        <w:rPr>
          <w:b/>
          <w:bCs/>
          <w:sz w:val="22"/>
          <w:szCs w:val="22"/>
        </w:rPr>
      </w:pPr>
    </w:p>
    <w:p w:rsidR="00171C3B" w:rsidRPr="00171C3B" w:rsidRDefault="00F77A4C" w:rsidP="00171C3B">
      <w:pPr>
        <w:numPr>
          <w:ilvl w:val="0"/>
          <w:numId w:val="22"/>
        </w:numPr>
        <w:ind w:left="426" w:hanging="284"/>
        <w:jc w:val="both"/>
        <w:rPr>
          <w:b/>
          <w:bCs/>
          <w:sz w:val="22"/>
          <w:szCs w:val="22"/>
          <w:lang w:val="en-US"/>
        </w:rPr>
      </w:pPr>
      <w:r w:rsidRPr="00171C3B">
        <w:rPr>
          <w:sz w:val="22"/>
          <w:szCs w:val="22"/>
          <w:lang w:val="en-US"/>
        </w:rPr>
        <w:t xml:space="preserve">cotisations sociales 20 000 + 10 000 = 30 000 euros </w:t>
      </w:r>
    </w:p>
    <w:p w:rsidR="00171C3B" w:rsidRPr="00171C3B" w:rsidRDefault="00171C3B" w:rsidP="00171C3B">
      <w:pPr>
        <w:jc w:val="both"/>
        <w:rPr>
          <w:b/>
          <w:bCs/>
          <w:sz w:val="22"/>
          <w:szCs w:val="22"/>
          <w:lang w:val="en-US"/>
        </w:rPr>
      </w:pPr>
    </w:p>
    <w:p w:rsidR="00F77A4C" w:rsidRPr="00171C3B" w:rsidRDefault="00F77A4C" w:rsidP="00171C3B">
      <w:pPr>
        <w:numPr>
          <w:ilvl w:val="0"/>
          <w:numId w:val="22"/>
        </w:numPr>
        <w:ind w:left="426" w:hanging="284"/>
        <w:jc w:val="both"/>
        <w:rPr>
          <w:b/>
          <w:bCs/>
          <w:sz w:val="22"/>
          <w:szCs w:val="22"/>
        </w:rPr>
      </w:pPr>
      <w:r w:rsidRPr="00171C3B">
        <w:rPr>
          <w:sz w:val="22"/>
          <w:szCs w:val="22"/>
        </w:rPr>
        <w:t>intérêts excédentaires du compte courant = 600 euros</w:t>
      </w:r>
    </w:p>
    <w:p w:rsidR="00171C3B" w:rsidRPr="00171C3B" w:rsidRDefault="00171C3B" w:rsidP="00171C3B">
      <w:pPr>
        <w:jc w:val="both"/>
        <w:rPr>
          <w:b/>
          <w:bCs/>
          <w:sz w:val="22"/>
          <w:szCs w:val="22"/>
        </w:rPr>
      </w:pPr>
    </w:p>
    <w:p w:rsidR="00F77A4C" w:rsidRPr="00171C3B" w:rsidRDefault="00F77A4C" w:rsidP="00171C3B">
      <w:pPr>
        <w:ind w:left="288"/>
        <w:jc w:val="both"/>
        <w:rPr>
          <w:sz w:val="22"/>
          <w:szCs w:val="22"/>
          <w:lang w:val="en-US"/>
        </w:rPr>
      </w:pPr>
      <w:r w:rsidRPr="00171C3B">
        <w:rPr>
          <w:sz w:val="22"/>
          <w:szCs w:val="22"/>
          <w:lang w:val="en-US"/>
        </w:rPr>
        <w:t>= 34 110 euros</w:t>
      </w:r>
    </w:p>
    <w:p w:rsidR="00F77A4C" w:rsidRPr="00171C3B" w:rsidRDefault="00F77A4C" w:rsidP="00171C3B">
      <w:pPr>
        <w:jc w:val="both"/>
        <w:rPr>
          <w:sz w:val="22"/>
          <w:szCs w:val="22"/>
          <w:lang w:val="en-US"/>
        </w:rPr>
      </w:pPr>
    </w:p>
    <w:p w:rsidR="00F77A4C" w:rsidRPr="00171C3B" w:rsidRDefault="00F77A4C" w:rsidP="00171C3B">
      <w:pPr>
        <w:numPr>
          <w:ilvl w:val="0"/>
          <w:numId w:val="3"/>
        </w:numPr>
        <w:tabs>
          <w:tab w:val="clear" w:pos="936"/>
          <w:tab w:val="num" w:pos="993"/>
        </w:tabs>
        <w:ind w:left="993" w:hanging="417"/>
        <w:jc w:val="both"/>
        <w:rPr>
          <w:sz w:val="22"/>
          <w:szCs w:val="22"/>
        </w:rPr>
      </w:pPr>
      <w:r w:rsidRPr="00171C3B">
        <w:rPr>
          <w:sz w:val="22"/>
          <w:szCs w:val="22"/>
        </w:rPr>
        <w:t>Le bénéfice à répartir ainsi calculé sera ensuite réparti entre les deux associés, en fonction de leur nombre de parts sociales. Quote-part du résultat de Monsieur Alain BOULEY : 60% x 34 110 = 20 466 euros</w:t>
      </w:r>
    </w:p>
    <w:p w:rsidR="00F77A4C" w:rsidRPr="00171C3B" w:rsidRDefault="00F77A4C" w:rsidP="00171C3B">
      <w:pPr>
        <w:jc w:val="both"/>
        <w:rPr>
          <w:sz w:val="22"/>
          <w:szCs w:val="22"/>
        </w:rPr>
      </w:pPr>
    </w:p>
    <w:p w:rsidR="00171C3B" w:rsidRDefault="00F77A4C" w:rsidP="00171C3B">
      <w:pPr>
        <w:numPr>
          <w:ilvl w:val="0"/>
          <w:numId w:val="8"/>
        </w:numPr>
        <w:tabs>
          <w:tab w:val="clear" w:pos="936"/>
          <w:tab w:val="num" w:pos="993"/>
        </w:tabs>
        <w:ind w:left="993" w:hanging="417"/>
        <w:jc w:val="both"/>
        <w:rPr>
          <w:sz w:val="22"/>
          <w:szCs w:val="22"/>
        </w:rPr>
      </w:pPr>
      <w:r w:rsidRPr="00171C3B">
        <w:rPr>
          <w:sz w:val="22"/>
          <w:szCs w:val="22"/>
        </w:rPr>
        <w:t>Il convient ensuite de rajouter à cette quote-part les sommes dont a bénéficié personnellement Monsieur Alain BOULEY pour obtenir sa quote-part dans le résult</w:t>
      </w:r>
      <w:r w:rsidR="00171C3B">
        <w:rPr>
          <w:sz w:val="22"/>
          <w:szCs w:val="22"/>
        </w:rPr>
        <w:t>at soit le montant du BIC brut.</w:t>
      </w:r>
    </w:p>
    <w:p w:rsidR="00171C3B" w:rsidRDefault="00171C3B" w:rsidP="00171C3B">
      <w:pPr>
        <w:jc w:val="both"/>
        <w:rPr>
          <w:sz w:val="22"/>
          <w:szCs w:val="22"/>
        </w:rPr>
      </w:pPr>
    </w:p>
    <w:p w:rsidR="00F77A4C" w:rsidRDefault="00171C3B" w:rsidP="00171C3B">
      <w:pPr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="00F77A4C" w:rsidRPr="00171C3B">
        <w:rPr>
          <w:sz w:val="22"/>
          <w:szCs w:val="22"/>
        </w:rPr>
        <w:t>uote-part dans le résultat : 20 466 €.</w:t>
      </w:r>
    </w:p>
    <w:p w:rsidR="00171C3B" w:rsidRPr="00171C3B" w:rsidRDefault="00171C3B" w:rsidP="00171C3B">
      <w:pPr>
        <w:jc w:val="both"/>
        <w:rPr>
          <w:sz w:val="22"/>
          <w:szCs w:val="22"/>
        </w:rPr>
      </w:pPr>
    </w:p>
    <w:p w:rsidR="00171C3B" w:rsidRDefault="00F77A4C" w:rsidP="00171C3B">
      <w:pPr>
        <w:ind w:left="288"/>
        <w:jc w:val="both"/>
        <w:rPr>
          <w:sz w:val="22"/>
          <w:szCs w:val="22"/>
        </w:rPr>
      </w:pPr>
      <w:r w:rsidRPr="00171C3B">
        <w:rPr>
          <w:sz w:val="22"/>
          <w:szCs w:val="22"/>
        </w:rPr>
        <w:t>+ rémunération perçue de la SARL MASC 49 000 euros</w:t>
      </w:r>
    </w:p>
    <w:p w:rsidR="00171C3B" w:rsidRPr="00171C3B" w:rsidRDefault="00171C3B" w:rsidP="00171C3B">
      <w:pPr>
        <w:ind w:left="288"/>
        <w:jc w:val="both"/>
        <w:rPr>
          <w:sz w:val="22"/>
          <w:szCs w:val="22"/>
        </w:rPr>
      </w:pPr>
    </w:p>
    <w:p w:rsidR="00171C3B" w:rsidRDefault="00F77A4C" w:rsidP="00171C3B">
      <w:pPr>
        <w:ind w:left="288"/>
        <w:jc w:val="both"/>
        <w:rPr>
          <w:sz w:val="22"/>
          <w:szCs w:val="22"/>
        </w:rPr>
      </w:pPr>
      <w:r w:rsidRPr="00171C3B">
        <w:rPr>
          <w:sz w:val="22"/>
          <w:szCs w:val="22"/>
        </w:rPr>
        <w:t xml:space="preserve">+ cotisations sociales 20 000 euros </w:t>
      </w:r>
    </w:p>
    <w:p w:rsidR="00171C3B" w:rsidRPr="00171C3B" w:rsidRDefault="00171C3B" w:rsidP="00171C3B">
      <w:pPr>
        <w:ind w:left="288"/>
        <w:jc w:val="both"/>
        <w:rPr>
          <w:sz w:val="22"/>
          <w:szCs w:val="22"/>
        </w:rPr>
      </w:pPr>
    </w:p>
    <w:p w:rsidR="00F77A4C" w:rsidRDefault="00F77A4C" w:rsidP="00171C3B">
      <w:pPr>
        <w:ind w:left="288"/>
        <w:jc w:val="both"/>
        <w:rPr>
          <w:sz w:val="22"/>
          <w:szCs w:val="22"/>
        </w:rPr>
      </w:pPr>
      <w:r w:rsidRPr="00171C3B">
        <w:rPr>
          <w:sz w:val="22"/>
          <w:szCs w:val="22"/>
        </w:rPr>
        <w:t>+ intérêts excédentaires sur compte courant d’associé 600 euros</w:t>
      </w:r>
    </w:p>
    <w:p w:rsidR="00171C3B" w:rsidRPr="00171C3B" w:rsidRDefault="00171C3B" w:rsidP="00171C3B">
      <w:pPr>
        <w:jc w:val="both"/>
        <w:rPr>
          <w:b/>
          <w:bCs/>
          <w:sz w:val="22"/>
          <w:szCs w:val="22"/>
        </w:rPr>
      </w:pPr>
    </w:p>
    <w:p w:rsidR="00F77A4C" w:rsidRPr="00171C3B" w:rsidRDefault="00F77A4C" w:rsidP="00171C3B">
      <w:pPr>
        <w:ind w:left="288"/>
        <w:jc w:val="both"/>
        <w:rPr>
          <w:sz w:val="22"/>
          <w:szCs w:val="22"/>
        </w:rPr>
      </w:pPr>
      <w:r w:rsidRPr="00171C3B">
        <w:rPr>
          <w:sz w:val="22"/>
          <w:szCs w:val="22"/>
        </w:rPr>
        <w:t>BIC brut = 90 066 euros</w:t>
      </w:r>
    </w:p>
    <w:p w:rsidR="00F77A4C" w:rsidRPr="00171C3B" w:rsidRDefault="00F77A4C">
      <w:pPr>
        <w:rPr>
          <w:sz w:val="22"/>
          <w:szCs w:val="22"/>
        </w:rPr>
      </w:pPr>
    </w:p>
    <w:p w:rsidR="00F77A4C" w:rsidRPr="00171C3B" w:rsidRDefault="00171C3B" w:rsidP="00171C3B">
      <w:pPr>
        <w:numPr>
          <w:ilvl w:val="1"/>
          <w:numId w:val="19"/>
        </w:numPr>
        <w:ind w:left="1276" w:right="72" w:hanging="55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F77A4C" w:rsidRPr="00171C3B">
        <w:rPr>
          <w:b/>
          <w:bCs/>
          <w:sz w:val="22"/>
          <w:szCs w:val="22"/>
        </w:rPr>
        <w:lastRenderedPageBreak/>
        <w:t>Déterminer le revenu net imposable dans les catégories bénéfices industriels et commerciaux, traitements et salaires et revenus de capitaux mobiliers du foyer fisca</w:t>
      </w:r>
      <w:r>
        <w:rPr>
          <w:b/>
          <w:bCs/>
          <w:sz w:val="22"/>
          <w:szCs w:val="22"/>
        </w:rPr>
        <w:t>l de M. Alain BOULEY.</w:t>
      </w:r>
    </w:p>
    <w:p w:rsidR="00F77A4C" w:rsidRPr="00171C3B" w:rsidRDefault="00F77A4C">
      <w:pPr>
        <w:rPr>
          <w:sz w:val="22"/>
          <w:szCs w:val="22"/>
        </w:rPr>
      </w:pPr>
    </w:p>
    <w:p w:rsidR="00171C3B" w:rsidRPr="00171C3B" w:rsidRDefault="00F77A4C" w:rsidP="00171C3B">
      <w:pPr>
        <w:pStyle w:val="Sansinterligne"/>
        <w:numPr>
          <w:ilvl w:val="0"/>
          <w:numId w:val="25"/>
        </w:numPr>
        <w:rPr>
          <w:b/>
        </w:rPr>
      </w:pPr>
      <w:r w:rsidRPr="00171C3B">
        <w:rPr>
          <w:b/>
        </w:rPr>
        <w:t>Catégorie des bénéf</w:t>
      </w:r>
      <w:r w:rsidR="00171C3B" w:rsidRPr="00171C3B">
        <w:rPr>
          <w:b/>
        </w:rPr>
        <w:t>ices industriels et commerciaux</w:t>
      </w:r>
    </w:p>
    <w:p w:rsidR="00171C3B" w:rsidRDefault="00171C3B" w:rsidP="00171C3B">
      <w:pPr>
        <w:pStyle w:val="Sansinterligne"/>
        <w:jc w:val="both"/>
      </w:pPr>
    </w:p>
    <w:p w:rsidR="00F77A4C" w:rsidRPr="00171C3B" w:rsidRDefault="00F77A4C" w:rsidP="00171C3B">
      <w:pPr>
        <w:pStyle w:val="Sansinterligne"/>
        <w:jc w:val="both"/>
      </w:pPr>
      <w:r w:rsidRPr="00171C3B">
        <w:t>BIC nets = 90 066 – cotisations sociales personnelles = 70 066 euros</w:t>
      </w:r>
    </w:p>
    <w:p w:rsidR="00F77A4C" w:rsidRPr="00171C3B" w:rsidRDefault="00F77A4C" w:rsidP="00171C3B">
      <w:pPr>
        <w:ind w:right="216"/>
        <w:jc w:val="both"/>
        <w:rPr>
          <w:b/>
          <w:bCs/>
          <w:sz w:val="22"/>
          <w:szCs w:val="22"/>
        </w:rPr>
      </w:pPr>
      <w:r w:rsidRPr="00171C3B">
        <w:rPr>
          <w:spacing w:val="-2"/>
          <w:sz w:val="22"/>
          <w:szCs w:val="22"/>
        </w:rPr>
        <w:t>BIC : la société ayant adhéré à un CGA, le résultat fiscal ne subit pas la majoration de 25 %. Le BIC net</w:t>
      </w:r>
      <w:r w:rsidRPr="00171C3B">
        <w:rPr>
          <w:sz w:val="22"/>
          <w:szCs w:val="22"/>
        </w:rPr>
        <w:t xml:space="preserve"> imposable est de 70 066 €.</w:t>
      </w:r>
    </w:p>
    <w:p w:rsidR="00F77A4C" w:rsidRPr="00171C3B" w:rsidRDefault="00F77A4C" w:rsidP="00171C3B">
      <w:pPr>
        <w:jc w:val="both"/>
        <w:rPr>
          <w:sz w:val="22"/>
          <w:szCs w:val="22"/>
        </w:rPr>
      </w:pPr>
    </w:p>
    <w:p w:rsidR="00F77A4C" w:rsidRPr="00171C3B" w:rsidRDefault="00F77A4C" w:rsidP="00171C3B">
      <w:pPr>
        <w:pStyle w:val="Sansinterligne"/>
        <w:numPr>
          <w:ilvl w:val="0"/>
          <w:numId w:val="25"/>
        </w:numPr>
        <w:jc w:val="both"/>
        <w:rPr>
          <w:b/>
        </w:rPr>
      </w:pPr>
      <w:r w:rsidRPr="00171C3B">
        <w:rPr>
          <w:b/>
        </w:rPr>
        <w:t>Catégorie des traitements et salaires</w:t>
      </w:r>
    </w:p>
    <w:p w:rsidR="00171C3B" w:rsidRPr="00171C3B" w:rsidRDefault="00171C3B" w:rsidP="00171C3B">
      <w:pPr>
        <w:jc w:val="both"/>
        <w:rPr>
          <w:sz w:val="22"/>
          <w:szCs w:val="22"/>
        </w:rPr>
      </w:pPr>
    </w:p>
    <w:p w:rsidR="00F77A4C" w:rsidRPr="00171C3B" w:rsidRDefault="00F77A4C" w:rsidP="00171C3B">
      <w:pPr>
        <w:pStyle w:val="Sansinterligne"/>
        <w:jc w:val="both"/>
      </w:pPr>
      <w:r w:rsidRPr="00171C3B">
        <w:t>Le salaire déductible du conjoint de l'associé M Alain BOULEY est imposable dans la catégorie des traitements et salaires.</w:t>
      </w:r>
    </w:p>
    <w:p w:rsidR="00F77A4C" w:rsidRPr="00171C3B" w:rsidRDefault="00F77A4C" w:rsidP="00171C3B">
      <w:pPr>
        <w:pStyle w:val="Sansinterligne"/>
        <w:jc w:val="both"/>
      </w:pPr>
      <w:r w:rsidRPr="00171C3B">
        <w:t>Salaire imposable : 22 000 €</w:t>
      </w:r>
    </w:p>
    <w:p w:rsidR="00171C3B" w:rsidRPr="00171C3B" w:rsidRDefault="00F77A4C" w:rsidP="00171C3B">
      <w:pPr>
        <w:pStyle w:val="Sansinterligne"/>
        <w:jc w:val="both"/>
      </w:pPr>
      <w:r w:rsidRPr="00171C3B">
        <w:t>Frais professionnels forfaitaires : 10 % x 22 000 = 2</w:t>
      </w:r>
      <w:r w:rsidR="00171C3B" w:rsidRPr="00171C3B">
        <w:t> </w:t>
      </w:r>
      <w:r w:rsidRPr="00171C3B">
        <w:t>200</w:t>
      </w:r>
    </w:p>
    <w:p w:rsidR="00F77A4C" w:rsidRPr="00171C3B" w:rsidRDefault="00F77A4C" w:rsidP="00171C3B">
      <w:pPr>
        <w:pStyle w:val="Sansinterligne"/>
        <w:jc w:val="both"/>
      </w:pPr>
      <w:r w:rsidRPr="00171C3B">
        <w:t>Revenu net imposable : 19 800 €.</w:t>
      </w:r>
    </w:p>
    <w:p w:rsidR="00F77A4C" w:rsidRPr="00171C3B" w:rsidRDefault="00F77A4C" w:rsidP="00171C3B">
      <w:pPr>
        <w:jc w:val="both"/>
        <w:rPr>
          <w:sz w:val="22"/>
          <w:szCs w:val="22"/>
          <w:lang w:val="en-US"/>
        </w:rPr>
      </w:pPr>
    </w:p>
    <w:p w:rsidR="00F77A4C" w:rsidRPr="00171C3B" w:rsidRDefault="00F77A4C" w:rsidP="00171C3B">
      <w:pPr>
        <w:pStyle w:val="Sansinterligne"/>
        <w:numPr>
          <w:ilvl w:val="0"/>
          <w:numId w:val="25"/>
        </w:numPr>
        <w:jc w:val="both"/>
        <w:rPr>
          <w:b/>
        </w:rPr>
      </w:pPr>
      <w:r w:rsidRPr="00171C3B">
        <w:rPr>
          <w:b/>
        </w:rPr>
        <w:t>Catégorie des revenus mobiliers</w:t>
      </w:r>
    </w:p>
    <w:p w:rsidR="00171C3B" w:rsidRDefault="00171C3B" w:rsidP="00171C3B">
      <w:pPr>
        <w:pStyle w:val="Sansinterligne"/>
        <w:jc w:val="both"/>
      </w:pPr>
    </w:p>
    <w:p w:rsidR="00F77A4C" w:rsidRPr="00171C3B" w:rsidRDefault="00F77A4C" w:rsidP="00171C3B">
      <w:pPr>
        <w:pStyle w:val="Sansinterligne"/>
        <w:jc w:val="both"/>
        <w:rPr>
          <w:u w:val="single"/>
        </w:rPr>
      </w:pPr>
      <w:r w:rsidRPr="00171C3B">
        <w:rPr>
          <w:u w:val="single"/>
        </w:rPr>
        <w:t>1/ Dividendes</w:t>
      </w:r>
    </w:p>
    <w:p w:rsidR="00171C3B" w:rsidRPr="00171C3B" w:rsidRDefault="00F77A4C" w:rsidP="00171C3B">
      <w:pPr>
        <w:pStyle w:val="Sansinterligne"/>
        <w:jc w:val="both"/>
      </w:pPr>
      <w:r w:rsidRPr="00171C3B">
        <w:t>Quote-part de dividendes de l'associé : 2 110 x 60 % = 1</w:t>
      </w:r>
      <w:r w:rsidR="00171C3B" w:rsidRPr="00171C3B">
        <w:t> </w:t>
      </w:r>
      <w:r w:rsidRPr="00171C3B">
        <w:t>266</w:t>
      </w:r>
    </w:p>
    <w:p w:rsidR="00F77A4C" w:rsidRPr="00171C3B" w:rsidRDefault="00F77A4C" w:rsidP="00171C3B">
      <w:pPr>
        <w:pStyle w:val="Sansinterligne"/>
        <w:jc w:val="both"/>
      </w:pPr>
      <w:r w:rsidRPr="00171C3B">
        <w:t>Abattement de 40 % = 506</w:t>
      </w:r>
    </w:p>
    <w:p w:rsidR="00F77A4C" w:rsidRPr="00171C3B" w:rsidRDefault="00F77A4C" w:rsidP="00171C3B">
      <w:pPr>
        <w:pStyle w:val="Sansinterligne"/>
        <w:jc w:val="both"/>
      </w:pPr>
      <w:r w:rsidRPr="00171C3B">
        <w:t xml:space="preserve">Abattement général : 3 050 € </w:t>
      </w:r>
    </w:p>
    <w:p w:rsidR="00F77A4C" w:rsidRPr="00171C3B" w:rsidRDefault="00F77A4C" w:rsidP="00171C3B">
      <w:pPr>
        <w:pStyle w:val="Sansinterligne"/>
        <w:jc w:val="both"/>
      </w:pPr>
      <w:r w:rsidRPr="00171C3B">
        <w:t xml:space="preserve">Revenu net imposable : 0 </w:t>
      </w:r>
      <w:r w:rsidR="00171C3B" w:rsidRPr="00171C3B">
        <w:t>€</w:t>
      </w:r>
    </w:p>
    <w:p w:rsidR="00F77A4C" w:rsidRPr="00171C3B" w:rsidRDefault="00F77A4C" w:rsidP="00171C3B">
      <w:pPr>
        <w:pStyle w:val="Sansinterligne"/>
        <w:jc w:val="both"/>
      </w:pPr>
    </w:p>
    <w:p w:rsidR="00F77A4C" w:rsidRPr="00171C3B" w:rsidRDefault="00F77A4C" w:rsidP="00171C3B">
      <w:pPr>
        <w:pStyle w:val="Sansinterligne"/>
        <w:jc w:val="both"/>
        <w:rPr>
          <w:u w:val="single"/>
        </w:rPr>
      </w:pPr>
      <w:r w:rsidRPr="00171C3B">
        <w:rPr>
          <w:u w:val="single"/>
        </w:rPr>
        <w:t>2/ Intérêts déductibles du compte courant de l'associé</w:t>
      </w:r>
    </w:p>
    <w:p w:rsidR="00F77A4C" w:rsidRPr="00171C3B" w:rsidRDefault="00F77A4C" w:rsidP="00171C3B">
      <w:pPr>
        <w:pStyle w:val="Sansinterligne"/>
        <w:jc w:val="both"/>
      </w:pPr>
      <w:r w:rsidRPr="00171C3B">
        <w:t>Les intérêts déductibles du compte courant de l'associé sont imposables dans la catégorie des revenus mobiliers, sans abattement.</w:t>
      </w:r>
    </w:p>
    <w:p w:rsidR="00F77A4C" w:rsidRPr="00171C3B" w:rsidRDefault="00F77A4C" w:rsidP="00171C3B">
      <w:pPr>
        <w:pStyle w:val="Sansinterligne"/>
        <w:jc w:val="both"/>
      </w:pPr>
      <w:r w:rsidRPr="00171C3B">
        <w:t>Le montant imposable s'élève à 20 000 x 4% = 800 €.</w:t>
      </w:r>
    </w:p>
    <w:p w:rsidR="00F77A4C" w:rsidRPr="00171C3B" w:rsidRDefault="00F77A4C" w:rsidP="00171C3B">
      <w:pPr>
        <w:pStyle w:val="Sansinterligne"/>
        <w:jc w:val="both"/>
      </w:pPr>
    </w:p>
    <w:p w:rsidR="00F77A4C" w:rsidRPr="00171C3B" w:rsidRDefault="00F77A4C" w:rsidP="00171C3B">
      <w:pPr>
        <w:jc w:val="both"/>
        <w:rPr>
          <w:sz w:val="22"/>
          <w:szCs w:val="22"/>
        </w:rPr>
      </w:pPr>
    </w:p>
    <w:p w:rsidR="00F77A4C" w:rsidRPr="00171C3B" w:rsidRDefault="00F77A4C" w:rsidP="00171C3B">
      <w:pPr>
        <w:numPr>
          <w:ilvl w:val="1"/>
          <w:numId w:val="19"/>
        </w:numPr>
        <w:ind w:left="1276" w:right="72" w:hanging="556"/>
        <w:jc w:val="both"/>
        <w:rPr>
          <w:b/>
          <w:bCs/>
          <w:sz w:val="22"/>
          <w:szCs w:val="22"/>
        </w:rPr>
      </w:pPr>
      <w:r w:rsidRPr="00171C3B">
        <w:rPr>
          <w:b/>
          <w:bCs/>
          <w:sz w:val="22"/>
          <w:szCs w:val="22"/>
        </w:rPr>
        <w:t>Anaïs, la fille aînée de Monsieur Alain BOULEY, vient de créer une entreprise individuelle afin de commercialiser des vêtements lors de réunions à domicile. Elle a entendu parler de l’option pour le régime des auto-entrepreneurs et vous demande de lui préciser :</w:t>
      </w:r>
    </w:p>
    <w:p w:rsidR="00F77A4C" w:rsidRPr="00171C3B" w:rsidRDefault="00F77A4C" w:rsidP="00171C3B">
      <w:pPr>
        <w:numPr>
          <w:ilvl w:val="0"/>
          <w:numId w:val="25"/>
        </w:numPr>
        <w:ind w:firstLine="556"/>
        <w:jc w:val="both"/>
        <w:rPr>
          <w:b/>
          <w:bCs/>
          <w:sz w:val="22"/>
          <w:szCs w:val="22"/>
        </w:rPr>
      </w:pPr>
      <w:r w:rsidRPr="00171C3B">
        <w:rPr>
          <w:b/>
          <w:bCs/>
          <w:sz w:val="22"/>
          <w:szCs w:val="22"/>
        </w:rPr>
        <w:t>qui peut bénéficier de ce régime ;</w:t>
      </w:r>
    </w:p>
    <w:p w:rsidR="00F77A4C" w:rsidRPr="00171C3B" w:rsidRDefault="00F77A4C" w:rsidP="00171C3B">
      <w:pPr>
        <w:numPr>
          <w:ilvl w:val="0"/>
          <w:numId w:val="25"/>
        </w:numPr>
        <w:ind w:firstLine="556"/>
        <w:jc w:val="both"/>
        <w:rPr>
          <w:b/>
          <w:bCs/>
          <w:sz w:val="22"/>
          <w:szCs w:val="22"/>
        </w:rPr>
      </w:pPr>
      <w:r w:rsidRPr="00171C3B">
        <w:rPr>
          <w:b/>
          <w:bCs/>
          <w:sz w:val="22"/>
          <w:szCs w:val="22"/>
        </w:rPr>
        <w:t>de quels avantages peuvent bénéficier les auto-entrepreneurs ?</w:t>
      </w:r>
    </w:p>
    <w:p w:rsidR="00F77A4C" w:rsidRPr="00171C3B" w:rsidRDefault="00F77A4C" w:rsidP="00171C3B">
      <w:pPr>
        <w:jc w:val="both"/>
        <w:rPr>
          <w:sz w:val="22"/>
          <w:szCs w:val="22"/>
        </w:rPr>
      </w:pPr>
    </w:p>
    <w:p w:rsidR="00F77A4C" w:rsidRPr="00171C3B" w:rsidRDefault="00F77A4C" w:rsidP="00171C3B">
      <w:pPr>
        <w:spacing w:line="252" w:lineRule="exact"/>
        <w:jc w:val="both"/>
        <w:rPr>
          <w:b/>
          <w:bCs/>
          <w:sz w:val="22"/>
          <w:szCs w:val="22"/>
        </w:rPr>
      </w:pPr>
      <w:r w:rsidRPr="00171C3B">
        <w:rPr>
          <w:sz w:val="22"/>
          <w:szCs w:val="22"/>
        </w:rPr>
        <w:t>L'activité ne génère pas un chiffre d’affaire annuel hors taxe excédant les limites du régime micro-BIC</w:t>
      </w:r>
      <w:r w:rsidR="00171C3B">
        <w:rPr>
          <w:sz w:val="22"/>
          <w:szCs w:val="22"/>
        </w:rPr>
        <w:t>.</w:t>
      </w:r>
    </w:p>
    <w:p w:rsidR="00F77A4C" w:rsidRPr="00171C3B" w:rsidRDefault="00F77A4C" w:rsidP="00171C3B">
      <w:pPr>
        <w:jc w:val="both"/>
        <w:rPr>
          <w:sz w:val="22"/>
          <w:szCs w:val="22"/>
        </w:rPr>
      </w:pPr>
    </w:p>
    <w:p w:rsidR="00F77A4C" w:rsidRPr="00171C3B" w:rsidRDefault="00F77A4C" w:rsidP="00171C3B">
      <w:pPr>
        <w:jc w:val="both"/>
        <w:rPr>
          <w:sz w:val="22"/>
          <w:szCs w:val="22"/>
        </w:rPr>
      </w:pPr>
      <w:r w:rsidRPr="00171C3B">
        <w:rPr>
          <w:sz w:val="22"/>
          <w:szCs w:val="22"/>
        </w:rPr>
        <w:t>Les auto-entrepreneurs peuvent bénéficier des avantages fiscaux suivants par rapport au régime des micro-entreprises :</w:t>
      </w:r>
    </w:p>
    <w:p w:rsidR="00F77A4C" w:rsidRPr="00171C3B" w:rsidRDefault="00F77A4C" w:rsidP="00171C3B">
      <w:pPr>
        <w:numPr>
          <w:ilvl w:val="0"/>
          <w:numId w:val="26"/>
        </w:numPr>
        <w:ind w:left="709" w:hanging="425"/>
        <w:jc w:val="both"/>
        <w:rPr>
          <w:sz w:val="22"/>
          <w:szCs w:val="22"/>
        </w:rPr>
      </w:pPr>
      <w:r w:rsidRPr="00171C3B">
        <w:rPr>
          <w:sz w:val="22"/>
          <w:szCs w:val="22"/>
        </w:rPr>
        <w:t>Ils ont la possibilité d’opter pour un prélèvement fiscal forfaitaire, libératoire de l’imposition sur le revenu des bénéfices, à condition de respecter certains seuils de revenus.</w:t>
      </w:r>
    </w:p>
    <w:p w:rsidR="00F77A4C" w:rsidRPr="00171C3B" w:rsidRDefault="00F77A4C" w:rsidP="00171C3B">
      <w:pPr>
        <w:numPr>
          <w:ilvl w:val="0"/>
          <w:numId w:val="26"/>
        </w:numPr>
        <w:spacing w:line="252" w:lineRule="exact"/>
        <w:ind w:left="709" w:hanging="425"/>
        <w:jc w:val="both"/>
        <w:rPr>
          <w:sz w:val="22"/>
          <w:szCs w:val="22"/>
        </w:rPr>
      </w:pPr>
      <w:r w:rsidRPr="00171C3B">
        <w:rPr>
          <w:sz w:val="22"/>
          <w:szCs w:val="22"/>
        </w:rPr>
        <w:t>Ils peuvent, par le biais du prélèvement fiscal libératoire, éventuellement réaliser des économies d’impôt sur le revenu.</w:t>
      </w:r>
    </w:p>
    <w:p w:rsidR="00F77A4C" w:rsidRPr="00171C3B" w:rsidRDefault="00F77A4C" w:rsidP="00171C3B">
      <w:pPr>
        <w:numPr>
          <w:ilvl w:val="0"/>
          <w:numId w:val="26"/>
        </w:numPr>
        <w:ind w:left="709" w:hanging="425"/>
        <w:jc w:val="both"/>
        <w:rPr>
          <w:sz w:val="22"/>
          <w:szCs w:val="22"/>
        </w:rPr>
      </w:pPr>
      <w:r w:rsidRPr="00171C3B">
        <w:rPr>
          <w:sz w:val="22"/>
          <w:szCs w:val="22"/>
        </w:rPr>
        <w:t>L’option pour le prélèvement fiscal libératoire est en outre source de simplification dans le traitement fiscal des bénéfices de l’auto-entreprise.</w:t>
      </w:r>
    </w:p>
    <w:p w:rsidR="00F77A4C" w:rsidRPr="00171C3B" w:rsidRDefault="00F77A4C" w:rsidP="00171C3B">
      <w:pPr>
        <w:numPr>
          <w:ilvl w:val="0"/>
          <w:numId w:val="26"/>
        </w:numPr>
        <w:ind w:left="709" w:hanging="425"/>
        <w:jc w:val="both"/>
        <w:rPr>
          <w:sz w:val="22"/>
          <w:szCs w:val="22"/>
        </w:rPr>
      </w:pPr>
      <w:r w:rsidRPr="00171C3B">
        <w:rPr>
          <w:sz w:val="22"/>
          <w:szCs w:val="22"/>
        </w:rPr>
        <w:t xml:space="preserve">La gestion administrative de l’entreprise est simplifiée par l’exercice de l’option pour le </w:t>
      </w:r>
      <w:r w:rsidRPr="00171C3B">
        <w:rPr>
          <w:spacing w:val="-2"/>
          <w:sz w:val="22"/>
          <w:szCs w:val="22"/>
        </w:rPr>
        <w:t>prélèvement car son versement est regroupé avec un prélèvement social forfaitaire, libératoire des</w:t>
      </w:r>
      <w:r w:rsidRPr="00171C3B">
        <w:rPr>
          <w:sz w:val="22"/>
          <w:szCs w:val="22"/>
        </w:rPr>
        <w:t xml:space="preserve"> cotisations sociales, adressé au même interlocuteur (l’URSSAF).</w:t>
      </w:r>
    </w:p>
    <w:p w:rsidR="00F77A4C" w:rsidRPr="00171C3B" w:rsidRDefault="00F77A4C" w:rsidP="00171C3B">
      <w:pPr>
        <w:ind w:left="288"/>
        <w:jc w:val="both"/>
        <w:rPr>
          <w:b/>
          <w:bCs/>
          <w:sz w:val="22"/>
          <w:szCs w:val="22"/>
        </w:rPr>
      </w:pPr>
    </w:p>
    <w:p w:rsidR="00F77A4C" w:rsidRPr="00171C3B" w:rsidRDefault="00F77A4C" w:rsidP="00171C3B">
      <w:pPr>
        <w:ind w:left="288"/>
        <w:jc w:val="both"/>
        <w:sectPr w:rsidR="00F77A4C" w:rsidRPr="00171C3B" w:rsidSect="00F77A4C">
          <w:headerReference w:type="default" r:id="rId8"/>
          <w:footerReference w:type="default" r:id="rId9"/>
          <w:pgSz w:w="11904" w:h="16843"/>
          <w:pgMar w:top="839" w:right="1021" w:bottom="833" w:left="1021" w:header="720" w:footer="720" w:gutter="0"/>
          <w:cols w:space="720"/>
          <w:noEndnote/>
        </w:sectPr>
      </w:pPr>
    </w:p>
    <w:p w:rsidR="00F77A4C" w:rsidRPr="00171C3B" w:rsidRDefault="00F77A4C" w:rsidP="00171C3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171C3B">
        <w:rPr>
          <w:b/>
        </w:rPr>
        <w:lastRenderedPageBreak/>
        <w:t>DOSSIER 2 - TAXE SUR LA VALEUR AJOUTÉE (21 points)</w:t>
      </w:r>
    </w:p>
    <w:p w:rsidR="00F77A4C" w:rsidRDefault="00F77A4C" w:rsidP="00F77A4C">
      <w:pPr>
        <w:pStyle w:val="Sansinterligne"/>
      </w:pPr>
    </w:p>
    <w:p w:rsidR="00F77A4C" w:rsidRPr="00F77A4C" w:rsidRDefault="00F77A4C" w:rsidP="00F77A4C">
      <w:pPr>
        <w:pStyle w:val="Sansinterligne"/>
        <w:numPr>
          <w:ilvl w:val="1"/>
          <w:numId w:val="29"/>
        </w:numPr>
        <w:ind w:left="1276" w:hanging="567"/>
        <w:jc w:val="both"/>
        <w:rPr>
          <w:b/>
          <w:sz w:val="22"/>
          <w:szCs w:val="22"/>
        </w:rPr>
      </w:pPr>
      <w:r w:rsidRPr="00F77A4C">
        <w:rPr>
          <w:b/>
          <w:sz w:val="22"/>
          <w:szCs w:val="22"/>
        </w:rPr>
        <w:t>Justifier l’assujettissement de la SARL Millefleurs au régime du réel normal.</w:t>
      </w:r>
    </w:p>
    <w:p w:rsidR="00F77A4C" w:rsidRPr="00F77A4C" w:rsidRDefault="00F77A4C" w:rsidP="00F77A4C">
      <w:pPr>
        <w:pStyle w:val="Sansinterligne"/>
        <w:jc w:val="both"/>
        <w:rPr>
          <w:sz w:val="22"/>
          <w:szCs w:val="22"/>
        </w:rPr>
      </w:pPr>
    </w:p>
    <w:p w:rsidR="00F77A4C" w:rsidRPr="00F77A4C" w:rsidRDefault="00F77A4C" w:rsidP="00F77A4C">
      <w:pPr>
        <w:pStyle w:val="Sansinterligne"/>
        <w:jc w:val="both"/>
        <w:rPr>
          <w:sz w:val="22"/>
          <w:szCs w:val="22"/>
        </w:rPr>
      </w:pPr>
      <w:r w:rsidRPr="00F77A4C">
        <w:rPr>
          <w:sz w:val="22"/>
          <w:szCs w:val="22"/>
        </w:rPr>
        <w:t>La SARL Millefleurs relève du régime normal dans la mesure où son CA HT annuel total est supérieur au seuil correspondant au régime réel normal pour les ventes de marchandises</w:t>
      </w:r>
      <w:r w:rsidRPr="00F77A4C">
        <w:rPr>
          <w:b/>
          <w:bCs/>
          <w:sz w:val="22"/>
          <w:szCs w:val="22"/>
        </w:rPr>
        <w:t xml:space="preserve">, </w:t>
      </w:r>
      <w:r w:rsidRPr="00F77A4C">
        <w:rPr>
          <w:sz w:val="22"/>
          <w:szCs w:val="22"/>
        </w:rPr>
        <w:t>ce seuil s'élevant à 777 000 €.</w:t>
      </w:r>
    </w:p>
    <w:p w:rsidR="00F77A4C" w:rsidRPr="00F77A4C" w:rsidRDefault="00F77A4C" w:rsidP="00F77A4C">
      <w:pPr>
        <w:pStyle w:val="Sansinterligne"/>
        <w:jc w:val="both"/>
        <w:rPr>
          <w:sz w:val="22"/>
          <w:szCs w:val="22"/>
        </w:rPr>
      </w:pPr>
    </w:p>
    <w:p w:rsidR="00F77A4C" w:rsidRPr="00F77A4C" w:rsidRDefault="00F77A4C" w:rsidP="00F77A4C">
      <w:pPr>
        <w:pStyle w:val="Sansinterligne"/>
        <w:numPr>
          <w:ilvl w:val="1"/>
          <w:numId w:val="29"/>
        </w:numPr>
        <w:ind w:left="1276" w:hanging="567"/>
        <w:jc w:val="both"/>
        <w:rPr>
          <w:b/>
          <w:sz w:val="22"/>
          <w:szCs w:val="22"/>
        </w:rPr>
      </w:pPr>
      <w:r w:rsidRPr="00F77A4C">
        <w:rPr>
          <w:b/>
          <w:sz w:val="22"/>
          <w:szCs w:val="22"/>
        </w:rPr>
        <w:t>Indiquer le coefficient de taxation de l’entreprise Millefleurs.</w:t>
      </w:r>
    </w:p>
    <w:p w:rsidR="00F77A4C" w:rsidRPr="00F77A4C" w:rsidRDefault="00F77A4C" w:rsidP="00F77A4C">
      <w:pPr>
        <w:pStyle w:val="Sansinterligne"/>
        <w:jc w:val="both"/>
        <w:rPr>
          <w:sz w:val="22"/>
          <w:szCs w:val="22"/>
        </w:rPr>
      </w:pPr>
    </w:p>
    <w:p w:rsidR="00171C3B" w:rsidRPr="00F77A4C" w:rsidRDefault="00F77A4C" w:rsidP="00F77A4C">
      <w:pPr>
        <w:pStyle w:val="Sansinterligne"/>
        <w:jc w:val="both"/>
        <w:rPr>
          <w:sz w:val="22"/>
          <w:szCs w:val="22"/>
        </w:rPr>
      </w:pPr>
      <w:r w:rsidRPr="00F77A4C">
        <w:rPr>
          <w:spacing w:val="-2"/>
          <w:sz w:val="22"/>
          <w:szCs w:val="22"/>
        </w:rPr>
        <w:t>Son coefficient de taxation en tant que redevable partiel est de 1 – 0,15 = 85 %</w:t>
      </w:r>
      <w:r w:rsidRPr="00F77A4C">
        <w:rPr>
          <w:sz w:val="22"/>
          <w:szCs w:val="22"/>
        </w:rPr>
        <w:t>.</w:t>
      </w:r>
    </w:p>
    <w:p w:rsidR="00F77A4C" w:rsidRPr="00F77A4C" w:rsidRDefault="00F77A4C" w:rsidP="00F77A4C">
      <w:pPr>
        <w:pStyle w:val="Sansinterligne"/>
        <w:jc w:val="both"/>
        <w:rPr>
          <w:b/>
          <w:bCs/>
          <w:spacing w:val="-2"/>
          <w:sz w:val="22"/>
          <w:szCs w:val="22"/>
        </w:rPr>
      </w:pPr>
    </w:p>
    <w:p w:rsidR="00F77A4C" w:rsidRPr="00F77A4C" w:rsidRDefault="00F77A4C" w:rsidP="00F77A4C">
      <w:pPr>
        <w:pStyle w:val="Sansinterligne"/>
        <w:numPr>
          <w:ilvl w:val="1"/>
          <w:numId w:val="29"/>
        </w:numPr>
        <w:ind w:left="1276" w:hanging="567"/>
        <w:jc w:val="both"/>
        <w:rPr>
          <w:b/>
          <w:sz w:val="22"/>
          <w:szCs w:val="22"/>
        </w:rPr>
      </w:pPr>
      <w:r w:rsidRPr="00F77A4C">
        <w:rPr>
          <w:b/>
          <w:sz w:val="22"/>
          <w:szCs w:val="22"/>
        </w:rPr>
        <w:t>Calculer la TVA du</w:t>
      </w:r>
      <w:r w:rsidR="00171C3B" w:rsidRPr="00F77A4C">
        <w:rPr>
          <w:b/>
          <w:sz w:val="22"/>
          <w:szCs w:val="22"/>
        </w:rPr>
        <w:t>e au titre du mois de juin 2011.</w:t>
      </w:r>
    </w:p>
    <w:p w:rsidR="00F77A4C" w:rsidRPr="00171C3B" w:rsidRDefault="00F77A4C" w:rsidP="00F77A4C">
      <w:pPr>
        <w:pStyle w:val="Sansinterligne"/>
        <w:rPr>
          <w:b/>
          <w:bCs/>
          <w:sz w:val="22"/>
          <w:szCs w:val="22"/>
        </w:rPr>
      </w:pPr>
    </w:p>
    <w:tbl>
      <w:tblPr>
        <w:tblW w:w="9911" w:type="dxa"/>
        <w:jc w:val="center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7285"/>
        <w:gridCol w:w="997"/>
        <w:gridCol w:w="1137"/>
        <w:gridCol w:w="13"/>
      </w:tblGrid>
      <w:tr w:rsidR="00F77A4C" w:rsidRPr="00F77A4C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tblHeader/>
          <w:jc w:val="center"/>
        </w:trPr>
        <w:tc>
          <w:tcPr>
            <w:tcW w:w="7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4C" w:rsidRPr="00F77A4C" w:rsidRDefault="00F77A4C" w:rsidP="00F77A4C">
            <w:pPr>
              <w:pStyle w:val="Sansinterligne"/>
              <w:jc w:val="center"/>
              <w:rPr>
                <w:b/>
              </w:rPr>
            </w:pPr>
            <w:r w:rsidRPr="00F77A4C">
              <w:rPr>
                <w:b/>
                <w:spacing w:val="10"/>
                <w:lang w:val="en-US"/>
              </w:rPr>
              <w:t>Analyse</w:t>
            </w:r>
          </w:p>
        </w:tc>
        <w:tc>
          <w:tcPr>
            <w:tcW w:w="214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F77A4C" w:rsidRDefault="00F77A4C" w:rsidP="00F77A4C">
            <w:pPr>
              <w:pStyle w:val="Sansinterligne"/>
              <w:jc w:val="center"/>
              <w:rPr>
                <w:b/>
                <w:lang w:val="en-US"/>
              </w:rPr>
            </w:pPr>
            <w:r w:rsidRPr="00F77A4C">
              <w:rPr>
                <w:b/>
                <w:lang w:val="en-US"/>
              </w:rPr>
              <w:t>TVA en €</w:t>
            </w:r>
          </w:p>
        </w:tc>
      </w:tr>
      <w:tr w:rsidR="00F77A4C" w:rsidRPr="00F77A4C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tblHeader/>
          <w:jc w:val="center"/>
        </w:trPr>
        <w:tc>
          <w:tcPr>
            <w:tcW w:w="7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4C" w:rsidRPr="00F77A4C" w:rsidRDefault="00F77A4C" w:rsidP="00F77A4C">
            <w:pPr>
              <w:pStyle w:val="Sansinterligne"/>
              <w:jc w:val="center"/>
              <w:rPr>
                <w:b/>
                <w:spacing w:val="10"/>
                <w:lang w:val="en-US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F77A4C" w:rsidRDefault="00F77A4C" w:rsidP="00F77A4C">
            <w:pPr>
              <w:pStyle w:val="Sansinterligne"/>
              <w:jc w:val="center"/>
              <w:rPr>
                <w:b/>
                <w:spacing w:val="8"/>
                <w:sz w:val="18"/>
                <w:szCs w:val="18"/>
                <w:lang w:val="en-US"/>
              </w:rPr>
            </w:pPr>
            <w:r w:rsidRPr="00F77A4C">
              <w:rPr>
                <w:b/>
                <w:spacing w:val="8"/>
                <w:sz w:val="18"/>
                <w:szCs w:val="18"/>
                <w:lang w:val="en-US"/>
              </w:rPr>
              <w:t>collectée</w:t>
            </w: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A4C" w:rsidRPr="00F77A4C" w:rsidRDefault="00F77A4C" w:rsidP="00F77A4C">
            <w:pPr>
              <w:pStyle w:val="Sansinterligne"/>
              <w:jc w:val="center"/>
              <w:rPr>
                <w:b/>
                <w:spacing w:val="8"/>
                <w:sz w:val="18"/>
                <w:szCs w:val="18"/>
                <w:lang w:val="en-US"/>
              </w:rPr>
            </w:pPr>
            <w:r w:rsidRPr="00F77A4C">
              <w:rPr>
                <w:b/>
                <w:spacing w:val="8"/>
                <w:sz w:val="18"/>
                <w:szCs w:val="18"/>
                <w:lang w:val="en-US"/>
              </w:rPr>
              <w:t>déductible</w:t>
            </w: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4"/>
          <w:jc w:val="center"/>
        </w:trPr>
        <w:tc>
          <w:tcPr>
            <w:tcW w:w="4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756" w:after="756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1C3B" w:rsidRDefault="00F77A4C" w:rsidP="00F77A4C">
            <w:pPr>
              <w:spacing w:before="252"/>
              <w:ind w:left="112" w:right="228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Achat d’un bien utilisé pour les deux activités, l'une étant soumise à la TVA et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l'autre étant exonérée et n'ouvrant pas droit à déduction.</w:t>
            </w:r>
          </w:p>
          <w:p w:rsidR="00F77A4C" w:rsidRPr="00171C3B" w:rsidRDefault="00F77A4C" w:rsidP="00F77A4C">
            <w:pPr>
              <w:spacing w:before="252"/>
              <w:ind w:left="112" w:right="228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coefficient de déduction = CAS*CTA*CAD</w:t>
            </w:r>
          </w:p>
          <w:p w:rsidR="00F77A4C" w:rsidRPr="00171C3B" w:rsidRDefault="00F77A4C" w:rsidP="00F77A4C">
            <w:pPr>
              <w:ind w:left="112" w:right="228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 xml:space="preserve">= 1 *0.85 * 1 =0.85 </w:t>
            </w:r>
          </w:p>
          <w:p w:rsidR="00F77A4C" w:rsidRPr="00171C3B" w:rsidRDefault="00F77A4C" w:rsidP="00F77A4C">
            <w:pPr>
              <w:spacing w:after="252"/>
              <w:ind w:left="112" w:right="228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 xml:space="preserve">2 000*0.85 *0.196 = 333.20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612" w:after="900"/>
              <w:ind w:right="69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333,20</w:t>
            </w: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31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936" w:after="936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252"/>
              <w:ind w:left="112" w:right="228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Vente de biens à :</w:t>
            </w:r>
          </w:p>
          <w:p w:rsidR="00F77A4C" w:rsidRPr="00171C3B" w:rsidRDefault="00F77A4C" w:rsidP="00F77A4C">
            <w:pPr>
              <w:tabs>
                <w:tab w:val="left" w:pos="801"/>
              </w:tabs>
              <w:ind w:left="686" w:right="228" w:hanging="284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-</w:t>
            </w:r>
            <w:r w:rsidRPr="00171C3B">
              <w:rPr>
                <w:sz w:val="22"/>
                <w:szCs w:val="22"/>
              </w:rPr>
              <w:tab/>
              <w:t>une entreprise française : soumise à TVA. TVA collectée = 55 000 x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0,196 = 10</w:t>
            </w:r>
            <w:r w:rsidR="00171C3B">
              <w:rPr>
                <w:sz w:val="22"/>
                <w:szCs w:val="22"/>
              </w:rPr>
              <w:t> </w:t>
            </w:r>
            <w:r w:rsidRPr="00171C3B">
              <w:rPr>
                <w:sz w:val="22"/>
                <w:szCs w:val="22"/>
              </w:rPr>
              <w:t>780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b/>
                <w:bCs/>
                <w:sz w:val="22"/>
                <w:szCs w:val="22"/>
              </w:rPr>
              <w:t>;</w:t>
            </w:r>
          </w:p>
          <w:p w:rsidR="00F77A4C" w:rsidRPr="00171C3B" w:rsidRDefault="00F77A4C" w:rsidP="00F77A4C">
            <w:pPr>
              <w:tabs>
                <w:tab w:val="left" w:pos="801"/>
              </w:tabs>
              <w:ind w:left="686" w:right="228" w:hanging="284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b/>
                <w:bCs/>
                <w:sz w:val="22"/>
                <w:szCs w:val="22"/>
              </w:rPr>
              <w:t>-</w:t>
            </w:r>
            <w:r w:rsidRPr="00171C3B">
              <w:rPr>
                <w:b/>
                <w:bCs/>
                <w:sz w:val="22"/>
                <w:szCs w:val="22"/>
              </w:rPr>
              <w:tab/>
            </w:r>
            <w:r w:rsidRPr="00171C3B">
              <w:rPr>
                <w:sz w:val="22"/>
                <w:szCs w:val="22"/>
              </w:rPr>
              <w:t>une entreprise européenne : livraison intracommunautaire: exonération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de TVA</w:t>
            </w:r>
            <w:r w:rsidR="00171C3B">
              <w:rPr>
                <w:sz w:val="22"/>
                <w:szCs w:val="22"/>
              </w:rPr>
              <w:t xml:space="preserve"> </w:t>
            </w:r>
            <w:r w:rsidRPr="00171C3B">
              <w:rPr>
                <w:b/>
                <w:bCs/>
                <w:sz w:val="22"/>
                <w:szCs w:val="22"/>
              </w:rPr>
              <w:t>;</w:t>
            </w:r>
          </w:p>
          <w:p w:rsidR="00F77A4C" w:rsidRPr="00171C3B" w:rsidRDefault="00F77A4C" w:rsidP="00F77A4C">
            <w:pPr>
              <w:tabs>
                <w:tab w:val="left" w:pos="855"/>
              </w:tabs>
              <w:spacing w:after="252"/>
              <w:ind w:left="686" w:right="228" w:hanging="284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b/>
                <w:bCs/>
                <w:sz w:val="22"/>
                <w:szCs w:val="22"/>
              </w:rPr>
              <w:t>-</w:t>
            </w:r>
            <w:r w:rsidRPr="00171C3B">
              <w:rPr>
                <w:b/>
                <w:bCs/>
                <w:sz w:val="22"/>
                <w:szCs w:val="22"/>
              </w:rPr>
              <w:tab/>
            </w:r>
            <w:r w:rsidRPr="00171C3B">
              <w:rPr>
                <w:sz w:val="22"/>
                <w:szCs w:val="22"/>
              </w:rPr>
              <w:t>une entreprise suisse : exportation: exonération de TVA</w:t>
            </w:r>
            <w:r w:rsidRPr="00171C3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360" w:after="1476"/>
              <w:ind w:right="59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10 780</w:t>
            </w: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5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396" w:after="396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288"/>
              <w:ind w:left="112" w:right="228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Achats de biens : exigibilité au moment de la livraison donc TVA déductible</w:t>
            </w:r>
            <w:r w:rsidRPr="00171C3B">
              <w:rPr>
                <w:b/>
                <w:bCs/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300*0.196 = 58.8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252" w:after="540"/>
              <w:ind w:right="69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58,80</w:t>
            </w: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2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324" w:after="324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324" w:after="324"/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Prestation de service donc exigibilité à l’encaissement en juillet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9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756" w:after="792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252"/>
              <w:ind w:left="112" w:right="228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Livraison à soi même d’un service, pour les besoins de l’entreprise</w:t>
            </w:r>
          </w:p>
          <w:p w:rsidR="00F77A4C" w:rsidRPr="00171C3B" w:rsidRDefault="00F77A4C" w:rsidP="00F77A4C">
            <w:pPr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Exonération de TVA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1070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396" w:after="396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252"/>
              <w:ind w:left="112" w:right="228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Cadeaux 8 € HT unitaire Valeur unitaire TTC &lt; 65 € donc TVA déductible 1200 *0.196 = 235,2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252" w:after="540"/>
              <w:ind w:right="64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235,20</w:t>
            </w: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1070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396" w:after="396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252"/>
              <w:ind w:left="112" w:right="228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Importation de biens. Exigibilité lors du dédouanement donc TVA déductible.</w:t>
            </w:r>
          </w:p>
          <w:p w:rsidR="00F77A4C" w:rsidRPr="00171C3B" w:rsidRDefault="00171C3B" w:rsidP="00F77A4C">
            <w:pPr>
              <w:spacing w:after="252"/>
              <w:ind w:left="112" w:right="228"/>
              <w:jc w:val="both"/>
              <w:rPr>
                <w:sz w:val="22"/>
                <w:szCs w:val="22"/>
                <w:lang w:val="en-US"/>
              </w:rPr>
            </w:pPr>
            <w:r w:rsidRPr="00C07977">
              <w:rPr>
                <w:b/>
                <w:bCs/>
                <w:sz w:val="22"/>
                <w:szCs w:val="22"/>
              </w:rPr>
              <w:t xml:space="preserve"> </w:t>
            </w:r>
            <w:r w:rsidR="00F77A4C" w:rsidRPr="00C07977">
              <w:rPr>
                <w:b/>
                <w:bCs/>
                <w:sz w:val="22"/>
                <w:szCs w:val="22"/>
              </w:rPr>
              <w:t xml:space="preserve"> </w:t>
            </w:r>
            <w:r w:rsidR="00F77A4C" w:rsidRPr="00171C3B">
              <w:rPr>
                <w:sz w:val="22"/>
                <w:szCs w:val="22"/>
                <w:lang w:val="en-US"/>
              </w:rPr>
              <w:t>900* 0.196 = 176,4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252" w:after="540"/>
              <w:ind w:right="64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176,4</w:t>
            </w: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1384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720" w:after="720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216"/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 xml:space="preserve">Il s'agit d'une prestation de service intracommunautaire. </w:t>
            </w:r>
            <w:r w:rsidR="00171C3B">
              <w:rPr>
                <w:b/>
                <w:bCs/>
                <w:sz w:val="22"/>
                <w:szCs w:val="22"/>
              </w:rPr>
              <w:t xml:space="preserve"> </w:t>
            </w:r>
          </w:p>
          <w:p w:rsidR="00F77A4C" w:rsidRPr="00171C3B" w:rsidRDefault="00F77A4C" w:rsidP="00F77A4C">
            <w:pPr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L'immeuble est situé en France donc la prestation est imposable en France.</w:t>
            </w:r>
          </w:p>
          <w:p w:rsidR="00F77A4C" w:rsidRPr="00171C3B" w:rsidRDefault="00F77A4C" w:rsidP="00F77A4C">
            <w:pPr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 xml:space="preserve">La TVA est exigible et déductible pour la SARL Millefleurs </w:t>
            </w:r>
            <w:r w:rsidR="00171C3B">
              <w:rPr>
                <w:b/>
                <w:bCs/>
                <w:sz w:val="22"/>
                <w:szCs w:val="22"/>
              </w:rPr>
              <w:t xml:space="preserve"> </w:t>
            </w:r>
          </w:p>
          <w:p w:rsidR="00F77A4C" w:rsidRPr="00171C3B" w:rsidRDefault="00F77A4C" w:rsidP="00F77A4C">
            <w:pPr>
              <w:spacing w:after="216"/>
              <w:ind w:left="112" w:right="228"/>
              <w:jc w:val="both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150*0.196 = 29,4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576" w:after="864"/>
              <w:ind w:right="59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29,4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576" w:after="864"/>
              <w:ind w:right="64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29,4</w:t>
            </w: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485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108" w:after="108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108" w:after="108"/>
              <w:ind w:left="51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 xml:space="preserve">Achat véhicule de tourisme donc TVA non déductible </w:t>
            </w:r>
            <w:r w:rsidR="00171C3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1320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504" w:after="504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F77A4C" w:rsidRDefault="00F77A4C" w:rsidP="00F77A4C">
            <w:pPr>
              <w:spacing w:before="252"/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Prestation de service acquise pour immeuble donné en location nu à usage</w:t>
            </w:r>
            <w:r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professionnel, activité exonérée n'ouvrant pas droit à déduction donc TVA non</w:t>
            </w:r>
            <w:r>
              <w:rPr>
                <w:sz w:val="22"/>
                <w:szCs w:val="22"/>
              </w:rPr>
              <w:t xml:space="preserve"> </w:t>
            </w:r>
            <w:r w:rsidRPr="00F77A4C">
              <w:rPr>
                <w:sz w:val="22"/>
                <w:szCs w:val="22"/>
              </w:rPr>
              <w:t xml:space="preserve">déductible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F77A4C" w:rsidRDefault="00F77A4C" w:rsidP="00F77A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F77A4C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1507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612" w:after="612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F77A4C" w:rsidRDefault="00F77A4C" w:rsidP="00F77A4C">
            <w:pPr>
              <w:spacing w:before="360"/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Prestation engagée sur un véhicule ouvrant droit à déduction donc TVA</w:t>
            </w:r>
            <w:r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déductible lors du paiement</w:t>
            </w:r>
            <w:r>
              <w:rPr>
                <w:sz w:val="22"/>
                <w:szCs w:val="22"/>
              </w:rPr>
              <w:t xml:space="preserve"> : </w:t>
            </w:r>
            <w:r w:rsidRPr="00F77A4C">
              <w:rPr>
                <w:sz w:val="22"/>
                <w:szCs w:val="22"/>
              </w:rPr>
              <w:t xml:space="preserve">235*0.196/1,196 = 38,51 </w:t>
            </w:r>
            <w:r w:rsidR="00171C3B" w:rsidRPr="00F77A4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F77A4C" w:rsidRDefault="00F77A4C" w:rsidP="00F77A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468" w:after="756"/>
              <w:ind w:right="64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38,51</w:t>
            </w: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1575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648" w:after="648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252"/>
              <w:ind w:left="112" w:right="228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Prestation engagée sur un véhicule ouvrant droit à déduction donc TVA</w:t>
            </w:r>
            <w:r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>déductible.</w:t>
            </w:r>
          </w:p>
          <w:p w:rsidR="00F77A4C" w:rsidRPr="00F77A4C" w:rsidRDefault="00F77A4C" w:rsidP="00F77A4C">
            <w:pPr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Exigibilité : à la facturation car option pour les débits du prestataire donc TVA</w:t>
            </w:r>
            <w:r>
              <w:rPr>
                <w:sz w:val="22"/>
                <w:szCs w:val="22"/>
              </w:rPr>
              <w:t xml:space="preserve"> </w:t>
            </w:r>
            <w:r w:rsidRPr="00F77A4C">
              <w:rPr>
                <w:sz w:val="22"/>
                <w:szCs w:val="22"/>
              </w:rPr>
              <w:t xml:space="preserve">déductible en mai.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F77A4C" w:rsidRDefault="00F77A4C" w:rsidP="00F77A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F77A4C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1267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504" w:after="504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360"/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Achat d’un service auprès d’un assujetti non redevable de la TVA</w:t>
            </w:r>
            <w:r>
              <w:rPr>
                <w:sz w:val="22"/>
                <w:szCs w:val="22"/>
              </w:rPr>
              <w:t xml:space="preserve"> </w:t>
            </w:r>
            <w:r w:rsidRPr="00171C3B">
              <w:rPr>
                <w:sz w:val="22"/>
                <w:szCs w:val="22"/>
              </w:rPr>
              <w:t xml:space="preserve">Opération non soumise à la TVA. </w:t>
            </w:r>
            <w:r w:rsidR="00171C3B" w:rsidRPr="00171C3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1065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396" w:after="396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F77A4C" w:rsidRDefault="00F77A4C" w:rsidP="00F77A4C">
            <w:pPr>
              <w:spacing w:before="252"/>
              <w:ind w:left="112" w:right="228"/>
              <w:jc w:val="both"/>
              <w:rPr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Dépenses d’hébergement : TVA non déductible sur l’hébergement des salariés</w:t>
            </w:r>
            <w:r w:rsidRPr="00F77A4C">
              <w:rPr>
                <w:b/>
                <w:bCs/>
                <w:sz w:val="22"/>
                <w:szCs w:val="22"/>
              </w:rPr>
              <w:t xml:space="preserve">. </w:t>
            </w:r>
            <w:r w:rsidRPr="00F77A4C">
              <w:rPr>
                <w:sz w:val="22"/>
                <w:szCs w:val="22"/>
              </w:rPr>
              <w:t>(coefficient d'admission = 0)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F77A4C" w:rsidRDefault="00F77A4C" w:rsidP="00F77A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F77A4C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1071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396" w:after="396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C07977" w:rsidRDefault="00F77A4C" w:rsidP="00F77A4C">
            <w:pPr>
              <w:spacing w:before="252"/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Encaissement du loyer pour une activité exonérée donc pas de TVA collectée.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C07977" w:rsidRDefault="00F77A4C" w:rsidP="00F77A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C07977" w:rsidRDefault="00F77A4C">
            <w:pPr>
              <w:rPr>
                <w:sz w:val="22"/>
                <w:szCs w:val="22"/>
              </w:rPr>
            </w:pP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893"/>
          <w:jc w:val="center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288" w:after="324"/>
              <w:jc w:val="center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7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spacing w:before="288" w:after="324"/>
              <w:ind w:left="112" w:right="228"/>
              <w:jc w:val="both"/>
              <w:rPr>
                <w:b/>
                <w:bCs/>
                <w:sz w:val="22"/>
                <w:szCs w:val="22"/>
              </w:rPr>
            </w:pPr>
            <w:r w:rsidRPr="00171C3B">
              <w:rPr>
                <w:sz w:val="22"/>
                <w:szCs w:val="22"/>
              </w:rPr>
              <w:t>TVA déductible sur achats de fleurs.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 w:rsidP="00F77A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288" w:after="288"/>
              <w:ind w:right="244"/>
              <w:jc w:val="right"/>
              <w:rPr>
                <w:spacing w:val="14"/>
                <w:sz w:val="22"/>
                <w:szCs w:val="22"/>
                <w:lang w:val="en-US"/>
              </w:rPr>
            </w:pPr>
            <w:r w:rsidRPr="00171C3B">
              <w:rPr>
                <w:spacing w:val="14"/>
                <w:sz w:val="22"/>
                <w:szCs w:val="22"/>
                <w:lang w:val="en-US"/>
              </w:rPr>
              <w:t>2 000</w:t>
            </w:r>
          </w:p>
        </w:tc>
      </w:tr>
      <w:tr w:rsidR="00F77A4C" w:rsidRPr="00171C3B" w:rsidTr="00F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hRule="exact" w:val="772"/>
          <w:jc w:val="center"/>
        </w:trPr>
        <w:tc>
          <w:tcPr>
            <w:tcW w:w="77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spacing w:before="252" w:after="252"/>
              <w:ind w:left="3471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ind w:right="59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10 809,4</w:t>
            </w:r>
          </w:p>
          <w:p w:rsidR="00F77A4C" w:rsidRPr="00171C3B" w:rsidRDefault="00F77A4C">
            <w:pPr>
              <w:ind w:right="59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Arrondi</w:t>
            </w:r>
          </w:p>
          <w:p w:rsidR="00F77A4C" w:rsidRPr="00171C3B" w:rsidRDefault="00F77A4C">
            <w:pPr>
              <w:ind w:right="59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à 10 809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A4C" w:rsidRPr="00171C3B" w:rsidRDefault="00F77A4C">
            <w:pPr>
              <w:ind w:left="89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2871,51</w:t>
            </w:r>
          </w:p>
          <w:p w:rsidR="00F77A4C" w:rsidRPr="00171C3B" w:rsidRDefault="00F77A4C">
            <w:pPr>
              <w:ind w:right="64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Arrondi à</w:t>
            </w:r>
          </w:p>
          <w:p w:rsidR="00F77A4C" w:rsidRPr="00171C3B" w:rsidRDefault="00F77A4C">
            <w:pPr>
              <w:ind w:right="244"/>
              <w:jc w:val="right"/>
              <w:rPr>
                <w:sz w:val="22"/>
                <w:szCs w:val="22"/>
                <w:lang w:val="en-US"/>
              </w:rPr>
            </w:pPr>
            <w:r w:rsidRPr="00171C3B">
              <w:rPr>
                <w:sz w:val="22"/>
                <w:szCs w:val="22"/>
                <w:lang w:val="en-US"/>
              </w:rPr>
              <w:t>2 872</w:t>
            </w:r>
          </w:p>
        </w:tc>
      </w:tr>
    </w:tbl>
    <w:p w:rsidR="00171C3B" w:rsidRDefault="00171C3B">
      <w:pPr>
        <w:rPr>
          <w:sz w:val="22"/>
          <w:szCs w:val="22"/>
        </w:rPr>
      </w:pPr>
    </w:p>
    <w:p w:rsidR="00F77A4C" w:rsidRPr="00171C3B" w:rsidRDefault="00F77A4C">
      <w:pPr>
        <w:rPr>
          <w:b/>
          <w:bCs/>
          <w:sz w:val="22"/>
          <w:szCs w:val="22"/>
        </w:rPr>
      </w:pPr>
      <w:r w:rsidRPr="00171C3B">
        <w:rPr>
          <w:sz w:val="22"/>
          <w:szCs w:val="22"/>
        </w:rPr>
        <w:t xml:space="preserve">Au mois de juin, l’entreprise Millefleurs aura une TVA à décaisser de 10 809 – 2 872 = 7 937 € </w:t>
      </w:r>
      <w:r w:rsidRPr="00171C3B">
        <w:rPr>
          <w:b/>
          <w:bCs/>
          <w:sz w:val="22"/>
          <w:szCs w:val="22"/>
        </w:rPr>
        <w:t>(</w:t>
      </w:r>
      <w:r w:rsidR="00171C3B">
        <w:rPr>
          <w:b/>
          <w:bCs/>
          <w:sz w:val="22"/>
          <w:szCs w:val="22"/>
        </w:rPr>
        <w:t xml:space="preserve"> </w:t>
      </w:r>
    </w:p>
    <w:p w:rsidR="00F77A4C" w:rsidRPr="00171C3B" w:rsidRDefault="00F77A4C">
      <w:pPr>
        <w:rPr>
          <w:sz w:val="22"/>
          <w:szCs w:val="22"/>
        </w:rPr>
      </w:pPr>
    </w:p>
    <w:p w:rsidR="00F77A4C" w:rsidRPr="00F77A4C" w:rsidRDefault="00F77A4C" w:rsidP="00F77A4C">
      <w:pPr>
        <w:pStyle w:val="Sansinterligne"/>
        <w:numPr>
          <w:ilvl w:val="1"/>
          <w:numId w:val="29"/>
        </w:numPr>
        <w:ind w:left="1276" w:hanging="567"/>
        <w:jc w:val="both"/>
        <w:rPr>
          <w:b/>
          <w:sz w:val="22"/>
          <w:szCs w:val="22"/>
        </w:rPr>
      </w:pPr>
      <w:r w:rsidRPr="00F77A4C">
        <w:rPr>
          <w:b/>
          <w:sz w:val="22"/>
          <w:szCs w:val="22"/>
        </w:rPr>
        <w:t xml:space="preserve">Quelles possibilités s’offrent à l’entreprise si elle constate un crédit de TVA au titre du mois de juin 2011 ? </w:t>
      </w:r>
    </w:p>
    <w:p w:rsidR="00F77A4C" w:rsidRPr="00F77A4C" w:rsidRDefault="00F77A4C">
      <w:pPr>
        <w:rPr>
          <w:sz w:val="22"/>
          <w:szCs w:val="22"/>
        </w:rPr>
      </w:pPr>
    </w:p>
    <w:p w:rsidR="00F77A4C" w:rsidRPr="00171C3B" w:rsidRDefault="00F77A4C" w:rsidP="00F77A4C">
      <w:pPr>
        <w:numPr>
          <w:ilvl w:val="0"/>
          <w:numId w:val="30"/>
        </w:numPr>
        <w:rPr>
          <w:b/>
          <w:bCs/>
          <w:sz w:val="22"/>
          <w:szCs w:val="22"/>
        </w:rPr>
      </w:pPr>
      <w:r w:rsidRPr="00171C3B">
        <w:rPr>
          <w:sz w:val="22"/>
          <w:szCs w:val="22"/>
        </w:rPr>
        <w:t xml:space="preserve">Imputation du crédit de TVA sur les déclarations suivantes ; </w:t>
      </w:r>
    </w:p>
    <w:p w:rsidR="00F77A4C" w:rsidRPr="00C07977" w:rsidRDefault="00F77A4C" w:rsidP="00F77A4C">
      <w:pPr>
        <w:numPr>
          <w:ilvl w:val="0"/>
          <w:numId w:val="30"/>
        </w:numPr>
        <w:rPr>
          <w:b/>
          <w:bCs/>
          <w:sz w:val="22"/>
          <w:szCs w:val="22"/>
        </w:rPr>
      </w:pPr>
      <w:r w:rsidRPr="00171C3B">
        <w:rPr>
          <w:sz w:val="22"/>
          <w:szCs w:val="22"/>
        </w:rPr>
        <w:t xml:space="preserve">Demande de remboursement si le crédit de TVA est d’au moins 760 €. </w:t>
      </w:r>
    </w:p>
    <w:p w:rsidR="00F77A4C" w:rsidRPr="00C07977" w:rsidRDefault="00F77A4C">
      <w:pPr>
        <w:rPr>
          <w:sz w:val="22"/>
          <w:szCs w:val="22"/>
        </w:rPr>
      </w:pPr>
    </w:p>
    <w:p w:rsidR="00F77A4C" w:rsidRPr="00F77A4C" w:rsidRDefault="00F77A4C" w:rsidP="00F77A4C">
      <w:pPr>
        <w:pStyle w:val="Sansinterligne"/>
        <w:numPr>
          <w:ilvl w:val="1"/>
          <w:numId w:val="29"/>
        </w:numPr>
        <w:ind w:left="1276" w:hanging="567"/>
        <w:jc w:val="both"/>
        <w:rPr>
          <w:b/>
          <w:sz w:val="22"/>
          <w:szCs w:val="22"/>
        </w:rPr>
      </w:pPr>
      <w:r w:rsidRPr="00F77A4C">
        <w:rPr>
          <w:b/>
          <w:sz w:val="22"/>
          <w:szCs w:val="22"/>
        </w:rPr>
        <w:t xml:space="preserve">Que risque l’entreprise Millefleurs pour le non dépôt de la déclaration de TVA et du règlement dans les délais ? </w:t>
      </w:r>
    </w:p>
    <w:p w:rsidR="00F77A4C" w:rsidRPr="00171C3B" w:rsidRDefault="00F77A4C">
      <w:pPr>
        <w:rPr>
          <w:sz w:val="22"/>
          <w:szCs w:val="22"/>
        </w:rPr>
      </w:pPr>
    </w:p>
    <w:p w:rsidR="00F77A4C" w:rsidRPr="00171C3B" w:rsidRDefault="00F77A4C" w:rsidP="00F77A4C">
      <w:pPr>
        <w:pStyle w:val="Sansinterligne"/>
        <w:jc w:val="both"/>
        <w:rPr>
          <w:b/>
          <w:bCs/>
        </w:rPr>
      </w:pPr>
      <w:r w:rsidRPr="00171C3B">
        <w:t xml:space="preserve">Millefleurs devra payer des intérêts de retard </w:t>
      </w:r>
      <w:r w:rsidRPr="00171C3B">
        <w:rPr>
          <w:b/>
          <w:bCs/>
        </w:rPr>
        <w:t xml:space="preserve"> </w:t>
      </w:r>
      <w:r w:rsidRPr="00171C3B">
        <w:t xml:space="preserve">qui correspondent à 0.40% de la TVA due. De plus Millefleurs devra payer une majoration au moins égale à 10% des sommes dues. </w:t>
      </w:r>
    </w:p>
    <w:p w:rsidR="00F77A4C" w:rsidRPr="00171C3B" w:rsidRDefault="00F77A4C" w:rsidP="00F77A4C">
      <w:pPr>
        <w:pStyle w:val="Sansinterligne"/>
        <w:jc w:val="both"/>
        <w:sectPr w:rsidR="00F77A4C" w:rsidRPr="00171C3B" w:rsidSect="00F77A4C">
          <w:pgSz w:w="11904" w:h="16843"/>
          <w:pgMar w:top="853" w:right="1021" w:bottom="833" w:left="1021" w:header="720" w:footer="720" w:gutter="0"/>
          <w:cols w:space="720"/>
          <w:noEndnote/>
        </w:sectPr>
      </w:pPr>
    </w:p>
    <w:p w:rsidR="00171C3B" w:rsidRPr="00171C3B" w:rsidRDefault="00171C3B" w:rsidP="00171C3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171C3B">
        <w:rPr>
          <w:b/>
        </w:rPr>
        <w:lastRenderedPageBreak/>
        <w:t>DOSSIER 3 - LA CONTRIBUTION ÉCONOMIQUE TERRITORIALE</w:t>
      </w:r>
    </w:p>
    <w:p w:rsidR="00171C3B" w:rsidRDefault="00171C3B">
      <w:pPr>
        <w:spacing w:line="252" w:lineRule="exact"/>
        <w:ind w:left="504" w:right="504" w:hanging="432"/>
        <w:rPr>
          <w:b/>
          <w:bCs/>
          <w:sz w:val="22"/>
          <w:szCs w:val="22"/>
        </w:rPr>
      </w:pPr>
    </w:p>
    <w:p w:rsidR="00F77A4C" w:rsidRPr="00F77A4C" w:rsidRDefault="00F77A4C" w:rsidP="00F77A4C">
      <w:pPr>
        <w:numPr>
          <w:ilvl w:val="1"/>
          <w:numId w:val="31"/>
        </w:numPr>
        <w:spacing w:line="252" w:lineRule="exact"/>
        <w:ind w:left="1276" w:right="504" w:hanging="567"/>
        <w:jc w:val="both"/>
        <w:rPr>
          <w:b/>
          <w:bCs/>
          <w:sz w:val="22"/>
          <w:szCs w:val="22"/>
        </w:rPr>
      </w:pPr>
      <w:r w:rsidRPr="00F77A4C">
        <w:rPr>
          <w:b/>
          <w:bCs/>
          <w:sz w:val="22"/>
          <w:szCs w:val="22"/>
        </w:rPr>
        <w:t>Indiquer la période de référence et l’assiette imposable de la cotisation foncière des entreprise</w:t>
      </w:r>
      <w:r w:rsidR="00171C3B" w:rsidRPr="00F77A4C">
        <w:rPr>
          <w:b/>
          <w:bCs/>
          <w:sz w:val="22"/>
          <w:szCs w:val="22"/>
        </w:rPr>
        <w:t>s (CFE) due en 2011.</w:t>
      </w:r>
    </w:p>
    <w:p w:rsidR="00F77A4C" w:rsidRPr="00F77A4C" w:rsidRDefault="00F77A4C" w:rsidP="00F77A4C">
      <w:pPr>
        <w:jc w:val="both"/>
        <w:rPr>
          <w:sz w:val="22"/>
          <w:szCs w:val="22"/>
        </w:rPr>
      </w:pPr>
    </w:p>
    <w:p w:rsidR="00F77A4C" w:rsidRPr="00F77A4C" w:rsidRDefault="00F77A4C" w:rsidP="00F77A4C">
      <w:pPr>
        <w:spacing w:line="252" w:lineRule="exact"/>
        <w:ind w:left="72" w:right="432"/>
        <w:jc w:val="both"/>
        <w:rPr>
          <w:b/>
          <w:bCs/>
          <w:sz w:val="22"/>
          <w:szCs w:val="22"/>
        </w:rPr>
      </w:pPr>
      <w:r w:rsidRPr="00F77A4C">
        <w:rPr>
          <w:sz w:val="22"/>
          <w:szCs w:val="22"/>
        </w:rPr>
        <w:t xml:space="preserve">L’assiette imposable correspond à la valeur locative des biens passibles de la taxe foncière </w:t>
      </w:r>
      <w:r w:rsidRPr="00F77A4C">
        <w:rPr>
          <w:b/>
          <w:bCs/>
          <w:sz w:val="22"/>
          <w:szCs w:val="22"/>
        </w:rPr>
        <w:t xml:space="preserve">, </w:t>
      </w:r>
      <w:r w:rsidRPr="00F77A4C">
        <w:rPr>
          <w:sz w:val="22"/>
          <w:szCs w:val="22"/>
        </w:rPr>
        <w:t xml:space="preserve">inscrits au bilan le 31/12/2009 </w:t>
      </w:r>
      <w:r w:rsidRPr="00F77A4C">
        <w:rPr>
          <w:b/>
          <w:bCs/>
          <w:sz w:val="22"/>
          <w:szCs w:val="22"/>
        </w:rPr>
        <w:t>.</w:t>
      </w:r>
    </w:p>
    <w:p w:rsidR="00F77A4C" w:rsidRPr="00F77A4C" w:rsidRDefault="00F77A4C" w:rsidP="00F77A4C">
      <w:pPr>
        <w:jc w:val="both"/>
        <w:rPr>
          <w:sz w:val="22"/>
          <w:szCs w:val="22"/>
        </w:rPr>
      </w:pPr>
    </w:p>
    <w:p w:rsidR="00F77A4C" w:rsidRPr="00F77A4C" w:rsidRDefault="00F77A4C" w:rsidP="00F77A4C">
      <w:pPr>
        <w:numPr>
          <w:ilvl w:val="1"/>
          <w:numId w:val="31"/>
        </w:numPr>
        <w:spacing w:line="252" w:lineRule="exact"/>
        <w:ind w:left="1276" w:right="504" w:hanging="567"/>
        <w:jc w:val="both"/>
        <w:rPr>
          <w:b/>
          <w:bCs/>
          <w:sz w:val="22"/>
          <w:szCs w:val="22"/>
        </w:rPr>
      </w:pPr>
      <w:r w:rsidRPr="00F77A4C">
        <w:rPr>
          <w:b/>
          <w:bCs/>
          <w:sz w:val="22"/>
          <w:szCs w:val="22"/>
        </w:rPr>
        <w:t>Déterminer la cotisation sur la valeur ajoutée des entreprises (CVAE) au titre de 2011. .</w:t>
      </w:r>
    </w:p>
    <w:p w:rsidR="00F77A4C" w:rsidRPr="00F77A4C" w:rsidRDefault="00F77A4C" w:rsidP="00F77A4C">
      <w:pPr>
        <w:jc w:val="both"/>
        <w:rPr>
          <w:sz w:val="22"/>
          <w:szCs w:val="22"/>
        </w:rPr>
      </w:pPr>
    </w:p>
    <w:p w:rsidR="00F77A4C" w:rsidRPr="00F77A4C" w:rsidRDefault="00F77A4C" w:rsidP="00F77A4C">
      <w:pPr>
        <w:ind w:left="72" w:right="432"/>
        <w:jc w:val="both"/>
        <w:rPr>
          <w:sz w:val="22"/>
          <w:szCs w:val="22"/>
        </w:rPr>
      </w:pPr>
      <w:r w:rsidRPr="00F77A4C">
        <w:rPr>
          <w:sz w:val="22"/>
          <w:szCs w:val="22"/>
        </w:rPr>
        <w:t>La CVAE due au titre de 2011 est égale au maximum à 1.5% de la valeur ajoutée 2011 de l’entreprise concernée.</w:t>
      </w:r>
    </w:p>
    <w:p w:rsidR="00F77A4C" w:rsidRPr="00F77A4C" w:rsidRDefault="00F77A4C" w:rsidP="00F77A4C">
      <w:pPr>
        <w:jc w:val="both"/>
        <w:rPr>
          <w:sz w:val="22"/>
          <w:szCs w:val="22"/>
        </w:rPr>
      </w:pPr>
    </w:p>
    <w:p w:rsidR="00F77A4C" w:rsidRPr="00F77A4C" w:rsidRDefault="00F77A4C" w:rsidP="00F77A4C">
      <w:pPr>
        <w:pStyle w:val="Sansinterligne"/>
        <w:jc w:val="both"/>
        <w:rPr>
          <w:sz w:val="22"/>
          <w:szCs w:val="22"/>
        </w:rPr>
      </w:pPr>
      <w:r w:rsidRPr="00F77A4C">
        <w:rPr>
          <w:sz w:val="22"/>
          <w:szCs w:val="22"/>
        </w:rPr>
        <w:t>Ainsi, la CVAE due par la SARL SOL au titre de 2011 se calcule comme suit :</w:t>
      </w:r>
    </w:p>
    <w:p w:rsidR="00F77A4C" w:rsidRPr="00F77A4C" w:rsidRDefault="00F77A4C" w:rsidP="00F77A4C">
      <w:pPr>
        <w:spacing w:before="252"/>
        <w:ind w:left="72" w:right="1584"/>
        <w:jc w:val="both"/>
        <w:rPr>
          <w:b/>
          <w:bCs/>
          <w:sz w:val="22"/>
          <w:szCs w:val="22"/>
        </w:rPr>
      </w:pPr>
      <w:r w:rsidRPr="00F77A4C">
        <w:rPr>
          <w:sz w:val="22"/>
          <w:szCs w:val="22"/>
        </w:rPr>
        <w:t xml:space="preserve">La CVAE après dégrèvement est égale à : 1 950 000 </w:t>
      </w:r>
      <w:r w:rsidRPr="00F77A4C">
        <w:rPr>
          <w:b/>
          <w:bCs/>
          <w:sz w:val="22"/>
          <w:szCs w:val="22"/>
        </w:rPr>
        <w:t xml:space="preserve"> </w:t>
      </w:r>
      <w:r w:rsidRPr="00F77A4C">
        <w:rPr>
          <w:sz w:val="22"/>
          <w:szCs w:val="22"/>
        </w:rPr>
        <w:t>x 0,48 %</w:t>
      </w:r>
      <w:r w:rsidR="00171C3B" w:rsidRPr="00F77A4C">
        <w:rPr>
          <w:b/>
          <w:bCs/>
          <w:sz w:val="22"/>
          <w:szCs w:val="22"/>
        </w:rPr>
        <w:t xml:space="preserve"> </w:t>
      </w:r>
      <w:r w:rsidRPr="00F77A4C">
        <w:rPr>
          <w:b/>
          <w:bCs/>
          <w:sz w:val="22"/>
          <w:szCs w:val="22"/>
        </w:rPr>
        <w:t xml:space="preserve"> </w:t>
      </w:r>
      <w:r w:rsidRPr="00F77A4C">
        <w:rPr>
          <w:sz w:val="22"/>
          <w:szCs w:val="22"/>
        </w:rPr>
        <w:t xml:space="preserve">= 9 360 € </w:t>
      </w:r>
      <w:r w:rsidRPr="00F77A4C">
        <w:rPr>
          <w:b/>
          <w:bCs/>
          <w:sz w:val="22"/>
          <w:szCs w:val="22"/>
        </w:rPr>
        <w:t>(Accepter le calcul 1,5% x 1 950 000 – (1,5% x 1 950 000 – 0,48% x 1 950 000)</w:t>
      </w:r>
    </w:p>
    <w:p w:rsidR="00F77A4C" w:rsidRPr="00F77A4C" w:rsidRDefault="00F77A4C" w:rsidP="00F77A4C">
      <w:pPr>
        <w:jc w:val="both"/>
        <w:rPr>
          <w:sz w:val="22"/>
          <w:szCs w:val="22"/>
        </w:rPr>
      </w:pPr>
    </w:p>
    <w:p w:rsidR="00F77A4C" w:rsidRDefault="00F77A4C" w:rsidP="00F77A4C">
      <w:pPr>
        <w:numPr>
          <w:ilvl w:val="1"/>
          <w:numId w:val="31"/>
        </w:numPr>
        <w:spacing w:line="252" w:lineRule="exact"/>
        <w:ind w:left="1276" w:right="504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Pr="00F77A4C">
        <w:rPr>
          <w:b/>
          <w:bCs/>
          <w:sz w:val="22"/>
          <w:szCs w:val="22"/>
        </w:rPr>
        <w:t>résenter le mécanisme de plafonnement de la CET. L’entreprise pe</w:t>
      </w:r>
      <w:r w:rsidR="00171C3B" w:rsidRPr="00F77A4C">
        <w:rPr>
          <w:b/>
          <w:bCs/>
          <w:sz w:val="22"/>
          <w:szCs w:val="22"/>
        </w:rPr>
        <w:t>ut-elle en bénéficier en 2011 ?</w:t>
      </w:r>
    </w:p>
    <w:p w:rsidR="00F77A4C" w:rsidRPr="00F77A4C" w:rsidRDefault="00F77A4C" w:rsidP="00F77A4C">
      <w:pPr>
        <w:spacing w:line="252" w:lineRule="exact"/>
        <w:ind w:left="709" w:right="504"/>
        <w:jc w:val="both"/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3"/>
        <w:gridCol w:w="5991"/>
        <w:gridCol w:w="1864"/>
      </w:tblGrid>
      <w:tr w:rsidR="00F77A4C" w:rsidTr="00F77A4C">
        <w:tc>
          <w:tcPr>
            <w:tcW w:w="2235" w:type="dxa"/>
            <w:vAlign w:val="center"/>
          </w:tcPr>
          <w:p w:rsidR="00F77A4C" w:rsidRPr="00F77A4C" w:rsidRDefault="00F77A4C" w:rsidP="00F77A4C">
            <w:pPr>
              <w:spacing w:before="180" w:after="180"/>
              <w:ind w:right="216"/>
              <w:jc w:val="center"/>
            </w:pPr>
            <w:r w:rsidRPr="00F77A4C">
              <w:t>Taux de CVAE après dégrèvement</w:t>
            </w:r>
          </w:p>
        </w:tc>
        <w:tc>
          <w:tcPr>
            <w:tcW w:w="6095" w:type="dxa"/>
            <w:vAlign w:val="center"/>
          </w:tcPr>
          <w:p w:rsidR="00F77A4C" w:rsidRDefault="00F77A4C" w:rsidP="00F77A4C">
            <w:pPr>
              <w:spacing w:before="72"/>
              <w:ind w:right="216"/>
              <w:jc w:val="both"/>
            </w:pPr>
            <w:r w:rsidRPr="00F77A4C">
              <w:t>Il varie selon le monta</w:t>
            </w:r>
            <w:r>
              <w:t>nt du chiffre d’affaires 2011 :</w:t>
            </w:r>
          </w:p>
          <w:p w:rsidR="00F77A4C" w:rsidRPr="00F77A4C" w:rsidRDefault="00F77A4C" w:rsidP="00F77A4C">
            <w:pPr>
              <w:spacing w:before="72"/>
              <w:ind w:right="216"/>
              <w:jc w:val="both"/>
            </w:pPr>
            <w:r w:rsidRPr="00F77A4C">
              <w:t>0.5 x (CA – 500 000)/ 2 500 000)</w:t>
            </w:r>
          </w:p>
          <w:p w:rsidR="00F77A4C" w:rsidRDefault="00F77A4C" w:rsidP="00F77A4C">
            <w:pPr>
              <w:spacing w:after="72"/>
              <w:jc w:val="both"/>
            </w:pPr>
            <w:r w:rsidRPr="00F77A4C">
              <w:rPr>
                <w:lang w:val="en-US"/>
              </w:rPr>
              <w:t>= 0.5 x (2 900 000 - 500 000)/ 2 500 000</w:t>
            </w:r>
          </w:p>
        </w:tc>
        <w:tc>
          <w:tcPr>
            <w:tcW w:w="1892" w:type="dxa"/>
            <w:vAlign w:val="center"/>
          </w:tcPr>
          <w:p w:rsidR="00F77A4C" w:rsidRPr="00F77A4C" w:rsidRDefault="00F77A4C" w:rsidP="00F77A4C">
            <w:pPr>
              <w:pStyle w:val="Sansinterligne"/>
              <w:jc w:val="center"/>
              <w:rPr>
                <w:lang w:val="en-US"/>
              </w:rPr>
            </w:pPr>
            <w:r w:rsidRPr="00F77A4C">
              <w:rPr>
                <w:lang w:val="en-US"/>
              </w:rPr>
              <w:t>0.48 %</w:t>
            </w:r>
          </w:p>
        </w:tc>
      </w:tr>
    </w:tbl>
    <w:p w:rsidR="00F77A4C" w:rsidRPr="00F77A4C" w:rsidRDefault="00F77A4C" w:rsidP="00F77A4C">
      <w:pPr>
        <w:jc w:val="both"/>
        <w:rPr>
          <w:sz w:val="22"/>
          <w:szCs w:val="22"/>
        </w:rPr>
      </w:pPr>
    </w:p>
    <w:p w:rsidR="00F77A4C" w:rsidRPr="00F77A4C" w:rsidRDefault="00F77A4C" w:rsidP="00F77A4C">
      <w:pPr>
        <w:ind w:left="72" w:right="2808"/>
        <w:jc w:val="both"/>
        <w:rPr>
          <w:sz w:val="22"/>
          <w:szCs w:val="22"/>
        </w:rPr>
      </w:pPr>
      <w:r w:rsidRPr="00F77A4C">
        <w:rPr>
          <w:spacing w:val="-2"/>
          <w:sz w:val="22"/>
          <w:szCs w:val="22"/>
        </w:rPr>
        <w:t>La CET est plafonnée à un certain pourcentage de la valeur ajoutée.</w:t>
      </w:r>
      <w:r w:rsidRPr="00F77A4C">
        <w:rPr>
          <w:sz w:val="22"/>
          <w:szCs w:val="22"/>
        </w:rPr>
        <w:t xml:space="preserve"> </w:t>
      </w:r>
      <w:r w:rsidR="00171C3B" w:rsidRPr="00F77A4C">
        <w:rPr>
          <w:b/>
          <w:bCs/>
          <w:spacing w:val="-2"/>
          <w:sz w:val="22"/>
          <w:szCs w:val="22"/>
        </w:rPr>
        <w:t xml:space="preserve"> </w:t>
      </w:r>
      <w:r w:rsidRPr="00F77A4C">
        <w:rPr>
          <w:b/>
          <w:bCs/>
          <w:spacing w:val="-2"/>
          <w:sz w:val="22"/>
          <w:szCs w:val="22"/>
        </w:rPr>
        <w:t xml:space="preserve">. </w:t>
      </w:r>
      <w:r w:rsidRPr="00F77A4C">
        <w:rPr>
          <w:sz w:val="22"/>
          <w:szCs w:val="22"/>
        </w:rPr>
        <w:t>Celui-ci s'élève à 3%.</w:t>
      </w:r>
    </w:p>
    <w:p w:rsidR="00F77A4C" w:rsidRPr="00F77A4C" w:rsidRDefault="00F77A4C" w:rsidP="00F77A4C">
      <w:pPr>
        <w:jc w:val="both"/>
        <w:rPr>
          <w:sz w:val="22"/>
          <w:szCs w:val="22"/>
        </w:rPr>
      </w:pPr>
    </w:p>
    <w:p w:rsidR="00F77A4C" w:rsidRPr="00F77A4C" w:rsidRDefault="00F77A4C" w:rsidP="00F77A4C">
      <w:pPr>
        <w:ind w:left="72"/>
        <w:jc w:val="both"/>
        <w:rPr>
          <w:b/>
          <w:bCs/>
          <w:sz w:val="22"/>
          <w:szCs w:val="22"/>
        </w:rPr>
      </w:pPr>
      <w:r w:rsidRPr="00F77A4C">
        <w:rPr>
          <w:sz w:val="22"/>
          <w:szCs w:val="22"/>
        </w:rPr>
        <w:t>En l’espèce : CET = CFE + CVAE = 45 800 + 9 360 = 55 160 €</w:t>
      </w:r>
    </w:p>
    <w:p w:rsidR="00F77A4C" w:rsidRPr="00F77A4C" w:rsidRDefault="00F77A4C" w:rsidP="00F77A4C">
      <w:pPr>
        <w:jc w:val="both"/>
        <w:rPr>
          <w:sz w:val="22"/>
          <w:szCs w:val="22"/>
        </w:rPr>
      </w:pPr>
    </w:p>
    <w:p w:rsidR="00F77A4C" w:rsidRPr="00F77A4C" w:rsidRDefault="00F77A4C" w:rsidP="00F77A4C">
      <w:pPr>
        <w:ind w:left="72"/>
        <w:jc w:val="both"/>
        <w:rPr>
          <w:sz w:val="22"/>
          <w:szCs w:val="22"/>
        </w:rPr>
      </w:pPr>
      <w:r w:rsidRPr="00F77A4C">
        <w:rPr>
          <w:sz w:val="22"/>
          <w:szCs w:val="22"/>
        </w:rPr>
        <w:t>VA 2011 x 3% = 1 950 000 * 0.03 = 58 500 €</w:t>
      </w:r>
    </w:p>
    <w:p w:rsidR="00F77A4C" w:rsidRDefault="00F77A4C" w:rsidP="00F77A4C">
      <w:pPr>
        <w:ind w:left="72"/>
        <w:jc w:val="both"/>
        <w:rPr>
          <w:sz w:val="22"/>
          <w:szCs w:val="22"/>
        </w:rPr>
      </w:pPr>
    </w:p>
    <w:p w:rsidR="00F77A4C" w:rsidRPr="00F77A4C" w:rsidRDefault="00F77A4C" w:rsidP="00F77A4C">
      <w:pPr>
        <w:ind w:left="72"/>
        <w:jc w:val="both"/>
        <w:rPr>
          <w:b/>
          <w:bCs/>
          <w:sz w:val="22"/>
          <w:szCs w:val="22"/>
        </w:rPr>
      </w:pPr>
      <w:r w:rsidRPr="00F77A4C">
        <w:rPr>
          <w:sz w:val="22"/>
          <w:szCs w:val="22"/>
        </w:rPr>
        <w:t>La CET est inférieure à 58 500 €, ainsi aucun dégrèvement ne sera appliqué</w:t>
      </w:r>
      <w:r w:rsidRPr="00F77A4C">
        <w:rPr>
          <w:b/>
          <w:bCs/>
          <w:sz w:val="22"/>
          <w:szCs w:val="22"/>
        </w:rPr>
        <w:t>.</w:t>
      </w:r>
    </w:p>
    <w:sectPr w:rsidR="00F77A4C" w:rsidRPr="00F77A4C" w:rsidSect="00F77A4C">
      <w:pgSz w:w="11904" w:h="16843"/>
      <w:pgMar w:top="1375" w:right="1021" w:bottom="833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F0" w:rsidRDefault="000174F0" w:rsidP="00171C3B">
      <w:r>
        <w:separator/>
      </w:r>
    </w:p>
  </w:endnote>
  <w:endnote w:type="continuationSeparator" w:id="0">
    <w:p w:rsidR="000174F0" w:rsidRDefault="000174F0" w:rsidP="0017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C3B" w:rsidRPr="00C07977" w:rsidRDefault="00C07977" w:rsidP="00C07977">
    <w:pPr>
      <w:pStyle w:val="Pieddepage"/>
      <w:rPr>
        <w:sz w:val="28"/>
      </w:rPr>
    </w:pPr>
    <w:r w:rsidRPr="00C07977">
      <w:rPr>
        <w:rFonts w:eastAsia="Times New Roman"/>
        <w:bCs/>
        <w:szCs w:val="22"/>
      </w:rPr>
      <w:t xml:space="preserve">©Comptazine – Reproduction Interdite           </w:t>
    </w:r>
    <w:r w:rsidRPr="00C07977">
      <w:rPr>
        <w:rFonts w:eastAsia="Times New Roman"/>
        <w:bCs/>
        <w:szCs w:val="22"/>
      </w:rPr>
      <w:tab/>
    </w:r>
    <w:r w:rsidRPr="00C07977">
      <w:rPr>
        <w:rFonts w:eastAsia="Times New Roman"/>
        <w:bCs/>
        <w:szCs w:val="22"/>
      </w:rPr>
      <w:tab/>
      <w:t>1/4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F0" w:rsidRDefault="000174F0" w:rsidP="00171C3B">
      <w:r>
        <w:separator/>
      </w:r>
    </w:p>
  </w:footnote>
  <w:footnote w:type="continuationSeparator" w:id="0">
    <w:p w:rsidR="000174F0" w:rsidRDefault="000174F0" w:rsidP="00171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77" w:rsidRDefault="00A27EB8" w:rsidP="00C07977">
    <w:pPr>
      <w:pStyle w:val="En-tte"/>
      <w:tabs>
        <w:tab w:val="left" w:pos="555"/>
        <w:tab w:val="left" w:pos="3240"/>
        <w:tab w:val="right" w:pos="1058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6026150</wp:posOffset>
          </wp:positionH>
          <wp:positionV relativeFrom="paragraph">
            <wp:posOffset>-137795</wp:posOffset>
          </wp:positionV>
          <wp:extent cx="381000" cy="38100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977">
      <w:tab/>
    </w:r>
    <w:r w:rsidR="00C07977">
      <w:tab/>
    </w:r>
    <w:r w:rsidR="00C07977">
      <w:tab/>
    </w:r>
    <w:r w:rsidR="00C07977">
      <w:tab/>
    </w:r>
    <w:r w:rsidR="000174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013488" o:spid="_x0000_s2050" type="#_x0000_t75" style="position:absolute;margin-left:0;margin-top:0;width:495.9pt;height:495.9pt;z-index:-251657728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  <w:hyperlink r:id="rId3" w:history="1">
      <w:r w:rsidR="00C07977" w:rsidRPr="001C2C1B">
        <w:rPr>
          <w:rStyle w:val="Lienhypertexte"/>
          <w:rFonts w:cs="Calibri"/>
          <w:color w:val="E36C0A"/>
        </w:rPr>
        <w:t>www.comptazine.fr</w:t>
      </w:r>
    </w:hyperlink>
    <w:r w:rsidR="00C07977">
      <w:rPr>
        <w:rStyle w:val="Lienhypertexte"/>
        <w:rFonts w:cs="Calibri"/>
        <w:color w:val="E36C0A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774065</wp:posOffset>
              </wp:positionV>
              <wp:extent cx="2126615" cy="146685"/>
              <wp:effectExtent l="0" t="0" r="6985" b="5715"/>
              <wp:wrapNone/>
              <wp:docPr id="1" name="Zone de text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977" w:rsidRPr="005E18B7" w:rsidRDefault="00C07977" w:rsidP="00C07977">
                          <w:pPr>
                            <w:spacing w:before="7"/>
                            <w:ind w:left="20" w:right="-49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2" o:spid="_x0000_s1026" type="#_x0000_t202" style="position:absolute;margin-left:41.5pt;margin-top:60.95pt;width:167.45pt;height:11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" filled="f" stroked="f">
              <v:textbox inset="0,0,0,0">
                <w:txbxContent>
                  <w:p w:rsidR="00C07977" w:rsidRPr="005E18B7" w:rsidRDefault="00C07977" w:rsidP="00C07977">
                    <w:pPr>
                      <w:spacing w:before="7"/>
                      <w:ind w:left="20" w:right="-49"/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FA7A"/>
    <w:multiLevelType w:val="singleLevel"/>
    <w:tmpl w:val="4CE6A632"/>
    <w:lvl w:ilvl="0">
      <w:numFmt w:val="bullet"/>
      <w:lvlText w:val="-"/>
      <w:lvlJc w:val="left"/>
      <w:pPr>
        <w:tabs>
          <w:tab w:val="num" w:pos="432"/>
        </w:tabs>
        <w:ind w:left="288"/>
      </w:pPr>
      <w:rPr>
        <w:rFonts w:ascii="Symbol" w:hAnsi="Symbol" w:hint="default"/>
        <w:color w:val="000000"/>
      </w:rPr>
    </w:lvl>
  </w:abstractNum>
  <w:abstractNum w:abstractNumId="1">
    <w:nsid w:val="042A9B10"/>
    <w:multiLevelType w:val="singleLevel"/>
    <w:tmpl w:val="40E31AF2"/>
    <w:lvl w:ilvl="0">
      <w:numFmt w:val="bullet"/>
      <w:lvlText w:val="-"/>
      <w:lvlJc w:val="left"/>
      <w:pPr>
        <w:tabs>
          <w:tab w:val="num" w:pos="432"/>
        </w:tabs>
        <w:ind w:left="288"/>
      </w:pPr>
      <w:rPr>
        <w:rFonts w:ascii="Symbol" w:hAnsi="Symbol" w:hint="default"/>
        <w:color w:val="000000"/>
      </w:rPr>
    </w:lvl>
  </w:abstractNum>
  <w:abstractNum w:abstractNumId="2">
    <w:nsid w:val="04C7317A"/>
    <w:multiLevelType w:val="singleLevel"/>
    <w:tmpl w:val="18E279ED"/>
    <w:lvl w:ilvl="0">
      <w:numFmt w:val="bullet"/>
      <w:lvlText w:val="–"/>
      <w:lvlJc w:val="left"/>
      <w:pPr>
        <w:tabs>
          <w:tab w:val="num" w:pos="792"/>
        </w:tabs>
        <w:ind w:left="360"/>
      </w:pPr>
      <w:rPr>
        <w:rFonts w:ascii="Arial" w:hAnsi="Arial" w:hint="default"/>
        <w:color w:val="000000"/>
      </w:rPr>
    </w:lvl>
  </w:abstractNum>
  <w:abstractNum w:abstractNumId="3">
    <w:nsid w:val="075DF5A3"/>
    <w:multiLevelType w:val="singleLevel"/>
    <w:tmpl w:val="1446A1A9"/>
    <w:lvl w:ilvl="0">
      <w:numFmt w:val="bullet"/>
      <w:lvlText w:val="·"/>
      <w:lvlJc w:val="left"/>
      <w:pPr>
        <w:tabs>
          <w:tab w:val="num" w:pos="2232"/>
        </w:tabs>
        <w:ind w:left="1800"/>
      </w:pPr>
      <w:rPr>
        <w:rFonts w:ascii="Symbol" w:hAnsi="Symbol" w:hint="default"/>
        <w:color w:val="000000"/>
      </w:rPr>
    </w:lvl>
  </w:abstractNum>
  <w:abstractNum w:abstractNumId="4">
    <w:nsid w:val="1287E429"/>
    <w:multiLevelType w:val="singleLevel"/>
    <w:tmpl w:val="7407C10C"/>
    <w:lvl w:ilvl="0"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000000"/>
      </w:rPr>
    </w:lvl>
  </w:abstractNum>
  <w:abstractNum w:abstractNumId="5">
    <w:nsid w:val="140E17DC"/>
    <w:multiLevelType w:val="hybridMultilevel"/>
    <w:tmpl w:val="202C93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665AB"/>
    <w:multiLevelType w:val="singleLevel"/>
    <w:tmpl w:val="2E9A53FC"/>
    <w:lvl w:ilvl="0">
      <w:numFmt w:val="bullet"/>
      <w:lvlText w:val="·"/>
      <w:lvlJc w:val="left"/>
      <w:pPr>
        <w:tabs>
          <w:tab w:val="num" w:pos="936"/>
        </w:tabs>
        <w:ind w:left="504"/>
      </w:pPr>
      <w:rPr>
        <w:rFonts w:ascii="Symbol" w:hAnsi="Symbol" w:hint="default"/>
        <w:color w:val="000000"/>
      </w:rPr>
    </w:lvl>
  </w:abstractNum>
  <w:abstractNum w:abstractNumId="7">
    <w:nsid w:val="196085E1"/>
    <w:multiLevelType w:val="singleLevel"/>
    <w:tmpl w:val="571D2B51"/>
    <w:lvl w:ilvl="0"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000000"/>
      </w:rPr>
    </w:lvl>
  </w:abstractNum>
  <w:abstractNum w:abstractNumId="8">
    <w:nsid w:val="19E7BD3C"/>
    <w:multiLevelType w:val="singleLevel"/>
    <w:tmpl w:val="05E73EBD"/>
    <w:lvl w:ilvl="0">
      <w:numFmt w:val="bullet"/>
      <w:lvlText w:val="·"/>
      <w:lvlJc w:val="left"/>
      <w:pPr>
        <w:tabs>
          <w:tab w:val="num" w:pos="936"/>
        </w:tabs>
        <w:ind w:left="936" w:hanging="432"/>
      </w:pPr>
      <w:rPr>
        <w:rFonts w:ascii="Symbol" w:hAnsi="Symbol" w:hint="default"/>
        <w:color w:val="000000"/>
      </w:rPr>
    </w:lvl>
  </w:abstractNum>
  <w:abstractNum w:abstractNumId="9">
    <w:nsid w:val="1D1104E4"/>
    <w:multiLevelType w:val="singleLevel"/>
    <w:tmpl w:val="1CB57396"/>
    <w:lvl w:ilvl="0">
      <w:numFmt w:val="bullet"/>
      <w:lvlText w:val="·"/>
      <w:lvlJc w:val="left"/>
      <w:pPr>
        <w:tabs>
          <w:tab w:val="num" w:pos="936"/>
        </w:tabs>
        <w:ind w:left="432" w:firstLine="144"/>
      </w:pPr>
      <w:rPr>
        <w:rFonts w:ascii="Symbol" w:hAnsi="Symbol" w:hint="default"/>
        <w:color w:val="000000"/>
      </w:rPr>
    </w:lvl>
  </w:abstractNum>
  <w:abstractNum w:abstractNumId="10">
    <w:nsid w:val="1F37304F"/>
    <w:multiLevelType w:val="hybridMultilevel"/>
    <w:tmpl w:val="0E0AD8B8"/>
    <w:lvl w:ilvl="0" w:tplc="9F9CD620">
      <w:numFmt w:val="bullet"/>
      <w:lvlText w:val="-"/>
      <w:lvlJc w:val="left"/>
      <w:pPr>
        <w:ind w:left="425" w:hanging="360"/>
      </w:pPr>
      <w:rPr>
        <w:rFonts w:ascii="Times New Roman" w:eastAsiaTheme="minorEastAsia" w:hAnsi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C6175"/>
    <w:multiLevelType w:val="singleLevel"/>
    <w:tmpl w:val="75997E1A"/>
    <w:lvl w:ilvl="0">
      <w:numFmt w:val="bullet"/>
      <w:lvlText w:val="·"/>
      <w:lvlJc w:val="left"/>
      <w:pPr>
        <w:tabs>
          <w:tab w:val="num" w:pos="2232"/>
        </w:tabs>
        <w:ind w:left="1800"/>
      </w:pPr>
      <w:rPr>
        <w:rFonts w:ascii="Symbol" w:hAnsi="Symbol" w:hint="default"/>
        <w:color w:val="000000"/>
      </w:rPr>
    </w:lvl>
  </w:abstractNum>
  <w:abstractNum w:abstractNumId="12">
    <w:nsid w:val="235A7044"/>
    <w:multiLevelType w:val="multilevel"/>
    <w:tmpl w:val="567EBC4E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24243CB9"/>
    <w:multiLevelType w:val="hybridMultilevel"/>
    <w:tmpl w:val="45808AC4"/>
    <w:lvl w:ilvl="0" w:tplc="9F9CD620">
      <w:numFmt w:val="bullet"/>
      <w:lvlText w:val="-"/>
      <w:lvlJc w:val="left"/>
      <w:pPr>
        <w:ind w:left="425" w:hanging="360"/>
      </w:pPr>
      <w:rPr>
        <w:rFonts w:ascii="Times New Roman" w:eastAsiaTheme="minorEastAsia" w:hAnsi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4">
    <w:nsid w:val="256D762B"/>
    <w:multiLevelType w:val="hybridMultilevel"/>
    <w:tmpl w:val="493E4114"/>
    <w:lvl w:ilvl="0" w:tplc="78FA79E2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F77B5D"/>
    <w:multiLevelType w:val="singleLevel"/>
    <w:tmpl w:val="0E01F2DD"/>
    <w:lvl w:ilvl="0">
      <w:numFmt w:val="bullet"/>
      <w:lvlText w:val="·"/>
      <w:lvlJc w:val="left"/>
      <w:pPr>
        <w:tabs>
          <w:tab w:val="num" w:pos="936"/>
        </w:tabs>
        <w:ind w:left="432" w:firstLine="144"/>
      </w:pPr>
      <w:rPr>
        <w:rFonts w:ascii="Symbol" w:hAnsi="Symbol" w:hint="default"/>
        <w:color w:val="000000"/>
      </w:rPr>
    </w:lvl>
  </w:abstractNum>
  <w:abstractNum w:abstractNumId="16">
    <w:nsid w:val="2D70508F"/>
    <w:multiLevelType w:val="hybridMultilevel"/>
    <w:tmpl w:val="8BB2B9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AC8B85"/>
    <w:multiLevelType w:val="singleLevel"/>
    <w:tmpl w:val="596E998A"/>
    <w:lvl w:ilvl="0"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000000"/>
      </w:rPr>
    </w:lvl>
  </w:abstractNum>
  <w:abstractNum w:abstractNumId="18">
    <w:nsid w:val="42E3ECA5"/>
    <w:multiLevelType w:val="singleLevel"/>
    <w:tmpl w:val="1BBBE9F4"/>
    <w:lvl w:ilvl="0"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000000"/>
      </w:rPr>
    </w:lvl>
  </w:abstractNum>
  <w:abstractNum w:abstractNumId="19">
    <w:nsid w:val="443C7C2E"/>
    <w:multiLevelType w:val="hybridMultilevel"/>
    <w:tmpl w:val="FD38E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417202"/>
    <w:multiLevelType w:val="multilevel"/>
    <w:tmpl w:val="F91A1008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DB70269"/>
    <w:multiLevelType w:val="singleLevel"/>
    <w:tmpl w:val="711B0EB1"/>
    <w:lvl w:ilvl="0">
      <w:numFmt w:val="bullet"/>
      <w:lvlText w:val="–"/>
      <w:lvlJc w:val="left"/>
      <w:pPr>
        <w:tabs>
          <w:tab w:val="num" w:pos="792"/>
        </w:tabs>
        <w:ind w:left="360"/>
      </w:pPr>
      <w:rPr>
        <w:rFonts w:ascii="Arial" w:hAnsi="Arial" w:hint="default"/>
        <w:color w:val="000000"/>
      </w:rPr>
    </w:lvl>
  </w:abstractNum>
  <w:abstractNum w:abstractNumId="22">
    <w:nsid w:val="534D4433"/>
    <w:multiLevelType w:val="singleLevel"/>
    <w:tmpl w:val="3C1AEC9E"/>
    <w:lvl w:ilvl="0">
      <w:numFmt w:val="bullet"/>
      <w:lvlText w:val="·"/>
      <w:lvlJc w:val="left"/>
      <w:pPr>
        <w:tabs>
          <w:tab w:val="num" w:pos="936"/>
        </w:tabs>
        <w:ind w:left="576"/>
      </w:pPr>
      <w:rPr>
        <w:rFonts w:ascii="Symbol" w:hAnsi="Symbol" w:hint="default"/>
        <w:color w:val="000000"/>
      </w:rPr>
    </w:lvl>
  </w:abstractNum>
  <w:abstractNum w:abstractNumId="23">
    <w:nsid w:val="5C292C7F"/>
    <w:multiLevelType w:val="singleLevel"/>
    <w:tmpl w:val="5B2838B4"/>
    <w:lvl w:ilvl="0">
      <w:numFmt w:val="bullet"/>
      <w:lvlText w:val="-"/>
      <w:lvlJc w:val="left"/>
      <w:pPr>
        <w:tabs>
          <w:tab w:val="num" w:pos="432"/>
        </w:tabs>
        <w:ind w:left="288"/>
      </w:pPr>
      <w:rPr>
        <w:rFonts w:ascii="Symbol" w:hAnsi="Symbol" w:hint="default"/>
        <w:color w:val="000000"/>
      </w:rPr>
    </w:lvl>
  </w:abstractNum>
  <w:abstractNum w:abstractNumId="24">
    <w:nsid w:val="5DD27DD8"/>
    <w:multiLevelType w:val="hybridMultilevel"/>
    <w:tmpl w:val="544A2802"/>
    <w:lvl w:ilvl="0" w:tplc="49860A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DAD662"/>
    <w:multiLevelType w:val="singleLevel"/>
    <w:tmpl w:val="63DBCA02"/>
    <w:lvl w:ilvl="0">
      <w:numFmt w:val="bullet"/>
      <w:lvlText w:val="-"/>
      <w:lvlJc w:val="left"/>
      <w:pPr>
        <w:tabs>
          <w:tab w:val="num" w:pos="1152"/>
        </w:tabs>
        <w:ind w:left="1008"/>
      </w:pPr>
      <w:rPr>
        <w:rFonts w:ascii="Symbol" w:hAnsi="Symbol" w:hint="default"/>
        <w:color w:val="000000"/>
      </w:rPr>
    </w:lvl>
  </w:abstractNum>
  <w:abstractNum w:abstractNumId="26">
    <w:nsid w:val="7609A427"/>
    <w:multiLevelType w:val="singleLevel"/>
    <w:tmpl w:val="2F6D9031"/>
    <w:lvl w:ilvl="0">
      <w:numFmt w:val="bullet"/>
      <w:lvlText w:val="-"/>
      <w:lvlJc w:val="left"/>
      <w:pPr>
        <w:tabs>
          <w:tab w:val="num" w:pos="1152"/>
        </w:tabs>
        <w:ind w:left="1008"/>
      </w:pPr>
      <w:rPr>
        <w:rFonts w:ascii="Symbol" w:hAnsi="Symbol" w:hint="default"/>
        <w:color w:val="000000"/>
      </w:rPr>
    </w:lvl>
  </w:abstractNum>
  <w:abstractNum w:abstractNumId="27">
    <w:nsid w:val="77DF7EA6"/>
    <w:multiLevelType w:val="hybridMultilevel"/>
    <w:tmpl w:val="EDD6B04E"/>
    <w:lvl w:ilvl="0" w:tplc="9F9CD620">
      <w:numFmt w:val="bullet"/>
      <w:lvlText w:val="-"/>
      <w:lvlJc w:val="left"/>
      <w:pPr>
        <w:ind w:left="713" w:hanging="360"/>
      </w:pPr>
      <w:rPr>
        <w:rFonts w:ascii="Times New Roman" w:eastAsiaTheme="minorEastAsia" w:hAnsi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79A5753E"/>
    <w:multiLevelType w:val="multilevel"/>
    <w:tmpl w:val="3C248F2E"/>
    <w:lvl w:ilvl="0">
      <w:start w:val="2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29">
    <w:nsid w:val="7DF623B9"/>
    <w:multiLevelType w:val="multilevel"/>
    <w:tmpl w:val="67E09B16"/>
    <w:lvl w:ilvl="0">
      <w:start w:val="2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>
    <w:nsid w:val="7F3E2EBA"/>
    <w:multiLevelType w:val="hybridMultilevel"/>
    <w:tmpl w:val="B824E546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23"/>
  </w:num>
  <w:num w:numId="7">
    <w:abstractNumId w:val="15"/>
  </w:num>
  <w:num w:numId="8">
    <w:abstractNumId w:val="9"/>
  </w:num>
  <w:num w:numId="9">
    <w:abstractNumId w:val="11"/>
  </w:num>
  <w:num w:numId="10">
    <w:abstractNumId w:val="3"/>
  </w:num>
  <w:num w:numId="11">
    <w:abstractNumId w:val="26"/>
  </w:num>
  <w:num w:numId="12">
    <w:abstractNumId w:val="25"/>
  </w:num>
  <w:num w:numId="13">
    <w:abstractNumId w:val="4"/>
  </w:num>
  <w:num w:numId="14">
    <w:abstractNumId w:val="7"/>
  </w:num>
  <w:num w:numId="15">
    <w:abstractNumId w:val="17"/>
  </w:num>
  <w:num w:numId="16">
    <w:abstractNumId w:val="18"/>
  </w:num>
  <w:num w:numId="17">
    <w:abstractNumId w:val="2"/>
  </w:num>
  <w:num w:numId="18">
    <w:abstractNumId w:val="21"/>
  </w:num>
  <w:num w:numId="19">
    <w:abstractNumId w:val="12"/>
  </w:num>
  <w:num w:numId="20">
    <w:abstractNumId w:val="30"/>
  </w:num>
  <w:num w:numId="21">
    <w:abstractNumId w:val="13"/>
  </w:num>
  <w:num w:numId="22">
    <w:abstractNumId w:val="27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4"/>
  </w:num>
  <w:num w:numId="28">
    <w:abstractNumId w:val="29"/>
  </w:num>
  <w:num w:numId="29">
    <w:abstractNumId w:val="28"/>
  </w:num>
  <w:num w:numId="30">
    <w:abstractNumId w:val="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3B"/>
    <w:rsid w:val="000174F0"/>
    <w:rsid w:val="00171C3B"/>
    <w:rsid w:val="001C2C1B"/>
    <w:rsid w:val="003B773D"/>
    <w:rsid w:val="005E18B7"/>
    <w:rsid w:val="00A27EB8"/>
    <w:rsid w:val="00A90401"/>
    <w:rsid w:val="00C07977"/>
    <w:rsid w:val="00F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1C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171C3B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71C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71C3B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171C3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71C3B"/>
    <w:pPr>
      <w:ind w:left="708"/>
    </w:pPr>
  </w:style>
  <w:style w:type="table" w:styleId="Grilledutableau">
    <w:name w:val="Table Grid"/>
    <w:basedOn w:val="TableauNormal"/>
    <w:uiPriority w:val="59"/>
    <w:rsid w:val="00F7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07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1C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171C3B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71C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71C3B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171C3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71C3B"/>
    <w:pPr>
      <w:ind w:left="708"/>
    </w:pPr>
  </w:style>
  <w:style w:type="table" w:styleId="Grilledutableau">
    <w:name w:val="Table Grid"/>
    <w:basedOn w:val="TableauNormal"/>
    <w:uiPriority w:val="59"/>
    <w:rsid w:val="00F7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07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tazine.f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Comptazine</dc:creator>
  <cp:lastModifiedBy>Sebastien</cp:lastModifiedBy>
  <cp:revision>2</cp:revision>
  <dcterms:created xsi:type="dcterms:W3CDTF">2012-12-18T08:24:00Z</dcterms:created>
  <dcterms:modified xsi:type="dcterms:W3CDTF">2012-12-18T08:24:00Z</dcterms:modified>
</cp:coreProperties>
</file>