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97" w:rsidRPr="008C3E97" w:rsidRDefault="0001518A" w:rsidP="008C3E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b/>
          <w:bCs/>
          <w:noProof/>
          <w:lang w:eastAsia="fr-FR"/>
        </w:rPr>
      </w:pPr>
      <w:r>
        <w:rPr>
          <w:rFonts w:ascii="Times New Roman" w:eastAsia="Times New Roman" w:hAnsi="Times New Roman"/>
          <w:b/>
          <w:bCs/>
          <w:noProof/>
          <w:lang w:eastAsia="fr-FR"/>
        </w:rPr>
        <w:t>DCG session 2014</w:t>
      </w:r>
      <w:r w:rsidR="008C3E97">
        <w:rPr>
          <w:rFonts w:ascii="Times New Roman" w:eastAsia="Times New Roman" w:hAnsi="Times New Roman"/>
          <w:b/>
          <w:bCs/>
          <w:noProof/>
          <w:lang w:eastAsia="fr-FR"/>
        </w:rPr>
        <w:tab/>
      </w:r>
      <w:r w:rsidR="008C3E97">
        <w:rPr>
          <w:rFonts w:ascii="Times New Roman" w:eastAsia="Times New Roman" w:hAnsi="Times New Roman"/>
          <w:b/>
          <w:bCs/>
          <w:noProof/>
          <w:lang w:eastAsia="fr-FR"/>
        </w:rPr>
        <w:tab/>
      </w:r>
      <w:r w:rsidR="008C3E97">
        <w:rPr>
          <w:rFonts w:ascii="Times New Roman" w:eastAsia="Times New Roman" w:hAnsi="Times New Roman"/>
          <w:b/>
          <w:bCs/>
          <w:noProof/>
          <w:lang w:eastAsia="fr-FR"/>
        </w:rPr>
        <w:tab/>
        <w:t>UE4</w:t>
      </w:r>
      <w:r w:rsidR="008C3E97" w:rsidRPr="008C3E97">
        <w:rPr>
          <w:rFonts w:ascii="Times New Roman" w:eastAsia="Times New Roman" w:hAnsi="Times New Roman"/>
          <w:b/>
          <w:bCs/>
          <w:noProof/>
          <w:lang w:eastAsia="fr-FR"/>
        </w:rPr>
        <w:t xml:space="preserve"> Droit </w:t>
      </w:r>
      <w:r w:rsidR="008C3E97">
        <w:rPr>
          <w:rFonts w:ascii="Times New Roman" w:eastAsia="Times New Roman" w:hAnsi="Times New Roman"/>
          <w:b/>
          <w:bCs/>
          <w:noProof/>
          <w:lang w:eastAsia="fr-FR"/>
        </w:rPr>
        <w:t>fiscal</w:t>
      </w:r>
      <w:r w:rsidR="008C3E97" w:rsidRPr="008C3E97">
        <w:rPr>
          <w:rFonts w:ascii="Times New Roman" w:eastAsia="Times New Roman" w:hAnsi="Times New Roman"/>
          <w:b/>
          <w:bCs/>
          <w:noProof/>
          <w:lang w:eastAsia="fr-FR"/>
        </w:rPr>
        <w:tab/>
      </w:r>
      <w:r w:rsidR="008C3E97" w:rsidRPr="008C3E97">
        <w:rPr>
          <w:rFonts w:ascii="Times New Roman" w:eastAsia="Times New Roman" w:hAnsi="Times New Roman"/>
          <w:b/>
          <w:bCs/>
          <w:noProof/>
          <w:lang w:eastAsia="fr-FR"/>
        </w:rPr>
        <w:tab/>
        <w:t>Corrigé indicatif</w:t>
      </w:r>
    </w:p>
    <w:p w:rsidR="00F20B75" w:rsidRDefault="00F20B75" w:rsidP="00F20B75">
      <w:pPr>
        <w:spacing w:after="0" w:line="240" w:lineRule="auto"/>
        <w:rPr>
          <w:rFonts w:ascii="Times New Roman" w:hAnsi="Times New Roman"/>
        </w:rPr>
      </w:pPr>
    </w:p>
    <w:p w:rsidR="0001518A" w:rsidRDefault="0001518A" w:rsidP="00F20B75">
      <w:pPr>
        <w:spacing w:after="0" w:line="240" w:lineRule="auto"/>
        <w:rPr>
          <w:rFonts w:ascii="Times New Roman" w:hAnsi="Times New Roman"/>
        </w:rPr>
      </w:pPr>
    </w:p>
    <w:p w:rsidR="0001518A" w:rsidRPr="00F20B75" w:rsidRDefault="0001518A" w:rsidP="00F20B75">
      <w:pPr>
        <w:spacing w:after="0" w:line="240" w:lineRule="auto"/>
        <w:rPr>
          <w:rFonts w:ascii="Times New Roman" w:hAnsi="Times New Roman"/>
        </w:rPr>
      </w:pPr>
    </w:p>
    <w:p w:rsidR="0074239E" w:rsidRPr="0001518A" w:rsidRDefault="0074239E" w:rsidP="00B0229F">
      <w:pPr>
        <w:pBdr>
          <w:top w:val="single" w:sz="4" w:space="1" w:color="auto"/>
          <w:left w:val="single" w:sz="4" w:space="4" w:color="auto"/>
          <w:bottom w:val="single" w:sz="4" w:space="6" w:color="auto"/>
          <w:right w:val="single" w:sz="4" w:space="4" w:color="auto"/>
        </w:pBdr>
        <w:shd w:val="clear" w:color="auto" w:fill="E0E0E0"/>
        <w:spacing w:after="0" w:line="240" w:lineRule="auto"/>
        <w:jc w:val="center"/>
        <w:rPr>
          <w:rFonts w:ascii="Times New Roman" w:eastAsia="Times New Roman" w:hAnsi="Times New Roman"/>
          <w:b/>
          <w:bCs/>
          <w:caps/>
          <w:sz w:val="28"/>
          <w:szCs w:val="28"/>
          <w:lang w:eastAsia="fr-FR"/>
        </w:rPr>
      </w:pPr>
      <w:r w:rsidRPr="0001518A">
        <w:rPr>
          <w:rFonts w:ascii="Times New Roman" w:eastAsia="Times New Roman" w:hAnsi="Times New Roman"/>
          <w:b/>
          <w:bCs/>
          <w:caps/>
          <w:sz w:val="28"/>
          <w:szCs w:val="28"/>
          <w:lang w:eastAsia="fr-FR"/>
        </w:rPr>
        <w:t xml:space="preserve">DOSSIER 1 – </w:t>
      </w:r>
      <w:r w:rsidR="0001518A" w:rsidRPr="0001518A">
        <w:rPr>
          <w:rFonts w:ascii="Times New Roman" w:eastAsia="Times New Roman" w:hAnsi="Times New Roman"/>
          <w:b/>
          <w:bCs/>
          <w:caps/>
          <w:sz w:val="28"/>
          <w:szCs w:val="28"/>
          <w:lang w:eastAsia="fr-FR"/>
        </w:rPr>
        <w:t xml:space="preserve">TAXE SUR LA VALEUR </w:t>
      </w:r>
      <w:r w:rsidR="0001518A" w:rsidRPr="0001518A">
        <w:rPr>
          <w:rFonts w:ascii="Times New Roman" w:hAnsi="Times New Roman"/>
          <w:b/>
          <w:bCs/>
          <w:sz w:val="28"/>
          <w:szCs w:val="28"/>
        </w:rPr>
        <w:t xml:space="preserve">AJOUTÉE </w:t>
      </w:r>
    </w:p>
    <w:p w:rsidR="0074239E" w:rsidRDefault="0074239E" w:rsidP="00B450C4">
      <w:pPr>
        <w:pStyle w:val="Sansinterligne"/>
        <w:rPr>
          <w:rFonts w:ascii="Times New Roman" w:hAnsi="Times New Roman"/>
          <w:bCs/>
        </w:rPr>
      </w:pPr>
    </w:p>
    <w:p w:rsidR="008C30E2" w:rsidRDefault="008C30E2" w:rsidP="00B450C4">
      <w:pPr>
        <w:pStyle w:val="Sansinterligne"/>
        <w:rPr>
          <w:rFonts w:ascii="Times New Roman" w:hAnsi="Times New Roman"/>
          <w:bCs/>
        </w:rPr>
      </w:pPr>
    </w:p>
    <w:p w:rsidR="008C30E2" w:rsidRPr="00B04491" w:rsidRDefault="008C30E2" w:rsidP="00B450C4">
      <w:pPr>
        <w:pStyle w:val="Sansinterligne"/>
        <w:rPr>
          <w:rFonts w:ascii="Times New Roman" w:hAnsi="Times New Roman"/>
          <w:bCs/>
        </w:rPr>
      </w:pPr>
    </w:p>
    <w:p w:rsidR="0001518A" w:rsidRPr="0001518A" w:rsidRDefault="0001518A" w:rsidP="0001518A">
      <w:pPr>
        <w:tabs>
          <w:tab w:val="left" w:pos="851"/>
          <w:tab w:val="left" w:pos="1418"/>
        </w:tabs>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1</w:t>
      </w:r>
      <w:r w:rsidRPr="0001518A">
        <w:rPr>
          <w:rFonts w:ascii="Times New Roman" w:eastAsia="Times New Roman" w:hAnsi="Times New Roman"/>
          <w:b/>
          <w:bCs/>
          <w:color w:val="000000"/>
          <w:sz w:val="24"/>
          <w:szCs w:val="24"/>
          <w:lang w:eastAsia="fr-FR"/>
        </w:rPr>
        <w:t>.</w:t>
      </w:r>
      <w:r>
        <w:rPr>
          <w:rFonts w:ascii="Times New Roman" w:eastAsia="Times New Roman" w:hAnsi="Times New Roman"/>
          <w:b/>
          <w:bCs/>
          <w:color w:val="000000"/>
          <w:sz w:val="24"/>
          <w:szCs w:val="24"/>
          <w:lang w:eastAsia="fr-FR"/>
        </w:rPr>
        <w:t>1</w:t>
      </w:r>
      <w:r w:rsidRPr="0001518A">
        <w:rPr>
          <w:rFonts w:ascii="Times New Roman" w:eastAsia="Times New Roman" w:hAnsi="Times New Roman"/>
          <w:b/>
          <w:bCs/>
          <w:color w:val="000000"/>
          <w:sz w:val="24"/>
          <w:szCs w:val="24"/>
          <w:lang w:eastAsia="fr-FR"/>
        </w:rPr>
        <w:t xml:space="preserve"> Indiquer le montant appelé du premier acompte en 2013.</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Les acomptes 2 et 3 de 2012 sont calculés au taux de 25% et le quatrième acompte au taux de 20% et se calcule sur la TVA de référence 2011.</w:t>
      </w:r>
    </w:p>
    <w:p w:rsidR="0001518A" w:rsidRPr="0001518A" w:rsidRDefault="0001518A" w:rsidP="0001518A">
      <w:pPr>
        <w:tabs>
          <w:tab w:val="left" w:pos="851"/>
          <w:tab w:val="left" w:pos="1418"/>
        </w:tabs>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TVA de référence 2011 (TVA due sans tenir compte de la TVA déductible sur immobilisations) : </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sz w:val="24"/>
          <w:szCs w:val="24"/>
          <w:lang w:eastAsia="fr-FR"/>
        </w:rPr>
        <w:t>7 500 / 0,25</w:t>
      </w:r>
      <w:r w:rsidRPr="0001518A">
        <w:rPr>
          <w:rFonts w:ascii="Arial" w:eastAsia="Times New Roman" w:hAnsi="Arial" w:cs="Arial"/>
          <w:sz w:val="20"/>
          <w:szCs w:val="24"/>
          <w:lang w:eastAsia="fr-FR"/>
        </w:rPr>
        <w:t xml:space="preserve"> =</w:t>
      </w:r>
      <w:r w:rsidRPr="0001518A">
        <w:rPr>
          <w:rFonts w:ascii="Times New Roman" w:eastAsia="Times New Roman" w:hAnsi="Times New Roman"/>
          <w:bCs/>
          <w:color w:val="000000"/>
          <w:sz w:val="24"/>
          <w:szCs w:val="24"/>
          <w:lang w:eastAsia="fr-FR"/>
        </w:rPr>
        <w:t xml:space="preserve"> 30 000 €</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Ou</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B050"/>
          <w:sz w:val="24"/>
          <w:szCs w:val="24"/>
          <w:lang w:eastAsia="fr-FR"/>
        </w:rPr>
      </w:pPr>
      <w:r w:rsidRPr="0001518A">
        <w:rPr>
          <w:rFonts w:ascii="Times New Roman" w:eastAsia="Times New Roman" w:hAnsi="Times New Roman"/>
          <w:bCs/>
          <w:color w:val="000000"/>
          <w:sz w:val="24"/>
          <w:szCs w:val="24"/>
          <w:lang w:eastAsia="fr-FR"/>
        </w:rPr>
        <w:t>6 000 / 0,2 = 30 000 €</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B050"/>
          <w:sz w:val="24"/>
          <w:szCs w:val="24"/>
          <w:lang w:eastAsia="fr-FR"/>
        </w:rPr>
      </w:pPr>
      <w:r w:rsidRPr="0001518A">
        <w:rPr>
          <w:rFonts w:ascii="Times New Roman" w:eastAsia="Times New Roman" w:hAnsi="Times New Roman"/>
          <w:bCs/>
          <w:color w:val="000000"/>
          <w:sz w:val="24"/>
          <w:szCs w:val="24"/>
          <w:lang w:eastAsia="fr-FR"/>
        </w:rPr>
        <w:t>Premier acompte 2013 = 0,25 * 30 000 = 7 500 €</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FF0000"/>
          <w:sz w:val="24"/>
          <w:szCs w:val="24"/>
          <w:lang w:eastAsia="fr-FR"/>
        </w:rPr>
      </w:pPr>
      <w:r w:rsidRPr="0001518A">
        <w:rPr>
          <w:rFonts w:ascii="Arial" w:eastAsia="Times New Roman" w:hAnsi="Arial" w:cs="Arial"/>
          <w:sz w:val="20"/>
          <w:szCs w:val="24"/>
          <w:lang w:eastAsia="fr-FR"/>
        </w:rPr>
        <w:t>Ou</w:t>
      </w:r>
      <w:r w:rsidRPr="0001518A">
        <w:rPr>
          <w:rFonts w:ascii="Times New Roman" w:eastAsia="Times New Roman" w:hAnsi="Times New Roman"/>
          <w:bCs/>
          <w:color w:val="00B050"/>
          <w:sz w:val="24"/>
          <w:szCs w:val="24"/>
          <w:lang w:eastAsia="fr-FR"/>
        </w:rPr>
        <w:t xml:space="preserve"> </w:t>
      </w:r>
      <w:r w:rsidRPr="0001518A">
        <w:rPr>
          <w:rFonts w:ascii="Times New Roman" w:eastAsia="Times New Roman" w:hAnsi="Times New Roman"/>
          <w:bCs/>
          <w:color w:val="000000"/>
          <w:sz w:val="24"/>
          <w:szCs w:val="24"/>
          <w:lang w:eastAsia="fr-FR"/>
        </w:rPr>
        <w:t>Acomptes 2 et 3 de 2012 = Acompte 1 de 2013 = 7 500</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
          <w:bCs/>
          <w:color w:val="000000"/>
          <w:sz w:val="24"/>
          <w:szCs w:val="24"/>
          <w:lang w:eastAsia="fr-FR"/>
        </w:rPr>
      </w:pPr>
    </w:p>
    <w:p w:rsidR="0001518A" w:rsidRPr="0001518A" w:rsidRDefault="00CE6B18" w:rsidP="0001518A">
      <w:pPr>
        <w:tabs>
          <w:tab w:val="left" w:pos="851"/>
          <w:tab w:val="left" w:pos="1418"/>
        </w:tabs>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1.</w:t>
      </w:r>
      <w:r w:rsidR="0001518A" w:rsidRPr="0001518A">
        <w:rPr>
          <w:rFonts w:ascii="Times New Roman" w:eastAsia="Times New Roman" w:hAnsi="Times New Roman"/>
          <w:b/>
          <w:bCs/>
          <w:color w:val="000000"/>
          <w:sz w:val="24"/>
          <w:szCs w:val="24"/>
          <w:lang w:eastAsia="fr-FR"/>
        </w:rPr>
        <w:t>2 Étudier et justifier la possibilité de diminuer le montant versé au titre de ce premier acompte</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ab/>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70C0"/>
          <w:sz w:val="24"/>
          <w:szCs w:val="24"/>
          <w:lang w:eastAsia="fr-FR"/>
        </w:rPr>
      </w:pPr>
      <w:r w:rsidRPr="0001518A">
        <w:rPr>
          <w:rFonts w:ascii="Times New Roman" w:eastAsia="Times New Roman" w:hAnsi="Times New Roman"/>
          <w:bCs/>
          <w:color w:val="000000"/>
          <w:sz w:val="24"/>
          <w:szCs w:val="24"/>
          <w:lang w:eastAsia="fr-FR"/>
        </w:rPr>
        <w:t>L’entreprise peut moduler à la baisse son acompte si la TVA trimestrielle réellement due est inférieure à 90% de l’acompte à verser.</w:t>
      </w:r>
    </w:p>
    <w:p w:rsidR="008C30E2"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TVA réellement due au  premier trimestre 2013 dans la perspective d’une modulation d’acompte.</w:t>
      </w:r>
      <w:bookmarkStart w:id="0" w:name="_GoBack"/>
      <w:bookmarkEnd w:id="0"/>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2921"/>
      </w:tblGrid>
      <w:tr w:rsidR="0001518A" w:rsidRPr="0001518A" w:rsidTr="00DD23EA">
        <w:trPr>
          <w:jc w:val="center"/>
        </w:trPr>
        <w:tc>
          <w:tcPr>
            <w:tcW w:w="5843" w:type="dxa"/>
            <w:tcBorders>
              <w:bottom w:val="nil"/>
            </w:tcBorders>
          </w:tcPr>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TVA collectée sur les ventes de biens </w:t>
            </w:r>
          </w:p>
        </w:tc>
        <w:tc>
          <w:tcPr>
            <w:tcW w:w="2921" w:type="dxa"/>
            <w:tcBorders>
              <w:bottom w:val="nil"/>
            </w:tcBorders>
          </w:tcPr>
          <w:p w:rsidR="0001518A" w:rsidRPr="0001518A" w:rsidRDefault="0001518A" w:rsidP="0001518A">
            <w:pPr>
              <w:tabs>
                <w:tab w:val="left" w:pos="851"/>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+ 10 000 €</w:t>
            </w:r>
          </w:p>
        </w:tc>
      </w:tr>
      <w:tr w:rsidR="0001518A" w:rsidRPr="0001518A" w:rsidTr="00DD23EA">
        <w:trPr>
          <w:jc w:val="center"/>
        </w:trPr>
        <w:tc>
          <w:tcPr>
            <w:tcW w:w="5843" w:type="dxa"/>
            <w:tcBorders>
              <w:top w:val="nil"/>
              <w:bottom w:val="nil"/>
            </w:tcBorders>
          </w:tcPr>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TVA collectée sur cession de biens immobilisés </w:t>
            </w:r>
          </w:p>
        </w:tc>
        <w:tc>
          <w:tcPr>
            <w:tcW w:w="2921" w:type="dxa"/>
            <w:tcBorders>
              <w:top w:val="nil"/>
              <w:bottom w:val="nil"/>
            </w:tcBorders>
          </w:tcPr>
          <w:p w:rsidR="0001518A" w:rsidRPr="0001518A" w:rsidRDefault="0001518A" w:rsidP="0001518A">
            <w:pPr>
              <w:tabs>
                <w:tab w:val="left" w:pos="851"/>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+ 1 000 €</w:t>
            </w:r>
          </w:p>
        </w:tc>
      </w:tr>
      <w:tr w:rsidR="0001518A" w:rsidRPr="0001518A" w:rsidTr="00DD23EA">
        <w:trPr>
          <w:jc w:val="center"/>
        </w:trPr>
        <w:tc>
          <w:tcPr>
            <w:tcW w:w="5843" w:type="dxa"/>
            <w:tcBorders>
              <w:top w:val="nil"/>
              <w:bottom w:val="nil"/>
            </w:tcBorders>
          </w:tcPr>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TVA déductible sur immobilisation </w:t>
            </w:r>
          </w:p>
        </w:tc>
        <w:tc>
          <w:tcPr>
            <w:tcW w:w="2921" w:type="dxa"/>
            <w:tcBorders>
              <w:top w:val="nil"/>
              <w:bottom w:val="nil"/>
            </w:tcBorders>
          </w:tcPr>
          <w:p w:rsidR="0001518A" w:rsidRPr="0001518A" w:rsidRDefault="0001518A" w:rsidP="0001518A">
            <w:pPr>
              <w:tabs>
                <w:tab w:val="left" w:pos="851"/>
                <w:tab w:val="left" w:pos="1418"/>
              </w:tabs>
              <w:spacing w:after="0" w:line="240" w:lineRule="auto"/>
              <w:ind w:left="1725"/>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- 500 €</w:t>
            </w:r>
          </w:p>
        </w:tc>
      </w:tr>
      <w:tr w:rsidR="0001518A" w:rsidRPr="0001518A" w:rsidTr="00DD23EA">
        <w:trPr>
          <w:jc w:val="center"/>
        </w:trPr>
        <w:tc>
          <w:tcPr>
            <w:tcW w:w="5843" w:type="dxa"/>
            <w:tcBorders>
              <w:top w:val="nil"/>
            </w:tcBorders>
          </w:tcPr>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TVA  déductible sur les autres biens et services</w:t>
            </w:r>
          </w:p>
        </w:tc>
        <w:tc>
          <w:tcPr>
            <w:tcW w:w="2921" w:type="dxa"/>
            <w:tcBorders>
              <w:top w:val="nil"/>
            </w:tcBorders>
          </w:tcPr>
          <w:p w:rsidR="0001518A" w:rsidRPr="0001518A" w:rsidRDefault="0001518A" w:rsidP="0001518A">
            <w:pPr>
              <w:tabs>
                <w:tab w:val="left" w:pos="851"/>
                <w:tab w:val="left" w:pos="1418"/>
              </w:tabs>
              <w:spacing w:after="0" w:line="240" w:lineRule="auto"/>
              <w:ind w:left="1725"/>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- 8 000 €</w:t>
            </w:r>
          </w:p>
        </w:tc>
      </w:tr>
      <w:tr w:rsidR="0001518A" w:rsidRPr="0001518A" w:rsidTr="00CE6B18">
        <w:trPr>
          <w:jc w:val="center"/>
        </w:trPr>
        <w:tc>
          <w:tcPr>
            <w:tcW w:w="5843" w:type="dxa"/>
          </w:tcPr>
          <w:p w:rsidR="0001518A" w:rsidRPr="0001518A" w:rsidRDefault="0001518A" w:rsidP="0001518A">
            <w:pPr>
              <w:tabs>
                <w:tab w:val="left" w:pos="851"/>
                <w:tab w:val="left" w:pos="1418"/>
              </w:tabs>
              <w:spacing w:after="0" w:line="240" w:lineRule="auto"/>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Total TVA due au titre du premier trimestre</w:t>
            </w:r>
          </w:p>
        </w:tc>
        <w:tc>
          <w:tcPr>
            <w:tcW w:w="2921" w:type="dxa"/>
            <w:shd w:val="clear" w:color="auto" w:fill="BFBFBF"/>
          </w:tcPr>
          <w:p w:rsidR="0001518A" w:rsidRPr="0001518A" w:rsidRDefault="0001518A" w:rsidP="0001518A">
            <w:pPr>
              <w:tabs>
                <w:tab w:val="left" w:pos="851"/>
                <w:tab w:val="left" w:pos="1418"/>
              </w:tabs>
              <w:spacing w:after="0" w:line="240" w:lineRule="auto"/>
              <w:jc w:val="right"/>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+ 2 500 €</w:t>
            </w:r>
          </w:p>
        </w:tc>
      </w:tr>
    </w:tbl>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2 500 € est inférieur à 7 500 – 7 500 * 10% ou 7 500 * 90% soit </w:t>
      </w:r>
      <w:r w:rsidRPr="0001518A">
        <w:rPr>
          <w:rFonts w:ascii="Times New Roman" w:eastAsia="Times New Roman" w:hAnsi="Times New Roman"/>
          <w:b/>
          <w:bCs/>
          <w:color w:val="000000"/>
          <w:sz w:val="24"/>
          <w:szCs w:val="24"/>
          <w:lang w:eastAsia="fr-FR"/>
        </w:rPr>
        <w:t>6 750</w:t>
      </w:r>
      <w:r w:rsidRPr="0001518A">
        <w:rPr>
          <w:rFonts w:ascii="Times New Roman" w:eastAsia="Times New Roman" w:hAnsi="Times New Roman"/>
          <w:bCs/>
          <w:color w:val="000000"/>
          <w:sz w:val="24"/>
          <w:szCs w:val="24"/>
          <w:lang w:eastAsia="fr-FR"/>
        </w:rPr>
        <w:t xml:space="preserve"> €</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
          <w:bCs/>
          <w:color w:val="0070C0"/>
          <w:sz w:val="24"/>
          <w:szCs w:val="24"/>
          <w:lang w:eastAsia="fr-FR"/>
        </w:rPr>
      </w:pPr>
      <w:r w:rsidRPr="0001518A">
        <w:rPr>
          <w:rFonts w:ascii="Times New Roman" w:eastAsia="Times New Roman" w:hAnsi="Times New Roman"/>
          <w:bCs/>
          <w:color w:val="000000"/>
          <w:sz w:val="24"/>
          <w:szCs w:val="24"/>
          <w:lang w:eastAsia="fr-FR"/>
        </w:rPr>
        <w:t xml:space="preserve">La somme à payer peut être réduite à </w:t>
      </w:r>
      <w:r w:rsidRPr="0001518A">
        <w:rPr>
          <w:rFonts w:ascii="Times New Roman" w:eastAsia="Times New Roman" w:hAnsi="Times New Roman"/>
          <w:b/>
          <w:bCs/>
          <w:color w:val="000000"/>
          <w:sz w:val="24"/>
          <w:szCs w:val="24"/>
          <w:lang w:eastAsia="fr-FR"/>
        </w:rPr>
        <w:t>2 500</w:t>
      </w:r>
      <w:r w:rsidRPr="0001518A">
        <w:rPr>
          <w:rFonts w:ascii="Times New Roman" w:eastAsia="Times New Roman" w:hAnsi="Times New Roman"/>
          <w:bCs/>
          <w:color w:val="000000"/>
          <w:sz w:val="24"/>
          <w:szCs w:val="24"/>
          <w:lang w:eastAsia="fr-FR"/>
        </w:rPr>
        <w:t xml:space="preserve"> €.</w:t>
      </w:r>
    </w:p>
    <w:p w:rsidR="0001518A" w:rsidRDefault="0001518A" w:rsidP="0001518A">
      <w:pPr>
        <w:tabs>
          <w:tab w:val="left" w:pos="851"/>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Aucun remboursement de la TVA déductible sur immobilisations ne peut être demandé car son montant est inférieur à 760 €.</w:t>
      </w:r>
    </w:p>
    <w:p w:rsidR="0001518A" w:rsidRDefault="0001518A" w:rsidP="0001518A">
      <w:pPr>
        <w:tabs>
          <w:tab w:val="left" w:pos="851"/>
          <w:tab w:val="left" w:pos="1418"/>
        </w:tabs>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br w:type="page"/>
      </w:r>
    </w:p>
    <w:p w:rsidR="0001518A" w:rsidRPr="0001518A" w:rsidRDefault="0001518A" w:rsidP="0001518A">
      <w:pPr>
        <w:tabs>
          <w:tab w:val="left" w:pos="851"/>
          <w:tab w:val="left" w:pos="1418"/>
        </w:tabs>
        <w:spacing w:after="0" w:line="240" w:lineRule="auto"/>
        <w:rPr>
          <w:rFonts w:ascii="Times New Roman" w:eastAsia="Times New Roman" w:hAnsi="Times New Roman"/>
          <w:bCs/>
          <w:sz w:val="24"/>
          <w:szCs w:val="24"/>
          <w:lang w:eastAsia="fr-FR"/>
        </w:rPr>
      </w:pPr>
    </w:p>
    <w:p w:rsidR="0001518A" w:rsidRDefault="00CE6B18" w:rsidP="0001518A">
      <w:pPr>
        <w:tabs>
          <w:tab w:val="left" w:pos="851"/>
          <w:tab w:val="left" w:pos="1418"/>
        </w:tabs>
        <w:spacing w:after="0" w:line="240" w:lineRule="auto"/>
        <w:rPr>
          <w:rFonts w:ascii="Times New Roman" w:eastAsia="Times New Roman" w:hAnsi="Times New Roman"/>
          <w:b/>
          <w:sz w:val="24"/>
          <w:szCs w:val="24"/>
          <w:lang w:eastAsia="fr-FR"/>
        </w:rPr>
      </w:pPr>
      <w:r>
        <w:rPr>
          <w:rFonts w:ascii="Times New Roman" w:eastAsia="Times New Roman" w:hAnsi="Times New Roman"/>
          <w:b/>
          <w:bCs/>
          <w:color w:val="000000"/>
          <w:sz w:val="24"/>
          <w:szCs w:val="24"/>
          <w:lang w:eastAsia="fr-FR"/>
        </w:rPr>
        <w:t>1.</w:t>
      </w:r>
      <w:r w:rsidR="0001518A" w:rsidRPr="0001518A">
        <w:rPr>
          <w:rFonts w:ascii="Times New Roman" w:eastAsia="Times New Roman" w:hAnsi="Times New Roman"/>
          <w:b/>
          <w:bCs/>
          <w:color w:val="000000"/>
          <w:sz w:val="24"/>
          <w:szCs w:val="24"/>
          <w:lang w:eastAsia="fr-FR"/>
        </w:rPr>
        <w:t xml:space="preserve">3 </w:t>
      </w:r>
      <w:r w:rsidR="0001518A" w:rsidRPr="0001518A">
        <w:rPr>
          <w:rFonts w:ascii="Times New Roman" w:eastAsia="Times New Roman" w:hAnsi="Times New Roman"/>
          <w:b/>
          <w:sz w:val="24"/>
          <w:szCs w:val="24"/>
          <w:lang w:eastAsia="fr-FR"/>
        </w:rPr>
        <w:t>Calculer la TVA due au titre de l’exercice 2013</w:t>
      </w:r>
    </w:p>
    <w:p w:rsidR="0001518A" w:rsidRPr="0001518A" w:rsidRDefault="0001518A" w:rsidP="0001518A">
      <w:pPr>
        <w:tabs>
          <w:tab w:val="left" w:pos="851"/>
          <w:tab w:val="left" w:pos="1418"/>
        </w:tabs>
        <w:spacing w:after="0" w:line="240" w:lineRule="auto"/>
        <w:rPr>
          <w:rFonts w:ascii="Times New Roman" w:eastAsia="Times New Roman" w:hAnsi="Times New Roman"/>
          <w:b/>
          <w:color w:val="FF0000"/>
          <w:sz w:val="24"/>
          <w:szCs w:val="24"/>
          <w:lang w:eastAsia="fr-FR"/>
        </w:rPr>
      </w:pPr>
    </w:p>
    <w:p w:rsidR="0001518A" w:rsidRPr="0001518A" w:rsidRDefault="0001518A" w:rsidP="0001518A">
      <w:pPr>
        <w:spacing w:after="0" w:line="120" w:lineRule="exact"/>
        <w:ind w:left="357"/>
        <w:rPr>
          <w:rFonts w:ascii="Times New Roman" w:eastAsia="Times New Roman" w:hAnsi="Times New Roman"/>
          <w:b/>
          <w:sz w:val="24"/>
          <w:szCs w:val="24"/>
          <w:lang w:eastAsia="fr-FR"/>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5"/>
        <w:gridCol w:w="1523"/>
        <w:gridCol w:w="1476"/>
      </w:tblGrid>
      <w:tr w:rsidR="00F7022E" w:rsidRPr="0001518A" w:rsidTr="00CE6B18">
        <w:trPr>
          <w:tblHeader/>
          <w:jc w:val="center"/>
        </w:trPr>
        <w:tc>
          <w:tcPr>
            <w:tcW w:w="6215" w:type="dxa"/>
            <w:shd w:val="clear" w:color="auto" w:fill="BFBFBF"/>
            <w:vAlign w:val="center"/>
          </w:tcPr>
          <w:p w:rsidR="0001518A" w:rsidRPr="0001518A" w:rsidRDefault="0001518A" w:rsidP="0001518A">
            <w:pPr>
              <w:spacing w:after="0" w:line="240" w:lineRule="auto"/>
              <w:rPr>
                <w:rFonts w:ascii="Times New Roman" w:eastAsia="Times New Roman" w:hAnsi="Times New Roman"/>
                <w:b/>
                <w:sz w:val="24"/>
                <w:szCs w:val="24"/>
                <w:lang w:eastAsia="fr-FR"/>
              </w:rPr>
            </w:pPr>
            <w:r w:rsidRPr="0001518A">
              <w:rPr>
                <w:rFonts w:ascii="Times New Roman" w:eastAsia="Times New Roman" w:hAnsi="Times New Roman"/>
                <w:b/>
                <w:sz w:val="24"/>
                <w:szCs w:val="24"/>
                <w:lang w:eastAsia="fr-FR"/>
              </w:rPr>
              <w:t xml:space="preserve">Analyse fiscale des opérations en euros </w:t>
            </w:r>
          </w:p>
        </w:tc>
        <w:tc>
          <w:tcPr>
            <w:tcW w:w="1523" w:type="dxa"/>
            <w:shd w:val="clear" w:color="auto" w:fill="BFBFBF"/>
            <w:vAlign w:val="center"/>
          </w:tcPr>
          <w:p w:rsidR="0001518A" w:rsidRPr="0001518A" w:rsidRDefault="0001518A" w:rsidP="0001518A">
            <w:pPr>
              <w:spacing w:after="0" w:line="240" w:lineRule="auto"/>
              <w:jc w:val="center"/>
              <w:rPr>
                <w:rFonts w:ascii="Times New Roman" w:eastAsia="Times New Roman" w:hAnsi="Times New Roman"/>
                <w:b/>
                <w:sz w:val="24"/>
                <w:szCs w:val="24"/>
                <w:lang w:eastAsia="fr-FR"/>
              </w:rPr>
            </w:pPr>
            <w:r w:rsidRPr="0001518A">
              <w:rPr>
                <w:rFonts w:ascii="Times New Roman" w:eastAsia="Times New Roman" w:hAnsi="Times New Roman"/>
                <w:b/>
                <w:sz w:val="24"/>
                <w:szCs w:val="24"/>
                <w:lang w:eastAsia="fr-FR"/>
              </w:rPr>
              <w:t>TVA exigible</w:t>
            </w:r>
          </w:p>
        </w:tc>
        <w:tc>
          <w:tcPr>
            <w:tcW w:w="1476" w:type="dxa"/>
            <w:shd w:val="clear" w:color="auto" w:fill="BFBFBF"/>
            <w:vAlign w:val="center"/>
          </w:tcPr>
          <w:p w:rsidR="0001518A" w:rsidRPr="0001518A" w:rsidRDefault="0001518A" w:rsidP="0001518A">
            <w:pPr>
              <w:spacing w:after="0" w:line="240" w:lineRule="auto"/>
              <w:jc w:val="center"/>
              <w:rPr>
                <w:rFonts w:ascii="Times New Roman" w:eastAsia="Times New Roman" w:hAnsi="Times New Roman"/>
                <w:b/>
                <w:sz w:val="24"/>
                <w:szCs w:val="24"/>
                <w:lang w:eastAsia="fr-FR"/>
              </w:rPr>
            </w:pPr>
            <w:r w:rsidRPr="0001518A">
              <w:rPr>
                <w:rFonts w:ascii="Times New Roman" w:eastAsia="Times New Roman" w:hAnsi="Times New Roman"/>
                <w:b/>
                <w:sz w:val="24"/>
                <w:szCs w:val="24"/>
                <w:lang w:eastAsia="fr-FR"/>
              </w:rPr>
              <w:t>TVA déductible</w:t>
            </w:r>
          </w:p>
        </w:tc>
      </w:tr>
      <w:tr w:rsidR="0001518A" w:rsidRPr="0001518A" w:rsidTr="00DD23EA">
        <w:trPr>
          <w:jc w:val="center"/>
        </w:trPr>
        <w:tc>
          <w:tcPr>
            <w:tcW w:w="6215" w:type="dxa"/>
            <w:vAlign w:val="center"/>
          </w:tcPr>
          <w:p w:rsidR="0001518A" w:rsidRPr="0001518A" w:rsidRDefault="0001518A" w:rsidP="0001518A">
            <w:pPr>
              <w:spacing w:before="115" w:after="0" w:line="240" w:lineRule="auto"/>
              <w:rPr>
                <w:rFonts w:ascii="Times New Roman" w:eastAsia="Times New Roman" w:hAnsi="Times New Roman"/>
                <w:color w:val="000000"/>
                <w:spacing w:val="1"/>
                <w:sz w:val="24"/>
                <w:szCs w:val="24"/>
                <w:lang w:eastAsia="fr-FR"/>
              </w:rPr>
            </w:pPr>
            <w:r w:rsidRPr="0001518A">
              <w:rPr>
                <w:rFonts w:ascii="Times New Roman" w:eastAsia="Times New Roman" w:hAnsi="Times New Roman"/>
                <w:color w:val="000000"/>
                <w:spacing w:val="1"/>
                <w:sz w:val="24"/>
                <w:szCs w:val="24"/>
                <w:lang w:eastAsia="fr-FR"/>
              </w:rPr>
              <w:t>Livraison de biens en France, normalement imposable par nature, exigibilité à la livraison/facturation</w:t>
            </w:r>
            <w:r w:rsidRPr="0001518A">
              <w:rPr>
                <w:rFonts w:ascii="Times New Roman" w:eastAsia="Times New Roman" w:hAnsi="Times New Roman"/>
                <w:color w:val="000000"/>
                <w:spacing w:val="1"/>
                <w:sz w:val="24"/>
                <w:szCs w:val="24"/>
                <w:lang w:eastAsia="fr-FR"/>
              </w:rPr>
              <w:br/>
              <w:t>300 000 * 0,20</w:t>
            </w:r>
          </w:p>
        </w:tc>
        <w:tc>
          <w:tcPr>
            <w:tcW w:w="1523"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p w:rsidR="0001518A" w:rsidRPr="0001518A" w:rsidRDefault="0001518A" w:rsidP="0001518A">
            <w:pPr>
              <w:spacing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60 000</w:t>
            </w:r>
          </w:p>
        </w:tc>
        <w:tc>
          <w:tcPr>
            <w:tcW w:w="1476"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vAlign w:val="center"/>
          </w:tcPr>
          <w:p w:rsidR="0001518A" w:rsidRPr="0001518A" w:rsidRDefault="0001518A" w:rsidP="0001518A">
            <w:pPr>
              <w:spacing w:before="115" w:after="0" w:line="240" w:lineRule="auto"/>
              <w:rPr>
                <w:rFonts w:ascii="Times New Roman" w:eastAsia="Times New Roman" w:hAnsi="Times New Roman"/>
                <w:color w:val="000000"/>
                <w:spacing w:val="1"/>
                <w:sz w:val="24"/>
                <w:szCs w:val="24"/>
                <w:lang w:eastAsia="fr-FR"/>
              </w:rPr>
            </w:pPr>
            <w:r w:rsidRPr="0001518A">
              <w:rPr>
                <w:rFonts w:ascii="Times New Roman" w:eastAsia="Times New Roman" w:hAnsi="Times New Roman"/>
                <w:color w:val="000000"/>
                <w:spacing w:val="1"/>
                <w:sz w:val="24"/>
                <w:szCs w:val="24"/>
                <w:lang w:eastAsia="fr-FR"/>
              </w:rPr>
              <w:t>Livraison de biens en Italie : livraison intracommunautaire exonérée.</w:t>
            </w:r>
          </w:p>
        </w:tc>
        <w:tc>
          <w:tcPr>
            <w:tcW w:w="1523"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c>
          <w:tcPr>
            <w:tcW w:w="1476"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tcBorders>
              <w:bottom w:val="single" w:sz="4" w:space="0" w:color="auto"/>
            </w:tcBorders>
            <w:vAlign w:val="center"/>
          </w:tcPr>
          <w:p w:rsidR="0001518A" w:rsidRPr="0001518A" w:rsidRDefault="0001518A" w:rsidP="0001518A">
            <w:pPr>
              <w:spacing w:before="115" w:after="0" w:line="240" w:lineRule="auto"/>
              <w:rPr>
                <w:rFonts w:ascii="Times New Roman" w:eastAsia="Times New Roman" w:hAnsi="Times New Roman"/>
                <w:color w:val="000000"/>
                <w:spacing w:val="1"/>
                <w:sz w:val="24"/>
                <w:szCs w:val="24"/>
                <w:lang w:eastAsia="fr-FR"/>
              </w:rPr>
            </w:pPr>
          </w:p>
          <w:p w:rsidR="0001518A" w:rsidRPr="0001518A" w:rsidRDefault="0001518A" w:rsidP="0001518A">
            <w:pPr>
              <w:spacing w:before="115" w:after="0" w:line="240" w:lineRule="auto"/>
              <w:rPr>
                <w:rFonts w:ascii="Times New Roman" w:eastAsia="Times New Roman" w:hAnsi="Times New Roman"/>
                <w:color w:val="000000"/>
                <w:spacing w:val="1"/>
                <w:sz w:val="24"/>
                <w:szCs w:val="24"/>
                <w:lang w:eastAsia="fr-FR"/>
              </w:rPr>
            </w:pPr>
            <w:r w:rsidRPr="0001518A">
              <w:rPr>
                <w:rFonts w:ascii="Times New Roman" w:eastAsia="Times New Roman" w:hAnsi="Times New Roman"/>
                <w:color w:val="000000"/>
                <w:spacing w:val="1"/>
                <w:sz w:val="24"/>
                <w:szCs w:val="24"/>
                <w:lang w:eastAsia="fr-FR"/>
              </w:rPr>
              <w:t>Livraison en Suisse : exportation exonérée.</w:t>
            </w:r>
          </w:p>
        </w:tc>
        <w:tc>
          <w:tcPr>
            <w:tcW w:w="1523" w:type="dxa"/>
            <w:tcBorders>
              <w:bottom w:val="single" w:sz="4" w:space="0" w:color="auto"/>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c>
          <w:tcPr>
            <w:tcW w:w="1476" w:type="dxa"/>
            <w:tcBorders>
              <w:bottom w:val="single" w:sz="4" w:space="0" w:color="auto"/>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tcBorders>
              <w:bottom w:val="nil"/>
            </w:tcBorders>
            <w:vAlign w:val="center"/>
          </w:tcPr>
          <w:p w:rsidR="0001518A" w:rsidRPr="0001518A" w:rsidRDefault="0001518A" w:rsidP="0001518A">
            <w:pPr>
              <w:shd w:val="clear" w:color="auto" w:fill="FFFFFF"/>
              <w:tabs>
                <w:tab w:val="left" w:pos="466"/>
              </w:tabs>
              <w:spacing w:before="53" w:after="0" w:line="240" w:lineRule="auto"/>
              <w:rPr>
                <w:rFonts w:ascii="Times New Roman" w:eastAsia="Times New Roman" w:hAnsi="Times New Roman"/>
                <w:color w:val="00B050"/>
                <w:spacing w:val="1"/>
                <w:sz w:val="24"/>
                <w:szCs w:val="24"/>
                <w:lang w:eastAsia="fr-FR"/>
              </w:rPr>
            </w:pPr>
            <w:r w:rsidRPr="0001518A">
              <w:rPr>
                <w:rFonts w:ascii="Times New Roman" w:eastAsia="Times New Roman" w:hAnsi="Times New Roman"/>
                <w:color w:val="000000"/>
                <w:spacing w:val="-2"/>
                <w:sz w:val="24"/>
                <w:szCs w:val="24"/>
                <w:lang w:eastAsia="fr-FR"/>
              </w:rPr>
              <w:t xml:space="preserve">Travaux et études en France : prestations de services pour lesquelles </w:t>
            </w:r>
            <w:smartTag w:uri="urn:schemas-microsoft-com:office:smarttags" w:element="PersonName">
              <w:smartTagPr>
                <w:attr w:name="ProductID" w:val="la TVA"/>
              </w:smartTagPr>
              <w:r w:rsidRPr="0001518A">
                <w:rPr>
                  <w:rFonts w:ascii="Times New Roman" w:eastAsia="Times New Roman" w:hAnsi="Times New Roman"/>
                  <w:color w:val="000000"/>
                  <w:spacing w:val="-2"/>
                  <w:sz w:val="24"/>
                  <w:szCs w:val="24"/>
                  <w:lang w:eastAsia="fr-FR"/>
                </w:rPr>
                <w:t>la TVA</w:t>
              </w:r>
            </w:smartTag>
            <w:r w:rsidRPr="0001518A">
              <w:rPr>
                <w:rFonts w:ascii="Times New Roman" w:eastAsia="Times New Roman" w:hAnsi="Times New Roman"/>
                <w:color w:val="000000"/>
                <w:spacing w:val="-2"/>
                <w:sz w:val="24"/>
                <w:szCs w:val="24"/>
                <w:lang w:eastAsia="fr-FR"/>
              </w:rPr>
              <w:t xml:space="preserve"> est exigible à l'encaissement: </w:t>
            </w:r>
            <w:r w:rsidRPr="0001518A">
              <w:rPr>
                <w:rFonts w:ascii="Times New Roman" w:eastAsia="Times New Roman" w:hAnsi="Times New Roman"/>
                <w:color w:val="000000"/>
                <w:spacing w:val="-2"/>
                <w:sz w:val="24"/>
                <w:szCs w:val="24"/>
                <w:lang w:eastAsia="fr-FR"/>
              </w:rPr>
              <w:br/>
              <w:t>(120 000/1,2) * 0,20</w:t>
            </w:r>
          </w:p>
        </w:tc>
        <w:tc>
          <w:tcPr>
            <w:tcW w:w="1523" w:type="dxa"/>
            <w:tcBorders>
              <w:bottom w:val="nil"/>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20 000</w:t>
            </w:r>
          </w:p>
        </w:tc>
        <w:tc>
          <w:tcPr>
            <w:tcW w:w="1476" w:type="dxa"/>
            <w:tcBorders>
              <w:bottom w:val="nil"/>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tcBorders>
              <w:top w:val="nil"/>
            </w:tcBorders>
            <w:vAlign w:val="center"/>
          </w:tcPr>
          <w:p w:rsidR="0001518A" w:rsidRPr="0001518A" w:rsidRDefault="0001518A" w:rsidP="0001518A">
            <w:pPr>
              <w:shd w:val="clear" w:color="auto" w:fill="FFFFFF"/>
              <w:tabs>
                <w:tab w:val="left" w:pos="466"/>
              </w:tabs>
              <w:spacing w:before="72" w:after="0" w:line="240" w:lineRule="auto"/>
              <w:rPr>
                <w:rFonts w:ascii="Times New Roman" w:eastAsia="Times New Roman" w:hAnsi="Times New Roman"/>
                <w:color w:val="00B050"/>
                <w:spacing w:val="-2"/>
                <w:sz w:val="24"/>
                <w:szCs w:val="24"/>
                <w:lang w:eastAsia="fr-FR"/>
              </w:rPr>
            </w:pPr>
            <w:r w:rsidRPr="0001518A">
              <w:rPr>
                <w:rFonts w:ascii="Times New Roman" w:eastAsia="Times New Roman" w:hAnsi="Times New Roman"/>
                <w:color w:val="000000"/>
                <w:sz w:val="24"/>
                <w:szCs w:val="24"/>
                <w:lang w:eastAsia="fr-FR"/>
              </w:rPr>
              <w:t xml:space="preserve">Avances sur études en France : </w:t>
            </w:r>
            <w:smartTag w:uri="urn:schemas-microsoft-com:office:smarttags" w:element="PersonName">
              <w:smartTagPr>
                <w:attr w:name="ProductID" w:val="la TVA"/>
              </w:smartTagPr>
              <w:r w:rsidRPr="0001518A">
                <w:rPr>
                  <w:rFonts w:ascii="Times New Roman" w:eastAsia="Times New Roman" w:hAnsi="Times New Roman"/>
                  <w:color w:val="000000"/>
                  <w:sz w:val="24"/>
                  <w:szCs w:val="24"/>
                  <w:lang w:eastAsia="fr-FR"/>
                </w:rPr>
                <w:t>la TVA</w:t>
              </w:r>
            </w:smartTag>
            <w:r w:rsidRPr="0001518A">
              <w:rPr>
                <w:rFonts w:ascii="Times New Roman" w:eastAsia="Times New Roman" w:hAnsi="Times New Roman"/>
                <w:color w:val="000000"/>
                <w:sz w:val="24"/>
                <w:szCs w:val="24"/>
                <w:lang w:eastAsia="fr-FR"/>
              </w:rPr>
              <w:t xml:space="preserve"> est exigible (même lorsque l'entreprise opte pour le paiem</w:t>
            </w:r>
            <w:r w:rsidRPr="0001518A">
              <w:rPr>
                <w:rFonts w:ascii="Times New Roman" w:eastAsia="Times New Roman" w:hAnsi="Times New Roman"/>
                <w:color w:val="000000"/>
                <w:spacing w:val="3"/>
                <w:sz w:val="24"/>
                <w:szCs w:val="24"/>
                <w:lang w:eastAsia="fr-FR"/>
              </w:rPr>
              <w:t xml:space="preserve">ent de </w:t>
            </w:r>
            <w:smartTag w:uri="urn:schemas-microsoft-com:office:smarttags" w:element="PersonName">
              <w:smartTagPr>
                <w:attr w:name="ProductID" w:val="la TVA"/>
              </w:smartTagPr>
              <w:r w:rsidRPr="0001518A">
                <w:rPr>
                  <w:rFonts w:ascii="Times New Roman" w:eastAsia="Times New Roman" w:hAnsi="Times New Roman"/>
                  <w:color w:val="000000"/>
                  <w:spacing w:val="3"/>
                  <w:sz w:val="24"/>
                  <w:szCs w:val="24"/>
                  <w:lang w:eastAsia="fr-FR"/>
                </w:rPr>
                <w:t>la TVA</w:t>
              </w:r>
            </w:smartTag>
            <w:r w:rsidRPr="0001518A">
              <w:rPr>
                <w:rFonts w:ascii="Times New Roman" w:eastAsia="Times New Roman" w:hAnsi="Times New Roman"/>
                <w:color w:val="000000"/>
                <w:spacing w:val="3"/>
                <w:sz w:val="24"/>
                <w:szCs w:val="24"/>
                <w:lang w:eastAsia="fr-FR"/>
              </w:rPr>
              <w:t xml:space="preserve"> d'après les «débits »)</w:t>
            </w:r>
            <w:r w:rsidRPr="0001518A">
              <w:rPr>
                <w:rFonts w:ascii="Times New Roman" w:eastAsia="Times New Roman" w:hAnsi="Times New Roman"/>
                <w:color w:val="000000"/>
                <w:spacing w:val="3"/>
                <w:sz w:val="24"/>
                <w:szCs w:val="24"/>
                <w:lang w:eastAsia="fr-FR"/>
              </w:rPr>
              <w:br/>
            </w:r>
            <w:r w:rsidRPr="0001518A">
              <w:rPr>
                <w:rFonts w:ascii="Times New Roman" w:eastAsia="Times New Roman" w:hAnsi="Times New Roman"/>
                <w:color w:val="000000"/>
                <w:spacing w:val="18"/>
                <w:sz w:val="24"/>
                <w:szCs w:val="24"/>
                <w:lang w:eastAsia="fr-FR"/>
              </w:rPr>
              <w:t>(36 000</w:t>
            </w:r>
            <w:r w:rsidRPr="0001518A">
              <w:rPr>
                <w:rFonts w:ascii="Times New Roman" w:eastAsia="Times New Roman" w:hAnsi="Times New Roman"/>
                <w:color w:val="000000"/>
                <w:spacing w:val="3"/>
                <w:sz w:val="24"/>
                <w:szCs w:val="24"/>
                <w:lang w:eastAsia="fr-FR"/>
              </w:rPr>
              <w:t>/1,2) * 0,20</w:t>
            </w:r>
          </w:p>
        </w:tc>
        <w:tc>
          <w:tcPr>
            <w:tcW w:w="1523" w:type="dxa"/>
            <w:tcBorders>
              <w:top w:val="nil"/>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p w:rsidR="0001518A" w:rsidRPr="0001518A" w:rsidRDefault="0001518A" w:rsidP="0001518A">
            <w:pPr>
              <w:spacing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6 000</w:t>
            </w:r>
          </w:p>
        </w:tc>
        <w:tc>
          <w:tcPr>
            <w:tcW w:w="1476" w:type="dxa"/>
            <w:tcBorders>
              <w:top w:val="nil"/>
            </w:tcBorders>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vAlign w:val="center"/>
          </w:tcPr>
          <w:p w:rsidR="0001518A" w:rsidRPr="0001518A" w:rsidRDefault="0001518A" w:rsidP="0001518A">
            <w:pPr>
              <w:shd w:val="clear" w:color="auto" w:fill="FFFFFF"/>
              <w:tabs>
                <w:tab w:val="left" w:pos="466"/>
              </w:tabs>
              <w:spacing w:before="72" w:after="0" w:line="240" w:lineRule="auto"/>
              <w:rPr>
                <w:rFonts w:ascii="Times New Roman" w:eastAsia="Times New Roman" w:hAnsi="Times New Roman"/>
                <w:color w:val="000000"/>
                <w:spacing w:val="-2"/>
                <w:sz w:val="24"/>
                <w:szCs w:val="24"/>
                <w:lang w:eastAsia="fr-FR"/>
              </w:rPr>
            </w:pPr>
            <w:r w:rsidRPr="0001518A">
              <w:rPr>
                <w:rFonts w:ascii="Times New Roman" w:eastAsia="Times New Roman" w:hAnsi="Times New Roman"/>
                <w:color w:val="000000"/>
                <w:spacing w:val="-2"/>
                <w:sz w:val="24"/>
                <w:szCs w:val="24"/>
                <w:lang w:eastAsia="fr-FR"/>
              </w:rPr>
              <w:t>Travaux et études réalisés en Italie : prestations de services imposées chez le preneur assujetti de service intracommunautaire.</w:t>
            </w:r>
            <w:r w:rsidRPr="0001518A">
              <w:rPr>
                <w:rFonts w:ascii="Times New Roman" w:eastAsia="Times New Roman" w:hAnsi="Times New Roman"/>
                <w:color w:val="000000"/>
                <w:spacing w:val="-2"/>
                <w:sz w:val="24"/>
                <w:szCs w:val="24"/>
                <w:lang w:eastAsia="fr-FR"/>
              </w:rPr>
              <w:br/>
            </w:r>
            <w:smartTag w:uri="urn:schemas-microsoft-com:office:smarttags" w:element="PersonName">
              <w:smartTagPr>
                <w:attr w:name="ProductID" w:val="la TVA"/>
              </w:smartTagPr>
              <w:r w:rsidRPr="0001518A">
                <w:rPr>
                  <w:rFonts w:ascii="Times New Roman" w:eastAsia="Times New Roman" w:hAnsi="Times New Roman"/>
                  <w:color w:val="000000"/>
                  <w:spacing w:val="-2"/>
                  <w:sz w:val="24"/>
                  <w:szCs w:val="24"/>
                  <w:lang w:eastAsia="fr-FR"/>
                </w:rPr>
                <w:t>La TVA</w:t>
              </w:r>
            </w:smartTag>
            <w:r w:rsidRPr="0001518A">
              <w:rPr>
                <w:rFonts w:ascii="Times New Roman" w:eastAsia="Times New Roman" w:hAnsi="Times New Roman"/>
                <w:color w:val="000000"/>
                <w:spacing w:val="-2"/>
                <w:sz w:val="24"/>
                <w:szCs w:val="24"/>
                <w:lang w:eastAsia="fr-FR"/>
              </w:rPr>
              <w:t xml:space="preserve"> française n'est pas </w:t>
            </w:r>
            <w:r w:rsidRPr="0001518A">
              <w:rPr>
                <w:rFonts w:ascii="Times New Roman" w:eastAsia="Times New Roman" w:hAnsi="Times New Roman"/>
                <w:color w:val="000000"/>
                <w:spacing w:val="2"/>
                <w:sz w:val="24"/>
                <w:szCs w:val="24"/>
                <w:lang w:eastAsia="fr-FR"/>
              </w:rPr>
              <w:t>applicable.</w:t>
            </w:r>
          </w:p>
        </w:tc>
        <w:tc>
          <w:tcPr>
            <w:tcW w:w="1523"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c>
          <w:tcPr>
            <w:tcW w:w="1476"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r>
      <w:tr w:rsidR="0001518A" w:rsidRPr="0001518A" w:rsidTr="00DD23EA">
        <w:trPr>
          <w:jc w:val="center"/>
        </w:trPr>
        <w:tc>
          <w:tcPr>
            <w:tcW w:w="6215" w:type="dxa"/>
          </w:tcPr>
          <w:p w:rsidR="0001518A" w:rsidRPr="0001518A" w:rsidRDefault="0001518A" w:rsidP="0001518A">
            <w:pPr>
              <w:shd w:val="clear" w:color="auto" w:fill="FFFFFF"/>
              <w:tabs>
                <w:tab w:val="left" w:pos="466"/>
              </w:tabs>
              <w:spacing w:after="0" w:line="274" w:lineRule="exact"/>
              <w:rPr>
                <w:rFonts w:ascii="Times New Roman" w:eastAsia="Times New Roman" w:hAnsi="Times New Roman"/>
                <w:color w:val="000000"/>
                <w:spacing w:val="2"/>
                <w:sz w:val="24"/>
                <w:szCs w:val="24"/>
                <w:lang w:eastAsia="fr-FR"/>
              </w:rPr>
            </w:pPr>
            <w:r w:rsidRPr="0001518A">
              <w:rPr>
                <w:rFonts w:ascii="Times New Roman" w:eastAsia="Times New Roman" w:hAnsi="Times New Roman"/>
                <w:color w:val="000000"/>
                <w:spacing w:val="2"/>
                <w:sz w:val="24"/>
                <w:szCs w:val="24"/>
                <w:lang w:eastAsia="fr-FR"/>
              </w:rPr>
              <w:t>Achats de biens en France : la livraison de biens ouvre droit à déduction, déductibilité à la livraison/facturation.</w:t>
            </w:r>
          </w:p>
          <w:p w:rsidR="0001518A" w:rsidRPr="0001518A" w:rsidRDefault="0001518A" w:rsidP="0001518A">
            <w:pPr>
              <w:shd w:val="clear" w:color="auto" w:fill="FFFFFF"/>
              <w:tabs>
                <w:tab w:val="left" w:pos="466"/>
              </w:tabs>
              <w:spacing w:after="0" w:line="274" w:lineRule="exact"/>
              <w:rPr>
                <w:rFonts w:ascii="Times New Roman" w:eastAsia="Times New Roman" w:hAnsi="Times New Roman"/>
                <w:color w:val="00B050"/>
                <w:spacing w:val="1"/>
                <w:sz w:val="24"/>
                <w:szCs w:val="24"/>
                <w:lang w:eastAsia="fr-FR"/>
              </w:rPr>
            </w:pPr>
            <w:r w:rsidRPr="0001518A">
              <w:rPr>
                <w:rFonts w:ascii="Times New Roman" w:eastAsia="Times New Roman" w:hAnsi="Times New Roman"/>
                <w:color w:val="000000"/>
                <w:spacing w:val="2"/>
                <w:sz w:val="24"/>
                <w:szCs w:val="24"/>
                <w:lang w:eastAsia="fr-FR"/>
              </w:rPr>
              <w:t>250 000 * 0,20</w:t>
            </w:r>
          </w:p>
        </w:tc>
        <w:tc>
          <w:tcPr>
            <w:tcW w:w="1523"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tc>
        <w:tc>
          <w:tcPr>
            <w:tcW w:w="1476" w:type="dxa"/>
          </w:tcPr>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p>
          <w:p w:rsidR="0001518A" w:rsidRPr="0001518A" w:rsidRDefault="0001518A" w:rsidP="0001518A">
            <w:pPr>
              <w:spacing w:before="115"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color w:val="000000"/>
                <w:spacing w:val="2"/>
                <w:sz w:val="24"/>
                <w:szCs w:val="24"/>
                <w:lang w:eastAsia="fr-FR"/>
              </w:rPr>
              <w:t>50 000</w:t>
            </w:r>
          </w:p>
        </w:tc>
      </w:tr>
      <w:tr w:rsidR="0001518A" w:rsidRPr="0001518A" w:rsidTr="00DD23EA">
        <w:trPr>
          <w:jc w:val="center"/>
        </w:trPr>
        <w:tc>
          <w:tcPr>
            <w:tcW w:w="6215" w:type="dxa"/>
          </w:tcPr>
          <w:p w:rsidR="0001518A" w:rsidRPr="0001518A" w:rsidRDefault="0001518A" w:rsidP="0001518A">
            <w:pPr>
              <w:shd w:val="clear" w:color="auto" w:fill="FFFFFF"/>
              <w:tabs>
                <w:tab w:val="left" w:pos="466"/>
              </w:tabs>
              <w:spacing w:before="5" w:after="0" w:line="274" w:lineRule="exact"/>
              <w:rPr>
                <w:rFonts w:ascii="Times New Roman" w:eastAsia="Times New Roman" w:hAnsi="Times New Roman"/>
                <w:color w:val="00B050"/>
                <w:spacing w:val="2"/>
                <w:sz w:val="24"/>
                <w:szCs w:val="24"/>
                <w:lang w:eastAsia="fr-FR"/>
              </w:rPr>
            </w:pPr>
            <w:r w:rsidRPr="0001518A">
              <w:rPr>
                <w:rFonts w:ascii="Times New Roman" w:eastAsia="Times New Roman" w:hAnsi="Times New Roman"/>
                <w:color w:val="000000"/>
                <w:spacing w:val="2"/>
                <w:sz w:val="24"/>
                <w:szCs w:val="24"/>
                <w:lang w:eastAsia="fr-FR"/>
              </w:rPr>
              <w:t xml:space="preserve">Prestations de services en présence de l’option sur les débits : déduction à la facturation </w:t>
            </w:r>
            <w:r w:rsidRPr="0001518A">
              <w:rPr>
                <w:rFonts w:ascii="Times New Roman" w:eastAsia="Times New Roman" w:hAnsi="Times New Roman"/>
                <w:color w:val="000000"/>
                <w:spacing w:val="2"/>
                <w:sz w:val="24"/>
                <w:szCs w:val="24"/>
                <w:lang w:eastAsia="fr-FR"/>
              </w:rPr>
              <w:br/>
              <w:t>90 000 * 0,20</w:t>
            </w:r>
          </w:p>
        </w:tc>
        <w:tc>
          <w:tcPr>
            <w:tcW w:w="1523" w:type="dxa"/>
          </w:tcPr>
          <w:p w:rsidR="0001518A" w:rsidRPr="0001518A" w:rsidRDefault="0001518A" w:rsidP="0001518A">
            <w:pPr>
              <w:spacing w:before="115" w:after="0" w:line="240" w:lineRule="auto"/>
              <w:ind w:left="1734"/>
              <w:jc w:val="center"/>
              <w:rPr>
                <w:rFonts w:ascii="Times New Roman" w:eastAsia="Times New Roman" w:hAnsi="Times New Roman"/>
                <w:sz w:val="24"/>
                <w:szCs w:val="24"/>
                <w:lang w:eastAsia="fr-FR"/>
              </w:rPr>
            </w:pPr>
          </w:p>
        </w:tc>
        <w:tc>
          <w:tcPr>
            <w:tcW w:w="1476" w:type="dxa"/>
          </w:tcPr>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p>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r w:rsidRPr="0001518A">
              <w:rPr>
                <w:rFonts w:ascii="Times New Roman" w:eastAsia="Times New Roman" w:hAnsi="Times New Roman"/>
                <w:color w:val="000000"/>
                <w:spacing w:val="2"/>
                <w:sz w:val="24"/>
                <w:szCs w:val="24"/>
                <w:lang w:eastAsia="fr-FR"/>
              </w:rPr>
              <w:t>18 000</w:t>
            </w:r>
          </w:p>
        </w:tc>
      </w:tr>
      <w:tr w:rsidR="0001518A" w:rsidRPr="0001518A" w:rsidTr="00DD23EA">
        <w:trPr>
          <w:jc w:val="center"/>
        </w:trPr>
        <w:tc>
          <w:tcPr>
            <w:tcW w:w="6215" w:type="dxa"/>
          </w:tcPr>
          <w:p w:rsidR="0001518A" w:rsidRPr="0001518A" w:rsidRDefault="0001518A" w:rsidP="0001518A">
            <w:pPr>
              <w:shd w:val="clear" w:color="auto" w:fill="FFFFFF"/>
              <w:tabs>
                <w:tab w:val="left" w:pos="466"/>
              </w:tabs>
              <w:spacing w:after="0" w:line="274" w:lineRule="exact"/>
              <w:rPr>
                <w:rFonts w:ascii="Times New Roman" w:eastAsia="Times New Roman" w:hAnsi="Times New Roman"/>
                <w:color w:val="000000"/>
                <w:spacing w:val="4"/>
                <w:sz w:val="24"/>
                <w:szCs w:val="24"/>
                <w:lang w:eastAsia="fr-FR"/>
              </w:rPr>
            </w:pPr>
            <w:r w:rsidRPr="0001518A">
              <w:rPr>
                <w:rFonts w:ascii="Times New Roman" w:eastAsia="Times New Roman" w:hAnsi="Times New Roman"/>
                <w:color w:val="000000"/>
                <w:spacing w:val="4"/>
                <w:sz w:val="24"/>
                <w:szCs w:val="24"/>
                <w:lang w:eastAsia="fr-FR"/>
              </w:rPr>
              <w:t>Acquisitions d'immobilisations en France : ouvre droit à déduction, déductible à la livraison/facturation :</w:t>
            </w:r>
          </w:p>
          <w:p w:rsidR="0001518A" w:rsidRPr="0001518A" w:rsidRDefault="0001518A" w:rsidP="0001518A">
            <w:pPr>
              <w:shd w:val="clear" w:color="auto" w:fill="FFFFFF"/>
              <w:tabs>
                <w:tab w:val="left" w:pos="466"/>
              </w:tabs>
              <w:spacing w:after="0" w:line="274" w:lineRule="exact"/>
              <w:rPr>
                <w:rFonts w:ascii="Times New Roman" w:eastAsia="Times New Roman" w:hAnsi="Times New Roman"/>
                <w:color w:val="00B050"/>
                <w:spacing w:val="2"/>
                <w:sz w:val="24"/>
                <w:szCs w:val="24"/>
                <w:lang w:eastAsia="fr-FR"/>
              </w:rPr>
            </w:pPr>
            <w:r w:rsidRPr="0001518A">
              <w:rPr>
                <w:rFonts w:ascii="Times New Roman" w:eastAsia="Times New Roman" w:hAnsi="Times New Roman"/>
                <w:color w:val="000000"/>
                <w:spacing w:val="4"/>
                <w:sz w:val="24"/>
                <w:szCs w:val="24"/>
                <w:lang w:eastAsia="fr-FR"/>
              </w:rPr>
              <w:t>50 000 * 0,2</w:t>
            </w:r>
          </w:p>
        </w:tc>
        <w:tc>
          <w:tcPr>
            <w:tcW w:w="1523" w:type="dxa"/>
          </w:tcPr>
          <w:p w:rsidR="0001518A" w:rsidRPr="0001518A" w:rsidRDefault="0001518A" w:rsidP="0001518A">
            <w:pPr>
              <w:spacing w:before="115" w:after="0" w:line="240" w:lineRule="auto"/>
              <w:ind w:left="1734"/>
              <w:jc w:val="center"/>
              <w:rPr>
                <w:rFonts w:ascii="Times New Roman" w:eastAsia="Times New Roman" w:hAnsi="Times New Roman"/>
                <w:sz w:val="24"/>
                <w:szCs w:val="24"/>
                <w:lang w:eastAsia="fr-FR"/>
              </w:rPr>
            </w:pPr>
          </w:p>
        </w:tc>
        <w:tc>
          <w:tcPr>
            <w:tcW w:w="1476" w:type="dxa"/>
          </w:tcPr>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p>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r w:rsidRPr="0001518A">
              <w:rPr>
                <w:rFonts w:ascii="Times New Roman" w:eastAsia="Times New Roman" w:hAnsi="Times New Roman"/>
                <w:color w:val="000000"/>
                <w:spacing w:val="2"/>
                <w:sz w:val="24"/>
                <w:szCs w:val="24"/>
                <w:lang w:eastAsia="fr-FR"/>
              </w:rPr>
              <w:t>10 000</w:t>
            </w:r>
          </w:p>
        </w:tc>
      </w:tr>
      <w:tr w:rsidR="0001518A" w:rsidRPr="0001518A" w:rsidTr="00DD23EA">
        <w:trPr>
          <w:jc w:val="center"/>
        </w:trPr>
        <w:tc>
          <w:tcPr>
            <w:tcW w:w="6215" w:type="dxa"/>
            <w:vAlign w:val="center"/>
          </w:tcPr>
          <w:p w:rsidR="0001518A" w:rsidRPr="0001518A" w:rsidRDefault="0001518A" w:rsidP="0001518A">
            <w:pPr>
              <w:shd w:val="clear" w:color="auto" w:fill="FFFFFF"/>
              <w:tabs>
                <w:tab w:val="left" w:pos="466"/>
              </w:tabs>
              <w:spacing w:before="72" w:after="0" w:line="240" w:lineRule="auto"/>
              <w:rPr>
                <w:rFonts w:ascii="Times New Roman" w:eastAsia="Times New Roman" w:hAnsi="Times New Roman"/>
                <w:color w:val="00B050"/>
                <w:sz w:val="24"/>
                <w:szCs w:val="24"/>
                <w:lang w:eastAsia="fr-FR"/>
              </w:rPr>
            </w:pPr>
            <w:r w:rsidRPr="0001518A">
              <w:rPr>
                <w:rFonts w:ascii="Times New Roman" w:eastAsia="Times New Roman" w:hAnsi="Times New Roman"/>
                <w:color w:val="000000"/>
                <w:spacing w:val="1"/>
                <w:sz w:val="24"/>
                <w:szCs w:val="24"/>
                <w:lang w:eastAsia="fr-FR"/>
              </w:rPr>
              <w:t xml:space="preserve">Acquisition d'une immobilisation en Allemagne : acquisition intracommunautaire imposable en France (autoliquidation : TVA exigible et déductible) </w:t>
            </w:r>
            <w:r w:rsidRPr="0001518A">
              <w:rPr>
                <w:rFonts w:ascii="Times New Roman" w:eastAsia="Times New Roman" w:hAnsi="Times New Roman"/>
                <w:color w:val="000000"/>
                <w:spacing w:val="1"/>
                <w:sz w:val="24"/>
                <w:szCs w:val="24"/>
                <w:lang w:eastAsia="fr-FR"/>
              </w:rPr>
              <w:br/>
              <w:t xml:space="preserve">40 000 * 0,20 </w:t>
            </w:r>
          </w:p>
        </w:tc>
        <w:tc>
          <w:tcPr>
            <w:tcW w:w="1523"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p w:rsidR="0001518A" w:rsidRPr="0001518A" w:rsidRDefault="0001518A" w:rsidP="0001518A">
            <w:pPr>
              <w:spacing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8 000</w:t>
            </w:r>
          </w:p>
        </w:tc>
        <w:tc>
          <w:tcPr>
            <w:tcW w:w="1476" w:type="dxa"/>
            <w:vAlign w:val="center"/>
          </w:tcPr>
          <w:p w:rsidR="0001518A" w:rsidRPr="0001518A" w:rsidRDefault="0001518A" w:rsidP="0001518A">
            <w:pPr>
              <w:spacing w:after="0" w:line="240" w:lineRule="auto"/>
              <w:jc w:val="center"/>
              <w:rPr>
                <w:rFonts w:ascii="Times New Roman" w:eastAsia="Times New Roman" w:hAnsi="Times New Roman"/>
                <w:sz w:val="24"/>
                <w:szCs w:val="24"/>
                <w:lang w:eastAsia="fr-FR"/>
              </w:rPr>
            </w:pPr>
          </w:p>
          <w:p w:rsidR="0001518A" w:rsidRPr="0001518A" w:rsidRDefault="0001518A" w:rsidP="0001518A">
            <w:pPr>
              <w:spacing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8 000</w:t>
            </w:r>
          </w:p>
        </w:tc>
      </w:tr>
      <w:tr w:rsidR="0001518A" w:rsidRPr="0001518A" w:rsidTr="00DD23EA">
        <w:trPr>
          <w:jc w:val="center"/>
        </w:trPr>
        <w:tc>
          <w:tcPr>
            <w:tcW w:w="6215" w:type="dxa"/>
            <w:vAlign w:val="center"/>
          </w:tcPr>
          <w:p w:rsidR="0001518A" w:rsidRPr="0001518A" w:rsidRDefault="0001518A" w:rsidP="0001518A">
            <w:pPr>
              <w:shd w:val="clear" w:color="auto" w:fill="FFFFFF"/>
              <w:tabs>
                <w:tab w:val="left" w:pos="466"/>
              </w:tabs>
              <w:spacing w:after="0" w:line="274" w:lineRule="exact"/>
              <w:jc w:val="center"/>
              <w:rPr>
                <w:rFonts w:ascii="Times New Roman" w:eastAsia="Times New Roman" w:hAnsi="Times New Roman"/>
                <w:b/>
                <w:color w:val="000000"/>
                <w:spacing w:val="4"/>
                <w:sz w:val="24"/>
                <w:szCs w:val="24"/>
                <w:lang w:eastAsia="fr-FR"/>
              </w:rPr>
            </w:pPr>
            <w:r w:rsidRPr="0001518A">
              <w:rPr>
                <w:rFonts w:ascii="Times New Roman" w:eastAsia="Times New Roman" w:hAnsi="Times New Roman"/>
                <w:b/>
                <w:color w:val="000000"/>
                <w:spacing w:val="4"/>
                <w:sz w:val="24"/>
                <w:szCs w:val="24"/>
                <w:lang w:eastAsia="fr-FR"/>
              </w:rPr>
              <w:t>Total</w:t>
            </w:r>
          </w:p>
        </w:tc>
        <w:tc>
          <w:tcPr>
            <w:tcW w:w="1523" w:type="dxa"/>
          </w:tcPr>
          <w:p w:rsidR="0001518A" w:rsidRPr="0001518A" w:rsidRDefault="0001518A" w:rsidP="0001518A">
            <w:pPr>
              <w:spacing w:before="115" w:after="0" w:line="240" w:lineRule="auto"/>
              <w:jc w:val="center"/>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94 000</w:t>
            </w:r>
          </w:p>
        </w:tc>
        <w:tc>
          <w:tcPr>
            <w:tcW w:w="1476" w:type="dxa"/>
          </w:tcPr>
          <w:p w:rsidR="0001518A" w:rsidRPr="0001518A" w:rsidRDefault="0001518A" w:rsidP="0001518A">
            <w:pPr>
              <w:spacing w:before="115" w:after="0" w:line="240" w:lineRule="auto"/>
              <w:jc w:val="center"/>
              <w:rPr>
                <w:rFonts w:ascii="Times New Roman" w:eastAsia="Times New Roman" w:hAnsi="Times New Roman"/>
                <w:color w:val="000000"/>
                <w:spacing w:val="2"/>
                <w:sz w:val="24"/>
                <w:szCs w:val="24"/>
                <w:lang w:eastAsia="fr-FR"/>
              </w:rPr>
            </w:pPr>
            <w:r w:rsidRPr="0001518A">
              <w:rPr>
                <w:rFonts w:ascii="Times New Roman" w:eastAsia="Times New Roman" w:hAnsi="Times New Roman"/>
                <w:color w:val="000000"/>
                <w:spacing w:val="2"/>
                <w:sz w:val="24"/>
                <w:szCs w:val="24"/>
                <w:lang w:eastAsia="fr-FR"/>
              </w:rPr>
              <w:t>86 000</w:t>
            </w:r>
          </w:p>
        </w:tc>
      </w:tr>
      <w:tr w:rsidR="0001518A" w:rsidRPr="0001518A" w:rsidTr="00CE6B18">
        <w:trPr>
          <w:jc w:val="center"/>
        </w:trPr>
        <w:tc>
          <w:tcPr>
            <w:tcW w:w="6215" w:type="dxa"/>
            <w:tcBorders>
              <w:bottom w:val="single" w:sz="4" w:space="0" w:color="auto"/>
            </w:tcBorders>
            <w:vAlign w:val="center"/>
          </w:tcPr>
          <w:p w:rsidR="0001518A" w:rsidRPr="0001518A" w:rsidRDefault="0001518A" w:rsidP="0001518A">
            <w:pPr>
              <w:shd w:val="clear" w:color="auto" w:fill="FFFFFF"/>
              <w:tabs>
                <w:tab w:val="left" w:pos="466"/>
              </w:tabs>
              <w:spacing w:after="0" w:line="274" w:lineRule="exact"/>
              <w:jc w:val="center"/>
              <w:rPr>
                <w:rFonts w:ascii="Times New Roman" w:eastAsia="Times New Roman" w:hAnsi="Times New Roman"/>
                <w:b/>
                <w:color w:val="00B050"/>
                <w:spacing w:val="4"/>
                <w:sz w:val="24"/>
                <w:szCs w:val="24"/>
                <w:lang w:eastAsia="fr-FR"/>
              </w:rPr>
            </w:pPr>
            <w:r w:rsidRPr="0001518A">
              <w:rPr>
                <w:rFonts w:ascii="Times New Roman" w:eastAsia="Times New Roman" w:hAnsi="Times New Roman"/>
                <w:b/>
                <w:color w:val="000000"/>
                <w:spacing w:val="4"/>
                <w:sz w:val="24"/>
                <w:szCs w:val="24"/>
                <w:lang w:eastAsia="fr-FR"/>
              </w:rPr>
              <w:t>TVA due au titre de 2013 en euros</w:t>
            </w:r>
          </w:p>
        </w:tc>
        <w:tc>
          <w:tcPr>
            <w:tcW w:w="2999" w:type="dxa"/>
            <w:gridSpan w:val="2"/>
            <w:tcBorders>
              <w:bottom w:val="single" w:sz="4" w:space="0" w:color="auto"/>
            </w:tcBorders>
            <w:shd w:val="clear" w:color="auto" w:fill="BFBFBF"/>
          </w:tcPr>
          <w:p w:rsidR="0001518A" w:rsidRPr="0001518A" w:rsidRDefault="0001518A" w:rsidP="0001518A">
            <w:pPr>
              <w:spacing w:before="115" w:after="0" w:line="240" w:lineRule="auto"/>
              <w:jc w:val="center"/>
              <w:rPr>
                <w:rFonts w:ascii="Times New Roman" w:eastAsia="Times New Roman" w:hAnsi="Times New Roman"/>
                <w:b/>
                <w:sz w:val="24"/>
                <w:szCs w:val="24"/>
                <w:lang w:eastAsia="fr-FR"/>
              </w:rPr>
            </w:pPr>
            <w:r w:rsidRPr="0001518A">
              <w:rPr>
                <w:rFonts w:ascii="Times New Roman" w:eastAsia="Times New Roman" w:hAnsi="Times New Roman"/>
                <w:b/>
                <w:sz w:val="24"/>
                <w:szCs w:val="24"/>
                <w:lang w:eastAsia="fr-FR"/>
              </w:rPr>
              <w:t>8 000</w:t>
            </w:r>
          </w:p>
        </w:tc>
      </w:tr>
    </w:tbl>
    <w:p w:rsidR="0001518A" w:rsidRDefault="0001518A" w:rsidP="0001518A">
      <w:pPr>
        <w:shd w:val="clear" w:color="auto" w:fill="FFFFFF"/>
        <w:tabs>
          <w:tab w:val="left" w:pos="192"/>
        </w:tabs>
        <w:spacing w:before="355" w:after="0" w:line="240" w:lineRule="auto"/>
        <w:rPr>
          <w:rFonts w:ascii="Times New Roman" w:eastAsia="Times New Roman" w:hAnsi="Times New Roman"/>
          <w:lang w:eastAsia="fr-FR"/>
        </w:rPr>
      </w:pPr>
    </w:p>
    <w:p w:rsidR="0001518A" w:rsidRDefault="0001518A" w:rsidP="0001518A">
      <w:pPr>
        <w:shd w:val="clear" w:color="auto" w:fill="FFFFFF"/>
        <w:tabs>
          <w:tab w:val="left" w:pos="192"/>
        </w:tabs>
        <w:spacing w:before="355" w:after="0" w:line="240" w:lineRule="auto"/>
        <w:rPr>
          <w:rFonts w:ascii="Times New Roman" w:eastAsia="Times New Roman" w:hAnsi="Times New Roman"/>
          <w:lang w:eastAsia="fr-FR"/>
        </w:rPr>
      </w:pPr>
    </w:p>
    <w:p w:rsidR="0001518A" w:rsidRDefault="0001518A" w:rsidP="0001518A">
      <w:pPr>
        <w:shd w:val="clear" w:color="auto" w:fill="FFFFFF"/>
        <w:tabs>
          <w:tab w:val="left" w:pos="192"/>
        </w:tabs>
        <w:spacing w:before="355" w:after="0" w:line="240" w:lineRule="auto"/>
        <w:rPr>
          <w:rFonts w:ascii="Times New Roman" w:eastAsia="Times New Roman" w:hAnsi="Times New Roman"/>
          <w:lang w:eastAsia="fr-FR"/>
        </w:rPr>
      </w:pPr>
    </w:p>
    <w:p w:rsidR="0001518A" w:rsidRPr="0001518A" w:rsidRDefault="0001518A" w:rsidP="0001518A">
      <w:pPr>
        <w:shd w:val="clear" w:color="auto" w:fill="FFFFFF"/>
        <w:tabs>
          <w:tab w:val="left" w:pos="192"/>
        </w:tabs>
        <w:spacing w:before="355" w:after="0" w:line="240" w:lineRule="auto"/>
        <w:rPr>
          <w:rFonts w:ascii="Times New Roman" w:eastAsia="Times New Roman" w:hAnsi="Times New Roman"/>
          <w:lang w:eastAsia="fr-FR"/>
        </w:rPr>
      </w:pPr>
    </w:p>
    <w:p w:rsidR="0001518A" w:rsidRPr="0001518A" w:rsidRDefault="00CE6B18" w:rsidP="0001518A">
      <w:pPr>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lastRenderedPageBreak/>
        <w:t>1.</w:t>
      </w:r>
      <w:r w:rsidR="0001518A" w:rsidRPr="0001518A">
        <w:rPr>
          <w:rFonts w:ascii="Times New Roman" w:eastAsia="Times New Roman" w:hAnsi="Times New Roman"/>
          <w:b/>
          <w:bCs/>
          <w:color w:val="000000"/>
          <w:sz w:val="24"/>
          <w:szCs w:val="24"/>
          <w:lang w:eastAsia="fr-FR"/>
        </w:rPr>
        <w:t>4 Définir la notion d’autoliquidation de la TVA. Donner un exemple d’une part en matière de livraison de biens et d’autre part en matière de prestations de services.</w:t>
      </w:r>
    </w:p>
    <w:p w:rsidR="0001518A" w:rsidRPr="0001518A" w:rsidRDefault="0001518A" w:rsidP="0001518A">
      <w:pPr>
        <w:spacing w:after="0" w:line="240" w:lineRule="auto"/>
        <w:jc w:val="both"/>
        <w:rPr>
          <w:rFonts w:ascii="Times New Roman" w:eastAsia="Times New Roman" w:hAnsi="Times New Roman"/>
          <w:sz w:val="24"/>
          <w:szCs w:val="24"/>
          <w:lang w:eastAsia="fr-FR"/>
        </w:rPr>
      </w:pP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La TVA est due par l’acheteur ou preneur et non par le vendeur.</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Livraison de biens : acquisition intracommunautaire, importation, livraisons à soi-même imposables</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b/>
          <w:sz w:val="24"/>
          <w:szCs w:val="24"/>
          <w:lang w:eastAsia="fr-FR"/>
        </w:rPr>
        <w:t>Prestation de service</w:t>
      </w:r>
      <w:r w:rsidRPr="0001518A">
        <w:rPr>
          <w:rFonts w:ascii="Times New Roman" w:eastAsia="Times New Roman" w:hAnsi="Times New Roman"/>
          <w:sz w:val="24"/>
          <w:szCs w:val="24"/>
          <w:lang w:eastAsia="fr-FR"/>
        </w:rPr>
        <w:t> : prestation intracommunautaire entre assujettis, travaux à soi-même, pour les besoins de l’entreprise, immobilisés.</w:t>
      </w:r>
    </w:p>
    <w:p w:rsidR="0001518A" w:rsidRPr="0001518A" w:rsidRDefault="0001518A" w:rsidP="0001518A">
      <w:pPr>
        <w:spacing w:after="0" w:line="240" w:lineRule="auto"/>
        <w:jc w:val="both"/>
        <w:rPr>
          <w:rFonts w:ascii="Times New Roman" w:eastAsia="Times New Roman" w:hAnsi="Times New Roman"/>
          <w:b/>
          <w:bCs/>
          <w:color w:val="00B050"/>
          <w:sz w:val="24"/>
          <w:szCs w:val="24"/>
          <w:lang w:eastAsia="fr-FR"/>
        </w:rPr>
      </w:pPr>
    </w:p>
    <w:p w:rsidR="0001518A" w:rsidRPr="0001518A" w:rsidRDefault="0001518A" w:rsidP="0001518A">
      <w:pPr>
        <w:tabs>
          <w:tab w:val="left" w:pos="851"/>
          <w:tab w:val="left" w:pos="1418"/>
        </w:tabs>
        <w:spacing w:after="0" w:line="240" w:lineRule="auto"/>
        <w:jc w:val="both"/>
        <w:rPr>
          <w:rFonts w:ascii="Arial" w:eastAsia="Times New Roman" w:hAnsi="Arial" w:cs="Arial"/>
          <w:b/>
          <w:bCs/>
          <w:color w:val="000000"/>
          <w:sz w:val="20"/>
          <w:szCs w:val="24"/>
          <w:lang w:eastAsia="fr-FR"/>
        </w:rPr>
      </w:pPr>
      <w:r w:rsidRPr="0001518A">
        <w:rPr>
          <w:rFonts w:ascii="Times New Roman" w:eastAsia="Times New Roman" w:hAnsi="Times New Roman"/>
          <w:b/>
          <w:bCs/>
          <w:color w:val="000000"/>
          <w:sz w:val="24"/>
          <w:szCs w:val="24"/>
          <w:lang w:eastAsia="fr-FR"/>
        </w:rPr>
        <w:t>5. Indiquer et définir la notion à laquelle il est nécessaire de se référer pour déterminer le taux de TVA applicable en cas de modification de taux</w:t>
      </w:r>
    </w:p>
    <w:p w:rsidR="0001518A" w:rsidRPr="0001518A" w:rsidRDefault="0001518A" w:rsidP="0001518A">
      <w:pPr>
        <w:tabs>
          <w:tab w:val="left" w:pos="851"/>
          <w:tab w:val="left" w:pos="1418"/>
        </w:tabs>
        <w:spacing w:after="0" w:line="240" w:lineRule="auto"/>
        <w:jc w:val="both"/>
        <w:rPr>
          <w:rFonts w:ascii="Arial" w:eastAsia="Times New Roman" w:hAnsi="Arial" w:cs="Arial"/>
          <w:b/>
          <w:bCs/>
          <w:color w:val="000000"/>
          <w:sz w:val="20"/>
          <w:szCs w:val="24"/>
          <w:lang w:eastAsia="fr-FR"/>
        </w:rPr>
      </w:pP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C’est le fait générateur d’un évènement qui permet de savoir quel taux de TVA appliquer en cas de modification.</w:t>
      </w:r>
    </w:p>
    <w:p w:rsidR="0001518A" w:rsidRPr="0001518A" w:rsidRDefault="0001518A" w:rsidP="0001518A">
      <w:pPr>
        <w:tabs>
          <w:tab w:val="left" w:pos="851"/>
          <w:tab w:val="left" w:pos="1418"/>
        </w:tabs>
        <w:spacing w:after="0" w:line="240" w:lineRule="auto"/>
        <w:jc w:val="both"/>
        <w:rPr>
          <w:rFonts w:ascii="Times New Roman" w:eastAsia="Times New Roman" w:hAnsi="Times New Roman"/>
          <w:color w:val="FF0000"/>
          <w:sz w:val="24"/>
          <w:szCs w:val="24"/>
          <w:shd w:val="clear" w:color="auto" w:fill="FFFFFF"/>
          <w:lang w:eastAsia="fr-FR"/>
        </w:rPr>
      </w:pPr>
      <w:r w:rsidRPr="0001518A">
        <w:rPr>
          <w:rFonts w:ascii="Times New Roman" w:eastAsia="Times New Roman" w:hAnsi="Times New Roman"/>
          <w:bCs/>
          <w:color w:val="000000"/>
          <w:sz w:val="24"/>
          <w:szCs w:val="24"/>
          <w:lang w:eastAsia="fr-FR"/>
        </w:rPr>
        <w:t xml:space="preserve">Ce dernier </w:t>
      </w:r>
      <w:r w:rsidRPr="0001518A">
        <w:rPr>
          <w:rFonts w:ascii="Times New Roman" w:eastAsia="Times New Roman" w:hAnsi="Times New Roman"/>
          <w:color w:val="000000"/>
          <w:sz w:val="24"/>
          <w:szCs w:val="24"/>
          <w:shd w:val="clear" w:color="auto" w:fill="FFFFFF"/>
          <w:lang w:eastAsia="fr-FR"/>
        </w:rPr>
        <w:t>peut être défini comme : « le fait par lequel sont réalisées les conditions légales nécessaires pour l'exigibilité de la taxe ».</w:t>
      </w:r>
    </w:p>
    <w:p w:rsidR="007F7F3E" w:rsidRDefault="007F7F3E" w:rsidP="0001518A">
      <w:pPr>
        <w:tabs>
          <w:tab w:val="left" w:pos="851"/>
          <w:tab w:val="left" w:pos="1418"/>
        </w:tabs>
        <w:spacing w:after="0" w:line="240" w:lineRule="auto"/>
        <w:jc w:val="both"/>
        <w:rPr>
          <w:rFonts w:ascii="Times New Roman" w:eastAsia="Times New Roman" w:hAnsi="Times New Roman"/>
          <w:color w:val="000000"/>
          <w:sz w:val="24"/>
          <w:szCs w:val="24"/>
          <w:shd w:val="clear" w:color="auto" w:fill="FFFFFF"/>
          <w:lang w:eastAsia="fr-FR"/>
        </w:rPr>
      </w:pPr>
    </w:p>
    <w:p w:rsidR="0001518A" w:rsidRPr="0001518A" w:rsidRDefault="0001518A" w:rsidP="0001518A">
      <w:pPr>
        <w:tabs>
          <w:tab w:val="left" w:pos="851"/>
          <w:tab w:val="left" w:pos="1418"/>
        </w:tabs>
        <w:spacing w:after="0" w:line="240" w:lineRule="auto"/>
        <w:jc w:val="both"/>
        <w:rPr>
          <w:rFonts w:ascii="Times New Roman" w:eastAsia="Times New Roman" w:hAnsi="Times New Roman"/>
          <w:vanish/>
          <w:color w:val="000000"/>
          <w:sz w:val="24"/>
          <w:szCs w:val="24"/>
          <w:shd w:val="clear" w:color="auto" w:fill="FFFFFF"/>
          <w:lang w:eastAsia="fr-FR"/>
        </w:rPr>
      </w:pPr>
      <w:r w:rsidRPr="0001518A">
        <w:rPr>
          <w:rFonts w:ascii="Times New Roman" w:eastAsia="Times New Roman" w:hAnsi="Times New Roman"/>
          <w:vanish/>
          <w:color w:val="000000"/>
          <w:sz w:val="24"/>
          <w:szCs w:val="24"/>
          <w:shd w:val="clear" w:color="auto" w:fill="FFFFFF"/>
          <w:lang w:eastAsia="fr-FR"/>
        </w:rPr>
        <w:t>Pour les livraisons de biens meubles, le fait générateur est la livraison.</w:t>
      </w:r>
    </w:p>
    <w:p w:rsidR="0001518A" w:rsidRPr="0001518A" w:rsidRDefault="0001518A" w:rsidP="0001518A">
      <w:pPr>
        <w:tabs>
          <w:tab w:val="left" w:pos="851"/>
          <w:tab w:val="left" w:pos="1418"/>
        </w:tabs>
        <w:spacing w:after="0" w:line="240" w:lineRule="auto"/>
        <w:jc w:val="both"/>
        <w:rPr>
          <w:rFonts w:ascii="Times New Roman" w:eastAsia="Times New Roman" w:hAnsi="Times New Roman"/>
          <w:bCs/>
          <w:vanish/>
          <w:color w:val="000000"/>
          <w:sz w:val="24"/>
          <w:szCs w:val="24"/>
          <w:lang w:eastAsia="fr-FR"/>
        </w:rPr>
      </w:pPr>
      <w:r w:rsidRPr="0001518A">
        <w:rPr>
          <w:rFonts w:ascii="Times New Roman" w:eastAsia="Times New Roman" w:hAnsi="Times New Roman"/>
          <w:vanish/>
          <w:color w:val="000000"/>
          <w:sz w:val="24"/>
          <w:szCs w:val="24"/>
          <w:shd w:val="clear" w:color="auto" w:fill="FFFFFF"/>
          <w:lang w:eastAsia="fr-FR"/>
        </w:rPr>
        <w:t>Pour les prestations de services, le fait générateur est l’exécution du service</w:t>
      </w:r>
    </w:p>
    <w:p w:rsidR="0001518A" w:rsidRDefault="0001518A" w:rsidP="0001518A">
      <w:pPr>
        <w:jc w:val="both"/>
        <w:rPr>
          <w:rFonts w:ascii="Times New Roman" w:eastAsia="Times New Roman" w:hAnsi="Times New Roman"/>
          <w:bCs/>
          <w:color w:val="000000"/>
          <w:sz w:val="24"/>
          <w:szCs w:val="24"/>
          <w:lang w:eastAsia="fr-FR"/>
        </w:rPr>
      </w:pPr>
    </w:p>
    <w:p w:rsidR="0001518A" w:rsidRPr="0001518A" w:rsidRDefault="0001518A" w:rsidP="0001518A">
      <w:pPr>
        <w:pBdr>
          <w:top w:val="single" w:sz="4" w:space="0" w:color="auto"/>
          <w:left w:val="single" w:sz="4" w:space="4" w:color="auto"/>
          <w:bottom w:val="single" w:sz="4" w:space="1" w:color="auto"/>
          <w:right w:val="single" w:sz="4" w:space="4" w:color="auto"/>
        </w:pBdr>
        <w:shd w:val="clear" w:color="auto" w:fill="E0E0E0"/>
        <w:spacing w:after="0" w:line="240" w:lineRule="auto"/>
        <w:ind w:left="142"/>
        <w:jc w:val="center"/>
        <w:rPr>
          <w:rFonts w:ascii="Arial" w:eastAsia="Times New Roman" w:hAnsi="Arial" w:cs="Arial"/>
          <w:b/>
          <w:bCs/>
          <w:sz w:val="20"/>
          <w:szCs w:val="24"/>
          <w:lang w:eastAsia="fr-FR"/>
        </w:rPr>
      </w:pPr>
    </w:p>
    <w:p w:rsidR="0001518A" w:rsidRPr="0001518A" w:rsidRDefault="0001518A" w:rsidP="0001518A">
      <w:pPr>
        <w:pBdr>
          <w:top w:val="single" w:sz="4" w:space="0" w:color="auto"/>
          <w:left w:val="single" w:sz="4" w:space="4" w:color="auto"/>
          <w:bottom w:val="single" w:sz="4" w:space="1" w:color="auto"/>
          <w:right w:val="single" w:sz="4" w:space="4" w:color="auto"/>
        </w:pBdr>
        <w:shd w:val="clear" w:color="auto" w:fill="E0E0E0"/>
        <w:spacing w:after="0" w:line="240" w:lineRule="auto"/>
        <w:ind w:left="142"/>
        <w:jc w:val="center"/>
        <w:rPr>
          <w:rFonts w:ascii="Times New Roman" w:eastAsia="Times New Roman" w:hAnsi="Times New Roman"/>
          <w:b/>
          <w:bCs/>
          <w:sz w:val="28"/>
          <w:szCs w:val="28"/>
          <w:lang w:eastAsia="fr-FR"/>
        </w:rPr>
      </w:pPr>
      <w:r w:rsidRPr="0001518A">
        <w:rPr>
          <w:rFonts w:ascii="Times New Roman" w:eastAsia="Times New Roman" w:hAnsi="Times New Roman"/>
          <w:b/>
          <w:bCs/>
          <w:sz w:val="28"/>
          <w:szCs w:val="28"/>
          <w:lang w:eastAsia="fr-FR"/>
        </w:rPr>
        <w:t xml:space="preserve">DOSSIER 2 – RESULTAT IMPOSABLE A L’IS </w:t>
      </w:r>
    </w:p>
    <w:p w:rsidR="0001518A" w:rsidRPr="0001518A" w:rsidRDefault="0001518A" w:rsidP="0001518A">
      <w:pPr>
        <w:pBdr>
          <w:top w:val="single" w:sz="4" w:space="0" w:color="auto"/>
          <w:left w:val="single" w:sz="4" w:space="4" w:color="auto"/>
          <w:bottom w:val="single" w:sz="4" w:space="1" w:color="auto"/>
          <w:right w:val="single" w:sz="4" w:space="4" w:color="auto"/>
        </w:pBdr>
        <w:shd w:val="clear" w:color="auto" w:fill="E0E0E0"/>
        <w:spacing w:after="0" w:line="240" w:lineRule="auto"/>
        <w:ind w:left="142"/>
        <w:jc w:val="center"/>
        <w:rPr>
          <w:rFonts w:ascii="Arial" w:eastAsia="Times New Roman" w:hAnsi="Arial" w:cs="Arial"/>
          <w:b/>
          <w:bCs/>
          <w:sz w:val="20"/>
          <w:szCs w:val="24"/>
          <w:lang w:eastAsia="fr-FR"/>
        </w:rPr>
      </w:pPr>
    </w:p>
    <w:p w:rsidR="0001518A" w:rsidRPr="0001518A" w:rsidRDefault="0001518A" w:rsidP="0001518A">
      <w:pPr>
        <w:spacing w:after="0" w:line="240" w:lineRule="auto"/>
        <w:jc w:val="both"/>
        <w:rPr>
          <w:rFonts w:ascii="Times New Roman" w:eastAsia="Times New Roman" w:hAnsi="Times New Roman"/>
          <w:sz w:val="24"/>
          <w:szCs w:val="24"/>
          <w:lang w:eastAsia="fr-FR"/>
        </w:rPr>
      </w:pPr>
    </w:p>
    <w:p w:rsidR="0001518A" w:rsidRPr="0001518A" w:rsidRDefault="00CE6B18" w:rsidP="0001518A">
      <w:pPr>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2.1</w:t>
      </w:r>
      <w:r w:rsidR="0001518A" w:rsidRPr="0001518A">
        <w:rPr>
          <w:rFonts w:ascii="Times New Roman" w:eastAsia="Times New Roman" w:hAnsi="Times New Roman"/>
          <w:b/>
          <w:bCs/>
          <w:color w:val="000000"/>
          <w:sz w:val="24"/>
          <w:szCs w:val="24"/>
          <w:lang w:eastAsia="fr-FR"/>
        </w:rPr>
        <w:t xml:space="preserve"> Rappeler la législation fiscale en matière d’amortissement minimum.</w:t>
      </w:r>
    </w:p>
    <w:p w:rsidR="0001518A" w:rsidRPr="0001518A" w:rsidRDefault="0001518A" w:rsidP="0001518A">
      <w:pPr>
        <w:spacing w:after="0" w:line="240" w:lineRule="auto"/>
        <w:jc w:val="both"/>
        <w:rPr>
          <w:rFonts w:ascii="Times New Roman" w:eastAsia="Times New Roman" w:hAnsi="Times New Roman"/>
          <w:b/>
          <w:bCs/>
          <w:color w:val="FF0000"/>
          <w:sz w:val="24"/>
          <w:szCs w:val="24"/>
          <w:lang w:eastAsia="fr-FR"/>
        </w:rPr>
      </w:pPr>
    </w:p>
    <w:p w:rsidR="0001518A" w:rsidRPr="0001518A" w:rsidRDefault="0001518A" w:rsidP="0001518A">
      <w:pPr>
        <w:spacing w:after="0" w:line="240" w:lineRule="auto"/>
        <w:jc w:val="both"/>
        <w:rPr>
          <w:rFonts w:ascii="Times New Roman" w:eastAsia="Times New Roman" w:hAnsi="Times New Roman"/>
          <w:color w:val="000000"/>
          <w:sz w:val="24"/>
          <w:szCs w:val="24"/>
          <w:shd w:val="clear" w:color="auto" w:fill="FFFFFF"/>
          <w:lang w:eastAsia="fr-FR"/>
        </w:rPr>
      </w:pPr>
      <w:r w:rsidRPr="0001518A">
        <w:rPr>
          <w:rFonts w:ascii="Times New Roman" w:eastAsia="Times New Roman" w:hAnsi="Times New Roman"/>
          <w:bCs/>
          <w:color w:val="000000"/>
          <w:sz w:val="24"/>
          <w:szCs w:val="24"/>
          <w:lang w:eastAsia="fr-FR"/>
        </w:rPr>
        <w:t>L’article 39 B du CGI exige qu’à la clôture de l’exercice l</w:t>
      </w:r>
      <w:r w:rsidRPr="0001518A">
        <w:rPr>
          <w:rFonts w:ascii="Times New Roman" w:eastAsia="Times New Roman" w:hAnsi="Times New Roman"/>
          <w:sz w:val="24"/>
          <w:szCs w:val="24"/>
          <w:lang w:eastAsia="fr-FR"/>
        </w:rPr>
        <w:t>e</w:t>
      </w:r>
      <w:r w:rsidRPr="0001518A">
        <w:rPr>
          <w:rFonts w:ascii="Times New Roman" w:eastAsia="Times New Roman" w:hAnsi="Times New Roman"/>
          <w:color w:val="000000"/>
          <w:sz w:val="24"/>
          <w:szCs w:val="24"/>
          <w:shd w:val="clear" w:color="auto" w:fill="FFFFFF"/>
          <w:lang w:eastAsia="fr-FR"/>
        </w:rPr>
        <w:t xml:space="preserve"> cumul des amortissements pratiqués depuis la création ou l’achat ne peut être inférieur au cumul des amortissements linéaires. </w:t>
      </w:r>
    </w:p>
    <w:p w:rsidR="0001518A" w:rsidRPr="0001518A" w:rsidRDefault="0001518A" w:rsidP="0001518A">
      <w:pPr>
        <w:spacing w:after="0" w:line="240" w:lineRule="auto"/>
        <w:jc w:val="both"/>
        <w:rPr>
          <w:rFonts w:ascii="Times New Roman" w:eastAsia="Times New Roman" w:hAnsi="Times New Roman"/>
          <w:color w:val="00B050"/>
          <w:sz w:val="24"/>
          <w:szCs w:val="24"/>
          <w:shd w:val="clear" w:color="auto" w:fill="FFFFFF"/>
          <w:lang w:eastAsia="fr-FR"/>
        </w:rPr>
      </w:pPr>
      <w:r w:rsidRPr="0001518A">
        <w:rPr>
          <w:rFonts w:ascii="Times New Roman" w:eastAsia="Times New Roman" w:hAnsi="Times New Roman"/>
          <w:color w:val="000000"/>
          <w:sz w:val="24"/>
          <w:szCs w:val="24"/>
          <w:shd w:val="clear" w:color="auto" w:fill="FFFFFF"/>
          <w:lang w:eastAsia="fr-FR"/>
        </w:rPr>
        <w:t>La différence entre les deux cumuls est considérée comme amortissement  irrégulièrement différé si le cumul des amortissements pratiqués est inférieur au cumul des amortissements linéaires.</w:t>
      </w:r>
    </w:p>
    <w:p w:rsidR="0001518A" w:rsidRPr="0001518A" w:rsidRDefault="0001518A" w:rsidP="0001518A">
      <w:pPr>
        <w:tabs>
          <w:tab w:val="left" w:pos="851"/>
          <w:tab w:val="left" w:pos="1418"/>
        </w:tabs>
        <w:spacing w:after="0" w:line="240" w:lineRule="auto"/>
        <w:rPr>
          <w:rFonts w:ascii="Times New Roman" w:eastAsia="Times New Roman" w:hAnsi="Times New Roman"/>
          <w:color w:val="000000"/>
          <w:sz w:val="24"/>
          <w:szCs w:val="24"/>
          <w:shd w:val="clear" w:color="auto" w:fill="FFFFFF"/>
          <w:lang w:eastAsia="fr-FR"/>
        </w:rPr>
      </w:pPr>
    </w:p>
    <w:p w:rsidR="0001518A" w:rsidRPr="0001518A" w:rsidRDefault="00CE6B18" w:rsidP="0001518A">
      <w:pPr>
        <w:tabs>
          <w:tab w:val="left" w:pos="851"/>
          <w:tab w:val="left" w:pos="1418"/>
        </w:tabs>
        <w:spacing w:after="0" w:line="240" w:lineRule="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2</w:t>
      </w:r>
      <w:r w:rsidR="0001518A" w:rsidRPr="0001518A">
        <w:rPr>
          <w:rFonts w:ascii="Times New Roman" w:eastAsia="Times New Roman" w:hAnsi="Times New Roman"/>
          <w:b/>
          <w:bCs/>
          <w:color w:val="000000"/>
          <w:sz w:val="24"/>
          <w:szCs w:val="24"/>
          <w:lang w:eastAsia="fr-FR"/>
        </w:rPr>
        <w:t>.</w:t>
      </w:r>
      <w:r>
        <w:rPr>
          <w:rFonts w:ascii="Times New Roman" w:eastAsia="Times New Roman" w:hAnsi="Times New Roman"/>
          <w:b/>
          <w:bCs/>
          <w:color w:val="000000"/>
          <w:sz w:val="24"/>
          <w:szCs w:val="24"/>
          <w:lang w:eastAsia="fr-FR"/>
        </w:rPr>
        <w:t>2</w:t>
      </w:r>
      <w:r w:rsidR="0001518A" w:rsidRPr="0001518A">
        <w:rPr>
          <w:rFonts w:ascii="Times New Roman" w:eastAsia="Times New Roman" w:hAnsi="Times New Roman"/>
          <w:b/>
          <w:bCs/>
          <w:color w:val="000000"/>
          <w:sz w:val="24"/>
          <w:szCs w:val="24"/>
          <w:lang w:eastAsia="fr-FR"/>
        </w:rPr>
        <w:t xml:space="preserve"> Evaluer et qualifier les amortissements différés relatifs à l’omission d’amortissements concernant le matériel industriel </w:t>
      </w:r>
    </w:p>
    <w:p w:rsidR="0001518A" w:rsidRPr="0001518A" w:rsidRDefault="0001518A" w:rsidP="0001518A">
      <w:pPr>
        <w:tabs>
          <w:tab w:val="left" w:pos="851"/>
          <w:tab w:val="left" w:pos="1418"/>
        </w:tabs>
        <w:spacing w:after="0" w:line="240" w:lineRule="auto"/>
        <w:rPr>
          <w:rFonts w:ascii="Times New Roman" w:eastAsia="Times New Roman" w:hAnsi="Times New Roman"/>
          <w:b/>
          <w:bCs/>
          <w:color w:val="FF0000"/>
          <w:sz w:val="24"/>
          <w:szCs w:val="24"/>
          <w:lang w:eastAsia="fr-FR"/>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39"/>
        <w:gridCol w:w="1839"/>
        <w:gridCol w:w="1770"/>
        <w:gridCol w:w="1839"/>
        <w:gridCol w:w="1770"/>
      </w:tblGrid>
      <w:tr w:rsidR="00F7022E" w:rsidRPr="0001518A" w:rsidTr="00CE6B18">
        <w:trPr>
          <w:trHeight w:val="1667"/>
        </w:trPr>
        <w:tc>
          <w:tcPr>
            <w:tcW w:w="724" w:type="dxa"/>
          </w:tcPr>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tc>
        <w:tc>
          <w:tcPr>
            <w:tcW w:w="1839" w:type="dxa"/>
            <w:shd w:val="clear" w:color="auto" w:fill="BFBFBF"/>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Amortissements fiscaux maximum (dégressif 5 ans)</w:t>
            </w:r>
          </w:p>
        </w:tc>
        <w:tc>
          <w:tcPr>
            <w:tcW w:w="1839" w:type="dxa"/>
            <w:shd w:val="clear" w:color="auto" w:fill="BFBFBF"/>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Amortissements pratiqués</w:t>
            </w:r>
          </w:p>
        </w:tc>
        <w:tc>
          <w:tcPr>
            <w:tcW w:w="1770" w:type="dxa"/>
            <w:shd w:val="clear" w:color="auto" w:fill="BFBFBF"/>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Cumul des amortissements pratiqués</w:t>
            </w:r>
          </w:p>
        </w:tc>
        <w:tc>
          <w:tcPr>
            <w:tcW w:w="1839" w:type="dxa"/>
            <w:shd w:val="clear" w:color="auto" w:fill="BFBFBF"/>
          </w:tcPr>
          <w:p w:rsidR="007F7F3E"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Amortissements fiscaux minimum</w:t>
            </w:r>
          </w:p>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 ( linéaire 5 ans)</w:t>
            </w:r>
          </w:p>
        </w:tc>
        <w:tc>
          <w:tcPr>
            <w:tcW w:w="1770" w:type="dxa"/>
            <w:shd w:val="clear" w:color="auto" w:fill="BFBFBF"/>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Cumul des amortissements linéaires</w:t>
            </w:r>
          </w:p>
        </w:tc>
      </w:tr>
      <w:tr w:rsidR="00F7022E" w:rsidRPr="0001518A" w:rsidTr="00CE6B18">
        <w:trPr>
          <w:trHeight w:val="677"/>
        </w:trPr>
        <w:tc>
          <w:tcPr>
            <w:tcW w:w="724" w:type="dxa"/>
            <w:shd w:val="clear" w:color="auto" w:fill="BFBFBF"/>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2011</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17 500 (1)</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17500</w:t>
            </w:r>
          </w:p>
        </w:tc>
        <w:tc>
          <w:tcPr>
            <w:tcW w:w="1770"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17500</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5 000 (2)</w:t>
            </w:r>
          </w:p>
        </w:tc>
        <w:tc>
          <w:tcPr>
            <w:tcW w:w="1770"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5 000</w:t>
            </w:r>
          </w:p>
        </w:tc>
      </w:tr>
      <w:tr w:rsidR="00F7022E" w:rsidRPr="0001518A" w:rsidTr="00CE6B18">
        <w:trPr>
          <w:trHeight w:val="677"/>
        </w:trPr>
        <w:tc>
          <w:tcPr>
            <w:tcW w:w="724" w:type="dxa"/>
            <w:shd w:val="clear" w:color="auto" w:fill="BFBFBF"/>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2012</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28 875 (3)</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0</w:t>
            </w:r>
          </w:p>
        </w:tc>
        <w:tc>
          <w:tcPr>
            <w:tcW w:w="1770"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17500 </w:t>
            </w:r>
          </w:p>
        </w:tc>
        <w:tc>
          <w:tcPr>
            <w:tcW w:w="1839"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20 000(4)</w:t>
            </w:r>
          </w:p>
        </w:tc>
        <w:tc>
          <w:tcPr>
            <w:tcW w:w="1770" w:type="dxa"/>
            <w:vAlign w:val="center"/>
          </w:tcPr>
          <w:p w:rsidR="0001518A" w:rsidRPr="0001518A" w:rsidRDefault="0001518A" w:rsidP="0001518A">
            <w:pPr>
              <w:tabs>
                <w:tab w:val="left" w:pos="851"/>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25 000 (5</w:t>
            </w:r>
            <w:r w:rsidRPr="0001518A">
              <w:rPr>
                <w:rFonts w:ascii="Times New Roman" w:eastAsia="Times New Roman" w:hAnsi="Times New Roman"/>
                <w:bCs/>
                <w:sz w:val="24"/>
                <w:szCs w:val="24"/>
                <w:lang w:eastAsia="fr-FR"/>
              </w:rPr>
              <w:t>)</w:t>
            </w:r>
          </w:p>
        </w:tc>
      </w:tr>
    </w:tbl>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 100 000 * 0,20 * 1,75 * 6/12= 17 500 (date d’achat)</w:t>
      </w:r>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 100 000 * 0,2 * 3/12= 5 000 (date de mise en service)</w:t>
      </w:r>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(3) (100 000 - 17 500) * 0,35</w:t>
      </w:r>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(4) 100 000 * 0,2 = 20 000</w:t>
      </w:r>
    </w:p>
    <w:p w:rsid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(5) 20 000 + 5 000 = 25</w:t>
      </w:r>
      <w:r w:rsidR="008C30E2">
        <w:rPr>
          <w:rFonts w:ascii="Times New Roman" w:eastAsia="Times New Roman" w:hAnsi="Times New Roman"/>
          <w:bCs/>
          <w:color w:val="000000"/>
          <w:sz w:val="24"/>
          <w:szCs w:val="24"/>
          <w:lang w:eastAsia="fr-FR"/>
        </w:rPr>
        <w:t> </w:t>
      </w:r>
      <w:r w:rsidRPr="0001518A">
        <w:rPr>
          <w:rFonts w:ascii="Times New Roman" w:eastAsia="Times New Roman" w:hAnsi="Times New Roman"/>
          <w:bCs/>
          <w:color w:val="000000"/>
          <w:sz w:val="24"/>
          <w:szCs w:val="24"/>
          <w:lang w:eastAsia="fr-FR"/>
        </w:rPr>
        <w:t>000</w:t>
      </w:r>
    </w:p>
    <w:p w:rsidR="008C30E2" w:rsidRPr="0001518A" w:rsidRDefault="008C30E2"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p w:rsidR="0001518A" w:rsidRPr="0001518A" w:rsidRDefault="0001518A" w:rsidP="0001518A">
      <w:pPr>
        <w:tabs>
          <w:tab w:val="left" w:pos="851"/>
          <w:tab w:val="left" w:pos="1418"/>
          <w:tab w:val="left" w:leader="dot" w:pos="5529"/>
          <w:tab w:val="right" w:leader="dot" w:pos="8931"/>
        </w:tabs>
        <w:spacing w:after="0" w:line="240" w:lineRule="auto"/>
        <w:ind w:left="709"/>
        <w:rPr>
          <w:rFonts w:ascii="Times New Roman" w:eastAsia="Times New Roman" w:hAnsi="Times New Roman"/>
          <w:b/>
          <w:bCs/>
          <w:color w:val="000000"/>
          <w:sz w:val="24"/>
          <w:szCs w:val="24"/>
          <w:lang w:eastAsia="fr-FR"/>
        </w:rPr>
      </w:pPr>
      <w:r w:rsidRPr="0001518A">
        <w:rPr>
          <w:rFonts w:ascii="Times New Roman" w:eastAsia="Times New Roman" w:hAnsi="Times New Roman"/>
          <w:bCs/>
          <w:color w:val="000000"/>
          <w:sz w:val="24"/>
          <w:szCs w:val="24"/>
          <w:lang w:eastAsia="fr-FR"/>
        </w:rPr>
        <w:lastRenderedPageBreak/>
        <w:t>Amortissements différés</w:t>
      </w:r>
      <w:r w:rsidRPr="0001518A">
        <w:rPr>
          <w:rFonts w:ascii="Times New Roman" w:eastAsia="Times New Roman" w:hAnsi="Times New Roman"/>
          <w:bCs/>
          <w:color w:val="000000"/>
          <w:sz w:val="24"/>
          <w:szCs w:val="24"/>
          <w:lang w:eastAsia="fr-FR"/>
        </w:rPr>
        <w:tab/>
      </w:r>
      <w:r w:rsidRPr="0001518A">
        <w:rPr>
          <w:rFonts w:ascii="Times New Roman" w:eastAsia="Times New Roman" w:hAnsi="Times New Roman"/>
          <w:bCs/>
          <w:color w:val="000000"/>
          <w:sz w:val="24"/>
          <w:szCs w:val="24"/>
          <w:lang w:eastAsia="fr-FR"/>
        </w:rPr>
        <w:tab/>
      </w:r>
      <w:r w:rsidRPr="0001518A">
        <w:rPr>
          <w:rFonts w:ascii="Times New Roman" w:eastAsia="Times New Roman" w:hAnsi="Times New Roman"/>
          <w:b/>
          <w:bCs/>
          <w:color w:val="000000"/>
          <w:sz w:val="24"/>
          <w:szCs w:val="24"/>
          <w:lang w:eastAsia="fr-FR"/>
        </w:rPr>
        <w:t>28 875</w:t>
      </w:r>
    </w:p>
    <w:p w:rsidR="0001518A" w:rsidRPr="0001518A" w:rsidRDefault="0001518A" w:rsidP="0001518A">
      <w:pPr>
        <w:tabs>
          <w:tab w:val="left" w:pos="851"/>
          <w:tab w:val="left" w:pos="1418"/>
          <w:tab w:val="left" w:leader="dot" w:pos="5529"/>
          <w:tab w:val="right" w:leader="dot" w:pos="8931"/>
        </w:tabs>
        <w:spacing w:after="0" w:line="240" w:lineRule="auto"/>
        <w:ind w:left="709"/>
        <w:rPr>
          <w:rFonts w:ascii="Times New Roman" w:eastAsia="Times New Roman" w:hAnsi="Times New Roman"/>
          <w:sz w:val="24"/>
          <w:szCs w:val="24"/>
          <w:lang w:eastAsia="fr-FR"/>
        </w:rPr>
      </w:pPr>
      <w:r w:rsidRPr="0001518A">
        <w:rPr>
          <w:rFonts w:ascii="Times New Roman" w:eastAsia="Times New Roman" w:hAnsi="Times New Roman"/>
          <w:bCs/>
          <w:color w:val="000000"/>
          <w:sz w:val="24"/>
          <w:szCs w:val="24"/>
          <w:lang w:eastAsia="fr-FR"/>
        </w:rPr>
        <w:t>Amortissements irrégulièrement différés</w:t>
      </w:r>
      <w:r w:rsidRPr="0001518A">
        <w:rPr>
          <w:rFonts w:ascii="Times New Roman" w:eastAsia="Times New Roman" w:hAnsi="Times New Roman"/>
          <w:bCs/>
          <w:color w:val="000000"/>
          <w:sz w:val="24"/>
          <w:szCs w:val="24"/>
          <w:lang w:eastAsia="fr-FR"/>
        </w:rPr>
        <w:tab/>
      </w:r>
      <w:r w:rsidRPr="0001518A">
        <w:rPr>
          <w:rFonts w:ascii="Times New Roman" w:eastAsia="Times New Roman" w:hAnsi="Times New Roman"/>
          <w:sz w:val="24"/>
          <w:szCs w:val="24"/>
          <w:lang w:eastAsia="fr-FR"/>
        </w:rPr>
        <w:t>25 000 - 17 500</w:t>
      </w:r>
      <w:r w:rsidRPr="0001518A">
        <w:rPr>
          <w:rFonts w:ascii="Times New Roman" w:eastAsia="Times New Roman" w:hAnsi="Times New Roman"/>
          <w:sz w:val="24"/>
          <w:szCs w:val="24"/>
          <w:lang w:eastAsia="fr-FR"/>
        </w:rPr>
        <w:tab/>
      </w:r>
      <w:r w:rsidRPr="0001518A">
        <w:rPr>
          <w:rFonts w:ascii="Times New Roman" w:eastAsia="Times New Roman" w:hAnsi="Times New Roman"/>
          <w:b/>
          <w:sz w:val="24"/>
          <w:szCs w:val="24"/>
          <w:lang w:eastAsia="fr-FR"/>
        </w:rPr>
        <w:t>7 500</w:t>
      </w:r>
    </w:p>
    <w:p w:rsidR="0001518A" w:rsidRPr="0001518A" w:rsidRDefault="0001518A" w:rsidP="0001518A">
      <w:pPr>
        <w:tabs>
          <w:tab w:val="left" w:pos="851"/>
          <w:tab w:val="left" w:pos="1418"/>
          <w:tab w:val="left" w:leader="dot" w:pos="5529"/>
          <w:tab w:val="right" w:leader="dot" w:pos="8931"/>
        </w:tabs>
        <w:spacing w:after="0" w:line="240" w:lineRule="auto"/>
        <w:ind w:left="709"/>
        <w:rPr>
          <w:rFonts w:ascii="Times New Roman" w:eastAsia="Times New Roman" w:hAnsi="Times New Roman"/>
          <w:bCs/>
          <w:color w:val="000000"/>
          <w:sz w:val="24"/>
          <w:szCs w:val="24"/>
          <w:lang w:eastAsia="fr-FR"/>
        </w:rPr>
      </w:pPr>
      <w:r w:rsidRPr="0001518A">
        <w:rPr>
          <w:rFonts w:ascii="Times New Roman" w:eastAsia="Times New Roman" w:hAnsi="Times New Roman"/>
          <w:sz w:val="24"/>
          <w:szCs w:val="24"/>
          <w:lang w:eastAsia="fr-FR"/>
        </w:rPr>
        <w:t>Amortissements régulièrement différés</w:t>
      </w:r>
      <w:r w:rsidRPr="0001518A">
        <w:rPr>
          <w:rFonts w:ascii="Times New Roman" w:eastAsia="Times New Roman" w:hAnsi="Times New Roman"/>
          <w:sz w:val="24"/>
          <w:szCs w:val="24"/>
          <w:lang w:eastAsia="fr-FR"/>
        </w:rPr>
        <w:tab/>
        <w:t>28 875 – 7 500</w:t>
      </w:r>
      <w:r w:rsidRPr="0001518A">
        <w:rPr>
          <w:rFonts w:ascii="Times New Roman" w:eastAsia="Times New Roman" w:hAnsi="Times New Roman"/>
          <w:sz w:val="24"/>
          <w:szCs w:val="24"/>
          <w:lang w:eastAsia="fr-FR"/>
        </w:rPr>
        <w:tab/>
      </w:r>
      <w:r w:rsidRPr="0001518A">
        <w:rPr>
          <w:rFonts w:ascii="Times New Roman" w:eastAsia="Times New Roman" w:hAnsi="Times New Roman"/>
          <w:b/>
          <w:sz w:val="24"/>
          <w:szCs w:val="24"/>
          <w:lang w:eastAsia="fr-FR"/>
        </w:rPr>
        <w:t>21 375</w:t>
      </w:r>
    </w:p>
    <w:p w:rsidR="0001518A" w:rsidRPr="0001518A" w:rsidRDefault="0001518A" w:rsidP="0001518A">
      <w:pPr>
        <w:tabs>
          <w:tab w:val="left" w:pos="851"/>
          <w:tab w:val="left" w:pos="1418"/>
        </w:tabs>
        <w:spacing w:after="0" w:line="240" w:lineRule="auto"/>
        <w:rPr>
          <w:rFonts w:ascii="Times New Roman" w:eastAsia="Times New Roman" w:hAnsi="Times New Roman"/>
          <w:bCs/>
          <w:color w:val="000000"/>
          <w:sz w:val="24"/>
          <w:szCs w:val="24"/>
          <w:lang w:eastAsia="fr-FR"/>
        </w:rPr>
      </w:pPr>
    </w:p>
    <w:p w:rsidR="0001518A" w:rsidRPr="0001518A" w:rsidRDefault="00CE6B18" w:rsidP="0001518A">
      <w:pPr>
        <w:tabs>
          <w:tab w:val="left" w:pos="851"/>
          <w:tab w:val="left" w:pos="1418"/>
        </w:tabs>
        <w:spacing w:after="0" w:line="240" w:lineRule="auto"/>
        <w:rPr>
          <w:rFonts w:ascii="Times New Roman" w:eastAsia="Times New Roman" w:hAnsi="Times New Roman"/>
          <w:b/>
          <w:bCs/>
          <w:color w:val="FF0000"/>
          <w:sz w:val="24"/>
          <w:szCs w:val="24"/>
          <w:lang w:eastAsia="fr-FR"/>
        </w:rPr>
      </w:pPr>
      <w:r>
        <w:rPr>
          <w:rFonts w:ascii="Times New Roman" w:eastAsia="Times New Roman" w:hAnsi="Times New Roman"/>
          <w:b/>
          <w:bCs/>
          <w:color w:val="000000"/>
          <w:sz w:val="24"/>
          <w:szCs w:val="24"/>
          <w:lang w:eastAsia="fr-FR"/>
        </w:rPr>
        <w:t>2.3</w:t>
      </w:r>
      <w:r w:rsidR="0001518A" w:rsidRPr="0001518A">
        <w:rPr>
          <w:rFonts w:ascii="Times New Roman" w:eastAsia="Times New Roman" w:hAnsi="Times New Roman"/>
          <w:b/>
          <w:bCs/>
          <w:color w:val="000000"/>
          <w:sz w:val="24"/>
          <w:szCs w:val="24"/>
          <w:lang w:eastAsia="fr-FR"/>
        </w:rPr>
        <w:t xml:space="preserve"> </w:t>
      </w:r>
      <w:r w:rsidR="0001518A" w:rsidRPr="0001518A">
        <w:rPr>
          <w:rFonts w:ascii="Times New Roman" w:eastAsia="Times New Roman" w:hAnsi="Times New Roman"/>
          <w:b/>
          <w:sz w:val="24"/>
          <w:szCs w:val="24"/>
          <w:lang w:eastAsia="fr-FR"/>
        </w:rPr>
        <w:t>Justifier et calculer  la régularisation globale en matière de TVA induite par la cession du véhicule de tourisme.</w:t>
      </w:r>
    </w:p>
    <w:p w:rsidR="0001518A" w:rsidRPr="0001518A" w:rsidRDefault="0001518A" w:rsidP="0001518A">
      <w:pPr>
        <w:tabs>
          <w:tab w:val="left" w:pos="851"/>
          <w:tab w:val="left" w:pos="1418"/>
        </w:tabs>
        <w:spacing w:after="0" w:line="240" w:lineRule="auto"/>
        <w:rPr>
          <w:rFonts w:ascii="Times New Roman" w:eastAsia="Times New Roman" w:hAnsi="Times New Roman"/>
          <w:b/>
          <w:bCs/>
          <w:color w:val="000000"/>
          <w:sz w:val="24"/>
          <w:szCs w:val="24"/>
          <w:lang w:eastAsia="fr-FR"/>
        </w:rPr>
      </w:pPr>
    </w:p>
    <w:p w:rsidR="0001518A" w:rsidRPr="0001518A" w:rsidRDefault="0001518A" w:rsidP="0001518A">
      <w:pPr>
        <w:numPr>
          <w:ilvl w:val="1"/>
          <w:numId w:val="11"/>
        </w:numPr>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Délai de régularisation non expiré : reste 1 an (5 – 4)</w:t>
      </w:r>
    </w:p>
    <w:p w:rsidR="0001518A" w:rsidRPr="0001518A" w:rsidRDefault="0001518A" w:rsidP="0001518A">
      <w:pPr>
        <w:numPr>
          <w:ilvl w:val="1"/>
          <w:numId w:val="11"/>
        </w:numPr>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Cession soumise à la TVA : 10 000 * 20% = 2 000 € </w:t>
      </w:r>
    </w:p>
    <w:p w:rsidR="0001518A" w:rsidRPr="0001518A" w:rsidRDefault="0001518A" w:rsidP="0001518A">
      <w:pPr>
        <w:numPr>
          <w:ilvl w:val="1"/>
          <w:numId w:val="11"/>
        </w:numPr>
        <w:spacing w:after="0" w:line="240" w:lineRule="auto"/>
        <w:rPr>
          <w:rFonts w:ascii="Times New Roman" w:eastAsia="Times New Roman" w:hAnsi="Times New Roman"/>
          <w:color w:val="00B050"/>
          <w:sz w:val="24"/>
          <w:szCs w:val="24"/>
          <w:lang w:eastAsia="fr-FR"/>
        </w:rPr>
      </w:pPr>
      <w:r w:rsidRPr="0001518A">
        <w:rPr>
          <w:rFonts w:ascii="Times New Roman" w:eastAsia="Times New Roman" w:hAnsi="Times New Roman"/>
          <w:sz w:val="24"/>
          <w:szCs w:val="24"/>
          <w:lang w:eastAsia="fr-FR"/>
        </w:rPr>
        <w:t xml:space="preserve">TVA initiale non intégralement déduite : (48 000/1,2) * 0,2 = 8 000 €  </w:t>
      </w:r>
    </w:p>
    <w:p w:rsidR="0001518A" w:rsidRPr="0001518A" w:rsidRDefault="0001518A" w:rsidP="0001518A">
      <w:pPr>
        <w:numPr>
          <w:ilvl w:val="1"/>
          <w:numId w:val="11"/>
        </w:numPr>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L’entreprise bénéficie d’un complément de déduction : </w:t>
      </w:r>
    </w:p>
    <w:p w:rsidR="0001518A" w:rsidRPr="0001518A" w:rsidRDefault="0001518A" w:rsidP="0001518A">
      <w:pPr>
        <w:spacing w:after="0" w:line="240" w:lineRule="auto"/>
        <w:ind w:left="567"/>
        <w:rPr>
          <w:rFonts w:ascii="Times New Roman" w:eastAsia="Times New Roman" w:hAnsi="Times New Roman"/>
          <w:color w:val="00B050"/>
          <w:sz w:val="24"/>
          <w:szCs w:val="24"/>
          <w:lang w:eastAsia="fr-FR"/>
        </w:rPr>
      </w:pPr>
      <w:r w:rsidRPr="0001518A">
        <w:rPr>
          <w:rFonts w:ascii="Times New Roman" w:eastAsia="Times New Roman" w:hAnsi="Times New Roman"/>
          <w:sz w:val="24"/>
          <w:szCs w:val="24"/>
          <w:lang w:eastAsia="fr-FR"/>
        </w:rPr>
        <w:t xml:space="preserve">(8 000/5) × 1 = 1 600 € </w:t>
      </w:r>
    </w:p>
    <w:p w:rsidR="0001518A" w:rsidRPr="0001518A" w:rsidRDefault="0001518A" w:rsidP="0001518A">
      <w:pPr>
        <w:tabs>
          <w:tab w:val="left" w:pos="851"/>
          <w:tab w:val="left" w:pos="1418"/>
        </w:tabs>
        <w:spacing w:after="0" w:line="240" w:lineRule="auto"/>
        <w:rPr>
          <w:rFonts w:ascii="Times New Roman" w:eastAsia="Times New Roman" w:hAnsi="Times New Roman"/>
          <w:bCs/>
          <w:vanish/>
          <w:color w:val="000000"/>
          <w:sz w:val="24"/>
          <w:szCs w:val="24"/>
          <w:lang w:eastAsia="fr-FR"/>
        </w:rPr>
      </w:pPr>
      <w:r w:rsidRPr="0001518A">
        <w:rPr>
          <w:rFonts w:ascii="Times New Roman" w:eastAsia="Times New Roman" w:hAnsi="Times New Roman"/>
          <w:bCs/>
          <w:vanish/>
          <w:color w:val="000000"/>
          <w:sz w:val="24"/>
          <w:szCs w:val="24"/>
          <w:lang w:eastAsia="fr-FR"/>
        </w:rPr>
        <w:t xml:space="preserve">Ce complément va diminuer la valeur d’origine, donc va augmenter le résultat de cession. </w:t>
      </w:r>
    </w:p>
    <w:p w:rsidR="0001518A" w:rsidRPr="0001518A" w:rsidRDefault="0001518A" w:rsidP="0001518A">
      <w:pPr>
        <w:tabs>
          <w:tab w:val="left" w:pos="851"/>
          <w:tab w:val="left" w:pos="1418"/>
        </w:tabs>
        <w:spacing w:after="0" w:line="240" w:lineRule="auto"/>
        <w:rPr>
          <w:rFonts w:ascii="Times New Roman" w:eastAsia="Times New Roman" w:hAnsi="Times New Roman"/>
          <w:b/>
          <w:bCs/>
          <w:color w:val="000000"/>
          <w:sz w:val="24"/>
          <w:szCs w:val="24"/>
          <w:lang w:eastAsia="fr-FR"/>
        </w:rPr>
      </w:pPr>
    </w:p>
    <w:p w:rsidR="0001518A" w:rsidRPr="0001518A" w:rsidRDefault="00CE6B18" w:rsidP="0001518A">
      <w:pPr>
        <w:spacing w:after="0" w:line="240" w:lineRule="auto"/>
        <w:jc w:val="both"/>
        <w:rPr>
          <w:rFonts w:ascii="Times New Roman" w:eastAsia="Times New Roman" w:hAnsi="Times New Roman"/>
          <w:b/>
          <w:bCs/>
          <w:color w:val="FF0000"/>
          <w:sz w:val="24"/>
          <w:szCs w:val="24"/>
          <w:lang w:eastAsia="fr-FR"/>
        </w:rPr>
      </w:pPr>
      <w:r>
        <w:rPr>
          <w:rFonts w:ascii="Times New Roman" w:eastAsia="Times New Roman" w:hAnsi="Times New Roman"/>
          <w:b/>
          <w:color w:val="000000"/>
          <w:sz w:val="24"/>
          <w:szCs w:val="24"/>
          <w:lang w:eastAsia="fr-FR"/>
        </w:rPr>
        <w:t>2.4</w:t>
      </w:r>
      <w:r w:rsidR="0001518A" w:rsidRPr="0001518A">
        <w:rPr>
          <w:rFonts w:ascii="Times New Roman" w:eastAsia="Times New Roman" w:hAnsi="Times New Roman"/>
          <w:b/>
          <w:color w:val="000000"/>
          <w:sz w:val="24"/>
          <w:szCs w:val="24"/>
          <w:lang w:eastAsia="fr-FR"/>
        </w:rPr>
        <w:t xml:space="preserve"> </w:t>
      </w:r>
      <w:r w:rsidR="0001518A" w:rsidRPr="0001518A">
        <w:rPr>
          <w:rFonts w:ascii="Times New Roman" w:eastAsia="Times New Roman" w:hAnsi="Times New Roman"/>
          <w:b/>
          <w:bCs/>
          <w:sz w:val="24"/>
          <w:szCs w:val="24"/>
          <w:lang w:eastAsia="fr-FR"/>
        </w:rPr>
        <w:t>Calculer et qualifier les plus ou moins-values professionnelles réalisées au cours de l'exercice 2013. Préciser leurs modalités d'imposition.</w:t>
      </w:r>
    </w:p>
    <w:p w:rsidR="0001518A" w:rsidRPr="0001518A" w:rsidRDefault="0001518A" w:rsidP="0001518A">
      <w:pPr>
        <w:spacing w:after="0" w:line="240" w:lineRule="auto"/>
        <w:jc w:val="both"/>
        <w:rPr>
          <w:rFonts w:ascii="Times New Roman" w:eastAsia="Times New Roman" w:hAnsi="Times New Roman"/>
          <w:b/>
          <w:bCs/>
          <w:color w:val="FF0000"/>
          <w:sz w:val="24"/>
          <w:szCs w:val="24"/>
          <w:lang w:eastAsia="fr-FR"/>
        </w:rPr>
      </w:pPr>
    </w:p>
    <w:p w:rsidR="0001518A" w:rsidRPr="0001518A" w:rsidRDefault="0001518A" w:rsidP="0001518A">
      <w:pPr>
        <w:spacing w:after="0" w:line="240" w:lineRule="auto"/>
        <w:jc w:val="both"/>
        <w:rPr>
          <w:rFonts w:ascii="Times New Roman" w:eastAsia="Times New Roman" w:hAnsi="Times New Roman"/>
          <w:b/>
          <w:i/>
          <w:sz w:val="24"/>
          <w:szCs w:val="24"/>
          <w:lang w:eastAsia="fr-FR"/>
        </w:rPr>
      </w:pPr>
      <w:r w:rsidRPr="0001518A">
        <w:rPr>
          <w:rFonts w:ascii="Times New Roman" w:eastAsia="Times New Roman" w:hAnsi="Times New Roman"/>
          <w:b/>
          <w:bCs/>
          <w:i/>
          <w:sz w:val="24"/>
          <w:szCs w:val="24"/>
          <w:lang w:eastAsia="fr-FR"/>
        </w:rPr>
        <w:t>Analyse des opérations</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Cession du matériel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Valeur d’origine = 100 000 €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Somme des amortissements de l’acquisition à la cession</w:t>
      </w:r>
      <w:r w:rsidRPr="0001518A">
        <w:rPr>
          <w:rFonts w:ascii="Times New Roman" w:eastAsia="Times New Roman" w:hAnsi="Times New Roman"/>
          <w:b/>
          <w:bCs/>
          <w:sz w:val="24"/>
          <w:szCs w:val="24"/>
          <w:lang w:eastAsia="fr-FR"/>
        </w:rPr>
        <w:t> </w:t>
      </w:r>
      <w:r w:rsidRPr="0001518A">
        <w:rPr>
          <w:rFonts w:ascii="Times New Roman" w:eastAsia="Times New Roman" w:hAnsi="Times New Roman"/>
          <w:bCs/>
          <w:sz w:val="24"/>
          <w:szCs w:val="24"/>
          <w:lang w:eastAsia="fr-FR"/>
        </w:rPr>
        <w:t xml:space="preserve">: 17 500 + 38 259 = 55 759 € y compris l’amortissement irrégulièrement différé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Résultat de cession : 54 541 - (100 000 - 55 759) = +10 300 €, il s’agit d’une plus-value à CT</w:t>
      </w:r>
      <w:r w:rsidR="00F7022E">
        <w:rPr>
          <w:rFonts w:ascii="Times New Roman" w:eastAsia="Times New Roman" w:hAnsi="Times New Roman"/>
          <w:bCs/>
          <w:sz w:val="24"/>
          <w:szCs w:val="24"/>
          <w:lang w:eastAsia="fr-FR"/>
        </w:rPr>
        <w:t>-</w:t>
      </w:r>
      <w:r w:rsidRPr="0001518A">
        <w:rPr>
          <w:rFonts w:ascii="Times New Roman" w:eastAsia="Times New Roman" w:hAnsi="Times New Roman"/>
          <w:bCs/>
          <w:sz w:val="24"/>
          <w:szCs w:val="24"/>
          <w:lang w:eastAsia="fr-FR"/>
        </w:rPr>
        <w:t>Régime de l’IS</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Cession véhicule de tourisme cédé à un négociant en biens d’occasion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Valeur d’origine  rectifiée : 48 000 - 1 600 = 46 400€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Amortissements pratiqués linéaires</w:t>
      </w:r>
      <w:r w:rsidRPr="0001518A">
        <w:rPr>
          <w:rFonts w:ascii="Times New Roman" w:eastAsia="Times New Roman" w:hAnsi="Times New Roman"/>
          <w:b/>
          <w:bCs/>
          <w:sz w:val="24"/>
          <w:szCs w:val="24"/>
          <w:lang w:eastAsia="fr-FR"/>
        </w:rPr>
        <w:t xml:space="preserve"> </w:t>
      </w:r>
      <w:r w:rsidRPr="0001518A">
        <w:rPr>
          <w:rFonts w:ascii="Times New Roman" w:eastAsia="Times New Roman" w:hAnsi="Times New Roman"/>
          <w:bCs/>
          <w:sz w:val="24"/>
          <w:szCs w:val="24"/>
          <w:lang w:eastAsia="fr-FR"/>
        </w:rPr>
        <w:t xml:space="preserve">de l’acquisition à la cession : (48 000/5) * 4 = 38 400 €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Résultat de cession = 10 000 - (46 400 - 38 400) = +2 000 € plus value à CT - Régime de l’IS</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Cession d’un brevet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Valeur d’origine : 9 000 €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Amortissements pratiqués  de l’acquisition à la cession : 9 000 * 0,2 * 3 = 5 400 €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Résultat de cession =  6 000 - (9 000 - 5 400)=  +2 400 €  PVLT   - régime particulier - imposée à 15 % car les conditions de l’imposition à 15 % sont réunies :</w:t>
      </w:r>
    </w:p>
    <w:p w:rsidR="0001518A" w:rsidRPr="0001518A" w:rsidRDefault="0001518A" w:rsidP="007F7F3E">
      <w:pPr>
        <w:numPr>
          <w:ilvl w:val="0"/>
          <w:numId w:val="19"/>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 brevet a été acheté il y plus de 2 ans</w:t>
      </w:r>
    </w:p>
    <w:p w:rsidR="0001518A" w:rsidRPr="0001518A" w:rsidRDefault="0001518A" w:rsidP="007F7F3E">
      <w:pPr>
        <w:numPr>
          <w:ilvl w:val="0"/>
          <w:numId w:val="19"/>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 brevet est inscrit en immobilisation</w:t>
      </w:r>
    </w:p>
    <w:p w:rsidR="0001518A" w:rsidRPr="0001518A" w:rsidRDefault="0001518A" w:rsidP="007F7F3E">
      <w:pPr>
        <w:numPr>
          <w:ilvl w:val="0"/>
          <w:numId w:val="19"/>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pas  de lien entre le vendeur et l’acheteur</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Cession du mobilier ayant subi un dégât des eaux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Valeur d’origine : 7 000 €</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Cs/>
          <w:sz w:val="24"/>
          <w:szCs w:val="24"/>
          <w:lang w:eastAsia="fr-FR"/>
        </w:rPr>
        <w:t xml:space="preserve">Amortissements pratiqués  de l’acquisition au sinistre : 7 000/10 * 3,5 = 2 450 €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Résultat de cession : 6 550 – (7 000- 2 450) = 2 000 € PVCT – Régime de l’IS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p>
    <w:p w:rsidR="0001518A" w:rsidRPr="0001518A" w:rsidRDefault="0001518A" w:rsidP="0001518A">
      <w:pPr>
        <w:spacing w:after="0" w:line="240" w:lineRule="auto"/>
        <w:jc w:val="both"/>
        <w:rPr>
          <w:rFonts w:ascii="Times New Roman" w:eastAsia="Times New Roman" w:hAnsi="Times New Roman"/>
          <w:b/>
          <w:bCs/>
          <w:i/>
          <w:sz w:val="24"/>
          <w:szCs w:val="24"/>
          <w:lang w:eastAsia="fr-FR"/>
        </w:rPr>
      </w:pPr>
      <w:r w:rsidRPr="0001518A">
        <w:rPr>
          <w:rFonts w:ascii="Times New Roman" w:eastAsia="Times New Roman" w:hAnsi="Times New Roman"/>
          <w:b/>
          <w:bCs/>
          <w:i/>
          <w:sz w:val="24"/>
          <w:szCs w:val="24"/>
          <w:lang w:eastAsia="fr-FR"/>
        </w:rPr>
        <w:t>Analyse et imposition des résultats nets de cession</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Plus-value nette à court terme : 10 300 + 2 000 + 2 000 = 14 300 €. Elle est imposable au taux normal.Cependant la PVCT réalisée suite à un sinistre est étalée sur la durée des amortissements pratiqués avec un maximum de 15 ans.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Ici, 3,5 années d’amortissement ont été pratiquées donc l’étalement est effectué sur 4 ans (arrondi à l’année supérieure).Le montant étalable est plafonné par la plus-value nette globale à court terme de l’exercice (14 300).</w:t>
      </w:r>
    </w:p>
    <w:p w:rsidR="0001518A" w:rsidRPr="0001518A" w:rsidRDefault="0001518A" w:rsidP="0001518A">
      <w:pPr>
        <w:spacing w:after="0" w:line="240" w:lineRule="auto"/>
        <w:jc w:val="both"/>
        <w:rPr>
          <w:rFonts w:ascii="Times New Roman" w:eastAsia="Times New Roman" w:hAnsi="Times New Roman"/>
          <w:bCs/>
          <w:color w:val="0070C0"/>
          <w:sz w:val="24"/>
          <w:szCs w:val="24"/>
          <w:lang w:eastAsia="fr-FR"/>
        </w:rPr>
      </w:pPr>
      <w:r w:rsidRPr="0001518A">
        <w:rPr>
          <w:rFonts w:ascii="Times New Roman" w:eastAsia="Times New Roman" w:hAnsi="Times New Roman"/>
          <w:b/>
          <w:bCs/>
          <w:sz w:val="24"/>
          <w:szCs w:val="24"/>
          <w:lang w:eastAsia="fr-FR"/>
        </w:rPr>
        <w:t>Conclusion :</w:t>
      </w:r>
      <w:r w:rsidRPr="0001518A">
        <w:rPr>
          <w:rFonts w:ascii="Times New Roman" w:eastAsia="Times New Roman" w:hAnsi="Times New Roman"/>
          <w:bCs/>
          <w:sz w:val="24"/>
          <w:szCs w:val="24"/>
          <w:lang w:eastAsia="fr-FR"/>
        </w:rPr>
        <w:t xml:space="preserve"> la PVCT sur assurance est étalée pour un montant de 2 000 € sur 4 ans à compter de 2014 par fraction entière</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 reste de la PVNCT (12 300 €) est imposable en 2013.</w:t>
      </w:r>
    </w:p>
    <w:p w:rsidR="0001518A" w:rsidRDefault="007F7F3E" w:rsidP="007F7F3E">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Plus-value</w:t>
      </w:r>
      <w:r w:rsidR="0001518A" w:rsidRPr="0001518A">
        <w:rPr>
          <w:rFonts w:ascii="Times New Roman" w:eastAsia="Times New Roman" w:hAnsi="Times New Roman"/>
          <w:bCs/>
          <w:sz w:val="24"/>
          <w:szCs w:val="24"/>
          <w:lang w:eastAsia="fr-FR"/>
        </w:rPr>
        <w:t xml:space="preserve"> nette à long terme imposable à 15 % : 2 400 (brevet)</w:t>
      </w:r>
    </w:p>
    <w:p w:rsidR="008C30E2" w:rsidRDefault="008C30E2" w:rsidP="007F7F3E">
      <w:pPr>
        <w:spacing w:after="0" w:line="240" w:lineRule="auto"/>
        <w:jc w:val="both"/>
        <w:rPr>
          <w:rFonts w:ascii="Times New Roman" w:eastAsia="Times New Roman" w:hAnsi="Times New Roman"/>
          <w:bCs/>
          <w:sz w:val="24"/>
          <w:szCs w:val="24"/>
          <w:lang w:eastAsia="fr-FR"/>
        </w:rPr>
      </w:pPr>
    </w:p>
    <w:p w:rsidR="007F7F3E" w:rsidRDefault="007F7F3E" w:rsidP="0001518A">
      <w:pPr>
        <w:widowControl w:val="0"/>
        <w:autoSpaceDE w:val="0"/>
        <w:autoSpaceDN w:val="0"/>
        <w:adjustRightInd w:val="0"/>
        <w:spacing w:after="0" w:line="240" w:lineRule="auto"/>
        <w:jc w:val="both"/>
        <w:rPr>
          <w:rFonts w:ascii="Times New Roman" w:eastAsia="Times New Roman" w:hAnsi="Times New Roman"/>
          <w:bCs/>
          <w:sz w:val="24"/>
          <w:szCs w:val="24"/>
          <w:lang w:eastAsia="fr-FR"/>
        </w:rPr>
      </w:pPr>
    </w:p>
    <w:p w:rsidR="0001518A" w:rsidRPr="0001518A" w:rsidRDefault="00CE6B18" w:rsidP="0001518A">
      <w:pPr>
        <w:widowControl w:val="0"/>
        <w:autoSpaceDE w:val="0"/>
        <w:autoSpaceDN w:val="0"/>
        <w:adjustRightInd w:val="0"/>
        <w:spacing w:after="0" w:line="240" w:lineRule="auto"/>
        <w:jc w:val="both"/>
        <w:rPr>
          <w:rFonts w:ascii="Times New Roman" w:eastAsia="Times New Roman" w:hAnsi="Times New Roman"/>
          <w:b/>
          <w:bCs/>
          <w:color w:val="FF0000"/>
          <w:sz w:val="24"/>
          <w:szCs w:val="24"/>
          <w:lang w:eastAsia="fr-FR"/>
        </w:rPr>
      </w:pPr>
      <w:r>
        <w:rPr>
          <w:rFonts w:ascii="Times New Roman" w:eastAsia="Times New Roman" w:hAnsi="Times New Roman"/>
          <w:b/>
          <w:bCs/>
          <w:sz w:val="24"/>
          <w:szCs w:val="24"/>
          <w:lang w:eastAsia="fr-FR"/>
        </w:rPr>
        <w:t>2.5</w:t>
      </w:r>
      <w:r w:rsidR="0001518A" w:rsidRPr="0001518A">
        <w:rPr>
          <w:rFonts w:ascii="Times New Roman" w:eastAsia="Times New Roman" w:hAnsi="Times New Roman"/>
          <w:bCs/>
          <w:sz w:val="24"/>
          <w:szCs w:val="24"/>
          <w:lang w:eastAsia="fr-FR"/>
        </w:rPr>
        <w:t xml:space="preserve"> </w:t>
      </w:r>
      <w:r w:rsidR="0001518A" w:rsidRPr="0001518A">
        <w:rPr>
          <w:rFonts w:ascii="Times New Roman" w:eastAsia="Times New Roman" w:hAnsi="Times New Roman"/>
          <w:b/>
          <w:bCs/>
          <w:sz w:val="24"/>
          <w:szCs w:val="24"/>
          <w:lang w:eastAsia="fr-FR"/>
        </w:rPr>
        <w:t>Présenter les retraitements nécessaires au calcul du résultat fiscal 2013</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761"/>
        <w:gridCol w:w="1723"/>
        <w:gridCol w:w="1363"/>
      </w:tblGrid>
      <w:tr w:rsidR="00F7022E" w:rsidRPr="0001518A" w:rsidTr="00CE6B18">
        <w:trPr>
          <w:cantSplit/>
          <w:jc w:val="center"/>
        </w:trPr>
        <w:tc>
          <w:tcPr>
            <w:tcW w:w="0" w:type="auto"/>
            <w:tcBorders>
              <w:bottom w:val="single" w:sz="4" w:space="0" w:color="auto"/>
            </w:tcBorders>
            <w:shd w:val="clear" w:color="auto" w:fill="BFBFBF"/>
          </w:tcPr>
          <w:p w:rsidR="0001518A" w:rsidRPr="0001518A" w:rsidRDefault="0001518A" w:rsidP="0001518A">
            <w:pPr>
              <w:keepNext/>
              <w:spacing w:after="0" w:line="240" w:lineRule="auto"/>
              <w:jc w:val="center"/>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Éléments</w:t>
            </w:r>
          </w:p>
        </w:tc>
        <w:tc>
          <w:tcPr>
            <w:tcW w:w="0" w:type="auto"/>
            <w:tcBorders>
              <w:bottom w:val="single" w:sz="4" w:space="0" w:color="auto"/>
            </w:tcBorders>
            <w:shd w:val="clear" w:color="auto" w:fill="BFBFBF"/>
          </w:tcPr>
          <w:p w:rsidR="0001518A" w:rsidRPr="0001518A" w:rsidRDefault="0001518A" w:rsidP="0001518A">
            <w:pPr>
              <w:keepNext/>
              <w:spacing w:after="0" w:line="240" w:lineRule="auto"/>
              <w:jc w:val="center"/>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Explications</w:t>
            </w:r>
          </w:p>
        </w:tc>
        <w:tc>
          <w:tcPr>
            <w:tcW w:w="0" w:type="auto"/>
            <w:tcBorders>
              <w:bottom w:val="single" w:sz="4" w:space="0" w:color="auto"/>
            </w:tcBorders>
            <w:shd w:val="clear" w:color="auto" w:fill="BFBFBF"/>
          </w:tcPr>
          <w:p w:rsidR="0001518A" w:rsidRPr="0001518A" w:rsidRDefault="0001518A" w:rsidP="0001518A">
            <w:pPr>
              <w:keepNext/>
              <w:spacing w:after="0" w:line="240" w:lineRule="auto"/>
              <w:jc w:val="center"/>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Réintégrations</w:t>
            </w:r>
          </w:p>
        </w:tc>
        <w:tc>
          <w:tcPr>
            <w:tcW w:w="0" w:type="auto"/>
            <w:tcBorders>
              <w:bottom w:val="single" w:sz="4" w:space="0" w:color="auto"/>
            </w:tcBorders>
            <w:shd w:val="clear" w:color="auto" w:fill="BFBFBF"/>
          </w:tcPr>
          <w:p w:rsidR="0001518A" w:rsidRPr="0001518A" w:rsidRDefault="0001518A" w:rsidP="0001518A">
            <w:pPr>
              <w:keepNext/>
              <w:spacing w:after="0" w:line="240" w:lineRule="auto"/>
              <w:jc w:val="center"/>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Déductions</w:t>
            </w: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PVNCT hors sinistre</w:t>
            </w:r>
          </w:p>
        </w:tc>
        <w:tc>
          <w:tcPr>
            <w:tcW w:w="0" w:type="auto"/>
          </w:tcPr>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Produit de l’exercice 2013 – Aucun retraitement</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PVCT (sinistre)</w:t>
            </w:r>
          </w:p>
          <w:p w:rsidR="0001518A" w:rsidRPr="0001518A" w:rsidRDefault="0001518A" w:rsidP="0001518A">
            <w:pPr>
              <w:spacing w:after="0" w:line="240" w:lineRule="auto"/>
              <w:jc w:val="center"/>
              <w:rPr>
                <w:rFonts w:ascii="Times New Roman" w:eastAsia="Times New Roman" w:hAnsi="Times New Roman"/>
                <w:bCs/>
                <w:sz w:val="24"/>
                <w:szCs w:val="24"/>
                <w:lang w:eastAsia="fr-FR"/>
              </w:rPr>
            </w:pPr>
          </w:p>
          <w:p w:rsidR="0001518A" w:rsidRPr="0001518A" w:rsidRDefault="0001518A" w:rsidP="0001518A">
            <w:pPr>
              <w:spacing w:after="0" w:line="240" w:lineRule="auto"/>
              <w:rPr>
                <w:rFonts w:ascii="Times New Roman" w:eastAsia="Times New Roman" w:hAnsi="Times New Roman"/>
                <w:bCs/>
                <w:sz w:val="24"/>
                <w:szCs w:val="24"/>
                <w:lang w:eastAsia="fr-FR"/>
              </w:rPr>
            </w:pPr>
          </w:p>
        </w:tc>
        <w:tc>
          <w:tcPr>
            <w:tcW w:w="0" w:type="auto"/>
          </w:tcPr>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Indemnisation d’un matériel sinistré.</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PVCT étalée sur 4 ans à partir de l’année suivant le sinistre.</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bCs/>
                <w:sz w:val="24"/>
                <w:szCs w:val="24"/>
                <w:lang w:eastAsia="fr-FR"/>
              </w:rPr>
              <w:t xml:space="preserve">Déduction de la totalité de la PVCT. </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Réintégration de la provision pour IS non imposable car l’IS est un impôt non déductible</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667</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2 000</w:t>
            </w:r>
          </w:p>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PVNLT</w:t>
            </w:r>
          </w:p>
        </w:tc>
        <w:tc>
          <w:tcPr>
            <w:tcW w:w="0" w:type="auto"/>
          </w:tcPr>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b/>
                <w:sz w:val="24"/>
                <w:szCs w:val="24"/>
                <w:lang w:eastAsia="fr-FR"/>
              </w:rPr>
              <w:t>Imposée séparément</w:t>
            </w:r>
            <w:r w:rsidRPr="0001518A">
              <w:rPr>
                <w:rFonts w:ascii="Times New Roman" w:eastAsia="Times New Roman" w:hAnsi="Times New Roman"/>
                <w:sz w:val="24"/>
                <w:szCs w:val="24"/>
                <w:lang w:eastAsia="fr-FR"/>
              </w:rPr>
              <w:t xml:space="preserve"> (à 15 %) donc déduction. </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2 400</w:t>
            </w: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
                <w:bCs/>
                <w:sz w:val="24"/>
                <w:szCs w:val="24"/>
                <w:lang w:eastAsia="fr-FR"/>
              </w:rPr>
            </w:pPr>
            <w:r w:rsidRPr="0001518A">
              <w:rPr>
                <w:rFonts w:ascii="Times New Roman" w:eastAsia="Times New Roman" w:hAnsi="Times New Roman"/>
                <w:sz w:val="24"/>
                <w:szCs w:val="24"/>
                <w:lang w:eastAsia="fr-FR"/>
              </w:rPr>
              <w:t xml:space="preserve">Amortissement irrégulièrement différé </w:t>
            </w:r>
            <w:r w:rsidRPr="0001518A">
              <w:rPr>
                <w:rFonts w:ascii="Times New Roman" w:eastAsia="Times New Roman" w:hAnsi="Times New Roman"/>
                <w:bCs/>
                <w:sz w:val="24"/>
                <w:szCs w:val="24"/>
                <w:lang w:eastAsia="fr-FR"/>
              </w:rPr>
              <w:t>sur le matériel</w:t>
            </w:r>
          </w:p>
        </w:tc>
        <w:tc>
          <w:tcPr>
            <w:tcW w:w="0" w:type="auto"/>
          </w:tcPr>
          <w:p w:rsidR="0001518A" w:rsidRPr="0001518A" w:rsidRDefault="0001518A" w:rsidP="0001518A">
            <w:pPr>
              <w:spacing w:after="0" w:line="240" w:lineRule="auto"/>
              <w:jc w:val="both"/>
              <w:rPr>
                <w:rFonts w:ascii="Times New Roman" w:eastAsia="Times New Roman" w:hAnsi="Times New Roman"/>
                <w:b/>
                <w:color w:val="0070C0"/>
                <w:sz w:val="24"/>
                <w:szCs w:val="24"/>
                <w:lang w:eastAsia="fr-FR"/>
              </w:rPr>
            </w:pPr>
            <w:r w:rsidRPr="0001518A">
              <w:rPr>
                <w:rFonts w:ascii="Times New Roman" w:eastAsia="Times New Roman" w:hAnsi="Times New Roman"/>
                <w:sz w:val="24"/>
                <w:szCs w:val="24"/>
                <w:lang w:eastAsia="fr-FR"/>
              </w:rPr>
              <w:t xml:space="preserve">A réintégrer au plus tard à la cession. </w:t>
            </w:r>
          </w:p>
          <w:p w:rsidR="0001518A" w:rsidRPr="0001518A" w:rsidRDefault="0001518A" w:rsidP="0001518A">
            <w:pPr>
              <w:spacing w:after="0" w:line="240" w:lineRule="auto"/>
              <w:jc w:val="both"/>
              <w:rPr>
                <w:rFonts w:ascii="Times New Roman" w:eastAsia="Times New Roman" w:hAnsi="Times New Roman"/>
                <w:b/>
                <w:sz w:val="24"/>
                <w:szCs w:val="24"/>
                <w:lang w:eastAsia="fr-FR"/>
              </w:rPr>
            </w:pPr>
            <w:r w:rsidRPr="0001518A">
              <w:rPr>
                <w:rFonts w:ascii="Times New Roman" w:eastAsia="Times New Roman" w:hAnsi="Times New Roman"/>
                <w:b/>
                <w:sz w:val="24"/>
                <w:szCs w:val="24"/>
                <w:lang w:eastAsia="fr-FR"/>
              </w:rPr>
              <w:t>(*)</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7 500</w:t>
            </w: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(ou 7 087)</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Véhicule de tourisme</w:t>
            </w:r>
          </w:p>
          <w:p w:rsidR="0001518A" w:rsidRPr="0001518A" w:rsidRDefault="0001518A" w:rsidP="0001518A">
            <w:pPr>
              <w:spacing w:after="0" w:line="240" w:lineRule="auto"/>
              <w:jc w:val="center"/>
              <w:rPr>
                <w:rFonts w:ascii="Times New Roman" w:eastAsia="Times New Roman" w:hAnsi="Times New Roman"/>
                <w:b/>
                <w:bCs/>
                <w:sz w:val="24"/>
                <w:szCs w:val="24"/>
                <w:lang w:eastAsia="fr-FR"/>
              </w:rPr>
            </w:pPr>
          </w:p>
        </w:tc>
        <w:tc>
          <w:tcPr>
            <w:tcW w:w="0" w:type="auto"/>
          </w:tcPr>
          <w:p w:rsidR="0001518A" w:rsidRPr="0001518A" w:rsidRDefault="0001518A" w:rsidP="0001518A">
            <w:pPr>
              <w:spacing w:after="0" w:line="240" w:lineRule="auto"/>
              <w:jc w:val="both"/>
              <w:rPr>
                <w:rFonts w:ascii="Times New Roman" w:eastAsia="Times New Roman" w:hAnsi="Times New Roman"/>
                <w:b/>
                <w:color w:val="0070C0"/>
                <w:sz w:val="24"/>
                <w:szCs w:val="24"/>
                <w:lang w:eastAsia="fr-FR"/>
              </w:rPr>
            </w:pPr>
            <w:r w:rsidRPr="0001518A">
              <w:rPr>
                <w:rFonts w:ascii="Times New Roman" w:eastAsia="Times New Roman" w:hAnsi="Times New Roman"/>
                <w:sz w:val="24"/>
                <w:szCs w:val="24"/>
                <w:lang w:eastAsia="fr-FR"/>
              </w:rPr>
              <w:t xml:space="preserve"> Amortissement non admis fiscalement jusqu’à la date de cession. </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(48 000 – 18 300) / 5</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5 940</w:t>
            </w:r>
          </w:p>
        </w:tc>
        <w:tc>
          <w:tcPr>
            <w:tcW w:w="0" w:type="auto"/>
            <w:vAlign w:val="center"/>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tc>
      </w:tr>
      <w:tr w:rsidR="0001518A" w:rsidRPr="0001518A" w:rsidTr="00DD23EA">
        <w:trPr>
          <w:cantSplit/>
          <w:jc w:val="center"/>
        </w:trPr>
        <w:tc>
          <w:tcPr>
            <w:tcW w:w="0" w:type="auto"/>
            <w:tcBorders>
              <w:bottom w:val="single" w:sz="4" w:space="0" w:color="auto"/>
            </w:tcBorders>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Ecarts de conversion</w:t>
            </w:r>
          </w:p>
          <w:p w:rsidR="0001518A" w:rsidRPr="0001518A" w:rsidRDefault="0001518A" w:rsidP="0001518A">
            <w:pPr>
              <w:spacing w:after="0" w:line="240" w:lineRule="auto"/>
              <w:jc w:val="center"/>
              <w:rPr>
                <w:rFonts w:ascii="Times New Roman" w:eastAsia="Times New Roman" w:hAnsi="Times New Roman"/>
                <w:b/>
                <w:bCs/>
                <w:sz w:val="24"/>
                <w:szCs w:val="24"/>
                <w:lang w:eastAsia="fr-FR"/>
              </w:rPr>
            </w:pPr>
          </w:p>
        </w:tc>
        <w:tc>
          <w:tcPr>
            <w:tcW w:w="0" w:type="auto"/>
            <w:tcBorders>
              <w:bottom w:val="single" w:sz="4" w:space="0" w:color="auto"/>
            </w:tcBorders>
          </w:tcPr>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 Les pertes latentes de 2012 sont à réintégrer en 2013 car déduites en 2012 (1 200)</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Les pertes latentes de 2013 sont à déduire car elles sont déductibles et non comptabilisées en charges. (2 200)</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Les plus values latentes sont imposables en 2012 donc à déduire en 2013 (1 000)</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Les plus values latentes  de 2013  sont imposables et à réintégrer car elles ne sont pas comptabilisées en produits. (3 000)</w:t>
            </w: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Une reprise de provision pour risque de change a été effectuée en 2013 (2 500 – 1 000), la reprise est non imposable car la dotation est non déductible, donc déduction. </w:t>
            </w:r>
          </w:p>
        </w:tc>
        <w:tc>
          <w:tcPr>
            <w:tcW w:w="0" w:type="auto"/>
            <w:tcBorders>
              <w:bottom w:val="single" w:sz="4" w:space="0" w:color="auto"/>
            </w:tcBorders>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1 200</w:t>
            </w: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3 000</w:t>
            </w:r>
          </w:p>
        </w:tc>
        <w:tc>
          <w:tcPr>
            <w:tcW w:w="0" w:type="auto"/>
            <w:tcBorders>
              <w:bottom w:val="single" w:sz="4" w:space="0" w:color="auto"/>
            </w:tcBorders>
          </w:tcPr>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2 200</w:t>
            </w: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1 000</w:t>
            </w: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p>
          <w:p w:rsidR="0001518A" w:rsidRPr="0001518A" w:rsidRDefault="0001518A" w:rsidP="0001518A">
            <w:pPr>
              <w:spacing w:after="0" w:line="240" w:lineRule="auto"/>
              <w:jc w:val="right"/>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1 500</w:t>
            </w:r>
          </w:p>
        </w:tc>
      </w:tr>
      <w:tr w:rsidR="0001518A" w:rsidRPr="0001518A" w:rsidTr="00DD23EA">
        <w:trPr>
          <w:cantSplit/>
          <w:jc w:val="center"/>
        </w:trPr>
        <w:tc>
          <w:tcPr>
            <w:tcW w:w="0" w:type="auto"/>
            <w:vAlign w:val="center"/>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SICAV</w:t>
            </w:r>
          </w:p>
          <w:p w:rsidR="0001518A" w:rsidRPr="0001518A" w:rsidRDefault="0001518A" w:rsidP="0001518A">
            <w:pPr>
              <w:spacing w:after="0" w:line="240" w:lineRule="auto"/>
              <w:jc w:val="center"/>
              <w:rPr>
                <w:rFonts w:ascii="Times New Roman" w:eastAsia="Times New Roman" w:hAnsi="Times New Roman"/>
                <w:b/>
                <w:bCs/>
                <w:sz w:val="24"/>
                <w:szCs w:val="24"/>
                <w:lang w:eastAsia="fr-FR"/>
              </w:rPr>
            </w:pPr>
          </w:p>
        </w:tc>
        <w:tc>
          <w:tcPr>
            <w:tcW w:w="0" w:type="auto"/>
          </w:tcPr>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 xml:space="preserve"> L'écart d'évaluation négatif au 31/12/2013 résultant des variations de valeurs liquidatives des parts de SICAV doit être déduit extra-comptablement (perte latente). </w:t>
            </w:r>
          </w:p>
          <w:p w:rsidR="0001518A" w:rsidRPr="0001518A" w:rsidRDefault="0001518A" w:rsidP="0001518A">
            <w:pPr>
              <w:spacing w:after="0" w:line="240" w:lineRule="auto"/>
              <w:jc w:val="both"/>
              <w:rPr>
                <w:rFonts w:ascii="Times New Roman" w:eastAsia="Times New Roman" w:hAnsi="Times New Roman"/>
                <w:b/>
                <w:color w:val="0070C0"/>
                <w:sz w:val="24"/>
                <w:szCs w:val="24"/>
                <w:lang w:eastAsia="fr-FR"/>
              </w:rPr>
            </w:pPr>
            <w:r w:rsidRPr="0001518A">
              <w:rPr>
                <w:rFonts w:ascii="Times New Roman" w:eastAsia="Times New Roman" w:hAnsi="Times New Roman"/>
                <w:sz w:val="24"/>
                <w:szCs w:val="24"/>
                <w:lang w:eastAsia="fr-FR"/>
              </w:rPr>
              <w:t xml:space="preserve">(125 - 110) * 100 = 15 * 100 = 1 500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Dotation comptable non déductible à réintégrer</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(120 - 110) * 100 </w:t>
            </w:r>
            <w:r w:rsidRPr="0001518A">
              <w:rPr>
                <w:rFonts w:ascii="Times New Roman" w:eastAsia="Times New Roman" w:hAnsi="Times New Roman"/>
                <w:b/>
                <w:bCs/>
                <w:color w:val="0070C0"/>
                <w:sz w:val="24"/>
                <w:szCs w:val="24"/>
                <w:lang w:eastAsia="fr-FR"/>
              </w:rPr>
              <w:t xml:space="preserve"> </w:t>
            </w:r>
            <w:r w:rsidRPr="0001518A">
              <w:rPr>
                <w:rFonts w:ascii="Times New Roman" w:eastAsia="Times New Roman" w:hAnsi="Times New Roman"/>
                <w:bCs/>
                <w:sz w:val="24"/>
                <w:szCs w:val="24"/>
                <w:lang w:eastAsia="fr-FR"/>
              </w:rPr>
              <w:t>pour éviter une double déduction.</w:t>
            </w:r>
          </w:p>
        </w:tc>
        <w:tc>
          <w:tcPr>
            <w:tcW w:w="0" w:type="auto"/>
            <w:vAlign w:val="center"/>
          </w:tcPr>
          <w:p w:rsidR="0001518A" w:rsidRPr="0001518A" w:rsidRDefault="0001518A" w:rsidP="007F7F3E">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1 000</w:t>
            </w:r>
          </w:p>
        </w:tc>
        <w:tc>
          <w:tcPr>
            <w:tcW w:w="0" w:type="auto"/>
            <w:vAlign w:val="center"/>
          </w:tcPr>
          <w:p w:rsidR="0001518A" w:rsidRPr="0001518A" w:rsidRDefault="0001518A" w:rsidP="007F7F3E">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1 500</w:t>
            </w:r>
          </w:p>
        </w:tc>
      </w:tr>
    </w:tbl>
    <w:p w:rsidR="0001518A" w:rsidRPr="0001518A" w:rsidRDefault="007F7F3E" w:rsidP="0001518A">
      <w:pPr>
        <w:tabs>
          <w:tab w:val="right" w:leader="hyphen" w:pos="7938"/>
        </w:tabs>
        <w:spacing w:after="0" w:line="240" w:lineRule="auto"/>
        <w:rPr>
          <w:rFonts w:ascii="Times New Roman" w:eastAsia="Times New Roman" w:hAnsi="Times New Roman"/>
          <w:sz w:val="20"/>
          <w:szCs w:val="20"/>
          <w:lang w:eastAsia="fr-FR"/>
        </w:rPr>
      </w:pPr>
      <w:r w:rsidRPr="007F7F3E">
        <w:rPr>
          <w:rFonts w:ascii="Times New Roman" w:eastAsia="Times New Roman" w:hAnsi="Times New Roman"/>
          <w:sz w:val="20"/>
          <w:szCs w:val="20"/>
          <w:lang w:eastAsia="fr-FR"/>
        </w:rPr>
        <w:t xml:space="preserve"> </w:t>
      </w:r>
      <w:r w:rsidR="0001518A" w:rsidRPr="0001518A">
        <w:rPr>
          <w:rFonts w:ascii="Times New Roman" w:eastAsia="Times New Roman" w:hAnsi="Times New Roman"/>
          <w:sz w:val="20"/>
          <w:szCs w:val="20"/>
          <w:lang w:eastAsia="fr-FR"/>
        </w:rPr>
        <w:t>(*) Autre interprétation possible</w:t>
      </w:r>
    </w:p>
    <w:p w:rsidR="0001518A" w:rsidRPr="0001518A" w:rsidRDefault="0001518A" w:rsidP="0001518A">
      <w:pPr>
        <w:tabs>
          <w:tab w:val="right" w:leader="hyphen" w:pos="7938"/>
        </w:tabs>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Le mode d’amortissement est dégressif et l’exercice de création des ARD (2012) est comptablement déficitaire : le rattrapage des ARD est donc effectué ‘en bloc en 2013.</w:t>
      </w:r>
    </w:p>
    <w:p w:rsidR="0001518A" w:rsidRPr="0001518A" w:rsidRDefault="0001518A" w:rsidP="0001518A">
      <w:pPr>
        <w:tabs>
          <w:tab w:val="right" w:leader="hyphen" w:pos="7938"/>
        </w:tabs>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En 2013 :</w:t>
      </w:r>
    </w:p>
    <w:p w:rsidR="0001518A" w:rsidRPr="0001518A" w:rsidRDefault="0001518A" w:rsidP="0001518A">
      <w:pPr>
        <w:tabs>
          <w:tab w:val="left" w:leader="dot" w:pos="3261"/>
          <w:tab w:val="right" w:leader="dot" w:pos="9356"/>
        </w:tabs>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Rattrapage des ARD 2012</w:t>
      </w:r>
      <w:r w:rsidRPr="0001518A">
        <w:rPr>
          <w:rFonts w:ascii="Times New Roman" w:eastAsia="Times New Roman" w:hAnsi="Times New Roman"/>
          <w:sz w:val="24"/>
          <w:szCs w:val="24"/>
          <w:lang w:eastAsia="fr-FR"/>
        </w:rPr>
        <w:tab/>
      </w:r>
      <w:r w:rsidRPr="0001518A">
        <w:rPr>
          <w:rFonts w:ascii="Times New Roman" w:eastAsia="Times New Roman" w:hAnsi="Times New Roman"/>
          <w:sz w:val="24"/>
          <w:szCs w:val="24"/>
          <w:lang w:eastAsia="fr-FR"/>
        </w:rPr>
        <w:tab/>
        <w:t>21 875</w:t>
      </w:r>
    </w:p>
    <w:p w:rsidR="0001518A" w:rsidRPr="0001518A" w:rsidRDefault="0001518A" w:rsidP="0001518A">
      <w:pPr>
        <w:tabs>
          <w:tab w:val="left" w:leader="dot" w:pos="3261"/>
          <w:tab w:val="right" w:leader="dot" w:pos="9356"/>
        </w:tabs>
        <w:spacing w:after="0" w:line="240" w:lineRule="auto"/>
        <w:rPr>
          <w:rFonts w:ascii="Times New Roman" w:eastAsia="Times New Roman" w:hAnsi="Times New Roman"/>
          <w:sz w:val="24"/>
          <w:szCs w:val="24"/>
          <w:u w:val="single"/>
          <w:lang w:eastAsia="fr-FR"/>
        </w:rPr>
      </w:pPr>
      <w:r w:rsidRPr="0001518A">
        <w:rPr>
          <w:rFonts w:ascii="Times New Roman" w:eastAsia="Times New Roman" w:hAnsi="Times New Roman"/>
          <w:sz w:val="24"/>
          <w:szCs w:val="24"/>
          <w:u w:val="single"/>
          <w:lang w:eastAsia="fr-FR"/>
        </w:rPr>
        <w:t>Dotation complémentaire 2013</w:t>
      </w:r>
      <w:r w:rsidRPr="0001518A">
        <w:rPr>
          <w:rFonts w:ascii="Times New Roman" w:eastAsia="Times New Roman" w:hAnsi="Times New Roman"/>
          <w:sz w:val="24"/>
          <w:szCs w:val="24"/>
          <w:u w:val="single"/>
          <w:lang w:eastAsia="fr-FR"/>
        </w:rPr>
        <w:tab/>
        <w:t>(100 000 – (17 500 + 21 875) – 7 500) * 35% * 6/12</w:t>
      </w:r>
      <w:r w:rsidRPr="0001518A">
        <w:rPr>
          <w:rFonts w:ascii="Times New Roman" w:eastAsia="Times New Roman" w:hAnsi="Times New Roman"/>
          <w:sz w:val="24"/>
          <w:szCs w:val="24"/>
          <w:u w:val="single"/>
          <w:lang w:eastAsia="fr-FR"/>
        </w:rPr>
        <w:tab/>
        <w:t>9 297</w:t>
      </w:r>
    </w:p>
    <w:p w:rsidR="0001518A" w:rsidRPr="0001518A" w:rsidRDefault="0001518A" w:rsidP="0001518A">
      <w:pPr>
        <w:tabs>
          <w:tab w:val="left" w:leader="dot" w:pos="3261"/>
          <w:tab w:val="right" w:leader="dot" w:pos="9356"/>
        </w:tabs>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Dotation fiscale maximale 2013</w:t>
      </w:r>
      <w:r w:rsidRPr="0001518A">
        <w:rPr>
          <w:rFonts w:ascii="Times New Roman" w:eastAsia="Times New Roman" w:hAnsi="Times New Roman"/>
          <w:sz w:val="24"/>
          <w:szCs w:val="24"/>
          <w:lang w:eastAsia="fr-FR"/>
        </w:rPr>
        <w:tab/>
        <w:t>21 875 + 9 297</w:t>
      </w:r>
      <w:r w:rsidRPr="0001518A">
        <w:rPr>
          <w:rFonts w:ascii="Times New Roman" w:eastAsia="Times New Roman" w:hAnsi="Times New Roman"/>
          <w:sz w:val="24"/>
          <w:szCs w:val="24"/>
          <w:lang w:eastAsia="fr-FR"/>
        </w:rPr>
        <w:tab/>
        <w:t>31 172</w:t>
      </w:r>
    </w:p>
    <w:p w:rsidR="0001518A" w:rsidRPr="0001518A" w:rsidRDefault="0001518A" w:rsidP="0001518A">
      <w:pPr>
        <w:tabs>
          <w:tab w:val="left" w:leader="dot" w:pos="3261"/>
          <w:tab w:val="right" w:leader="dot" w:pos="9356"/>
        </w:tabs>
        <w:spacing w:after="0" w:line="240" w:lineRule="auto"/>
        <w:rPr>
          <w:rFonts w:ascii="Times New Roman" w:eastAsia="Times New Roman" w:hAnsi="Times New Roman"/>
          <w:sz w:val="24"/>
          <w:szCs w:val="24"/>
          <w:u w:val="single"/>
          <w:lang w:eastAsia="fr-FR"/>
        </w:rPr>
      </w:pPr>
      <w:r w:rsidRPr="0001518A">
        <w:rPr>
          <w:rFonts w:ascii="Times New Roman" w:eastAsia="Times New Roman" w:hAnsi="Times New Roman"/>
          <w:sz w:val="24"/>
          <w:szCs w:val="24"/>
          <w:u w:val="single"/>
          <w:lang w:eastAsia="fr-FR"/>
        </w:rPr>
        <w:t>Dotation pratiquée 2013</w:t>
      </w:r>
      <w:r w:rsidRPr="0001518A">
        <w:rPr>
          <w:rFonts w:ascii="Times New Roman" w:eastAsia="Times New Roman" w:hAnsi="Times New Roman"/>
          <w:sz w:val="24"/>
          <w:szCs w:val="24"/>
          <w:u w:val="single"/>
          <w:lang w:eastAsia="fr-FR"/>
        </w:rPr>
        <w:tab/>
      </w:r>
      <w:r w:rsidRPr="0001518A">
        <w:rPr>
          <w:rFonts w:ascii="Times New Roman" w:eastAsia="Times New Roman" w:hAnsi="Times New Roman"/>
          <w:sz w:val="24"/>
          <w:szCs w:val="24"/>
          <w:u w:val="single"/>
          <w:lang w:eastAsia="fr-FR"/>
        </w:rPr>
        <w:tab/>
        <w:t>38 259</w:t>
      </w:r>
    </w:p>
    <w:p w:rsidR="0001518A" w:rsidRDefault="0001518A" w:rsidP="0001518A">
      <w:pPr>
        <w:tabs>
          <w:tab w:val="left" w:leader="dot" w:pos="3261"/>
          <w:tab w:val="right" w:leader="dot" w:pos="9356"/>
        </w:tabs>
        <w:spacing w:after="0" w:line="240" w:lineRule="auto"/>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Dotation à réintégrer</w:t>
      </w:r>
      <w:r w:rsidRPr="0001518A">
        <w:rPr>
          <w:rFonts w:ascii="Times New Roman" w:eastAsia="Times New Roman" w:hAnsi="Times New Roman"/>
          <w:sz w:val="24"/>
          <w:szCs w:val="24"/>
          <w:lang w:eastAsia="fr-FR"/>
        </w:rPr>
        <w:tab/>
      </w:r>
      <w:r w:rsidRPr="0001518A">
        <w:rPr>
          <w:rFonts w:ascii="Times New Roman" w:eastAsia="Times New Roman" w:hAnsi="Times New Roman"/>
          <w:sz w:val="24"/>
          <w:szCs w:val="24"/>
          <w:lang w:eastAsia="fr-FR"/>
        </w:rPr>
        <w:tab/>
        <w:t>7</w:t>
      </w:r>
      <w:r w:rsidR="007F7F3E">
        <w:rPr>
          <w:rFonts w:ascii="Times New Roman" w:eastAsia="Times New Roman" w:hAnsi="Times New Roman"/>
          <w:sz w:val="24"/>
          <w:szCs w:val="24"/>
          <w:lang w:eastAsia="fr-FR"/>
        </w:rPr>
        <w:t> </w:t>
      </w:r>
      <w:r w:rsidRPr="0001518A">
        <w:rPr>
          <w:rFonts w:ascii="Times New Roman" w:eastAsia="Times New Roman" w:hAnsi="Times New Roman"/>
          <w:sz w:val="24"/>
          <w:szCs w:val="24"/>
          <w:lang w:eastAsia="fr-FR"/>
        </w:rPr>
        <w:t>087</w:t>
      </w:r>
    </w:p>
    <w:p w:rsidR="007F7F3E" w:rsidRPr="0001518A" w:rsidRDefault="007F7F3E" w:rsidP="0001518A">
      <w:pPr>
        <w:tabs>
          <w:tab w:val="left" w:leader="dot" w:pos="3261"/>
          <w:tab w:val="right" w:leader="dot" w:pos="9356"/>
        </w:tabs>
        <w:spacing w:after="0" w:line="240" w:lineRule="auto"/>
        <w:rPr>
          <w:rFonts w:ascii="Times New Roman" w:eastAsia="Times New Roman" w:hAnsi="Times New Roman"/>
          <w:sz w:val="24"/>
          <w:szCs w:val="24"/>
          <w:lang w:eastAsia="fr-FR"/>
        </w:rPr>
      </w:pPr>
    </w:p>
    <w:p w:rsidR="0001518A" w:rsidRPr="0001518A" w:rsidRDefault="0001518A" w:rsidP="0001518A">
      <w:pPr>
        <w:tabs>
          <w:tab w:val="right" w:leader="hyphen" w:pos="7938"/>
        </w:tabs>
        <w:spacing w:after="0" w:line="240" w:lineRule="auto"/>
        <w:rPr>
          <w:rFonts w:ascii="Times New Roman" w:eastAsia="Times New Roman" w:hAnsi="Times New Roman"/>
          <w:sz w:val="24"/>
          <w:szCs w:val="24"/>
          <w:lang w:eastAsia="fr-FR"/>
        </w:rPr>
      </w:pPr>
    </w:p>
    <w:p w:rsidR="0001518A" w:rsidRPr="0001518A" w:rsidRDefault="0001518A" w:rsidP="007F7F3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eastAsia="Times New Roman" w:hAnsi="Times New Roman"/>
          <w:b/>
          <w:bCs/>
          <w:sz w:val="28"/>
          <w:szCs w:val="28"/>
          <w:lang w:eastAsia="fr-FR"/>
        </w:rPr>
      </w:pPr>
      <w:r w:rsidRPr="0001518A">
        <w:rPr>
          <w:rFonts w:ascii="Times New Roman" w:eastAsia="Times New Roman" w:hAnsi="Times New Roman"/>
          <w:b/>
          <w:bCs/>
          <w:sz w:val="28"/>
          <w:szCs w:val="28"/>
          <w:lang w:eastAsia="fr-FR"/>
        </w:rPr>
        <w:t>DOSSIER 3 - IMPÔT SUR LE REVENU ET CONTRIBUTION SOCIALE GENERALISEE</w:t>
      </w:r>
    </w:p>
    <w:p w:rsidR="0001518A" w:rsidRPr="0001518A" w:rsidRDefault="0001518A" w:rsidP="0001518A">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eastAsia="Times New Roman" w:hAnsi="Arial" w:cs="Arial"/>
          <w:b/>
          <w:bCs/>
          <w:sz w:val="20"/>
          <w:szCs w:val="24"/>
          <w:lang w:eastAsia="fr-FR"/>
        </w:rPr>
      </w:pPr>
    </w:p>
    <w:p w:rsidR="0001518A" w:rsidRPr="0001518A" w:rsidRDefault="0001518A" w:rsidP="0001518A">
      <w:pPr>
        <w:spacing w:after="0" w:line="240" w:lineRule="auto"/>
        <w:jc w:val="center"/>
        <w:rPr>
          <w:rFonts w:ascii="Arial" w:eastAsia="Times New Roman" w:hAnsi="Arial" w:cs="Arial"/>
          <w:sz w:val="20"/>
          <w:szCs w:val="24"/>
          <w:lang w:eastAsia="fr-FR"/>
        </w:rPr>
      </w:pPr>
    </w:p>
    <w:p w:rsidR="0001518A" w:rsidRPr="0001518A" w:rsidRDefault="0001518A" w:rsidP="0001518A">
      <w:pPr>
        <w:spacing w:after="0" w:line="240" w:lineRule="auto"/>
        <w:jc w:val="both"/>
        <w:rPr>
          <w:rFonts w:ascii="Times New Roman" w:eastAsia="Times New Roman" w:hAnsi="Times New Roman"/>
          <w:b/>
          <w:bCs/>
          <w:lang w:eastAsia="fr-FR"/>
        </w:rPr>
      </w:pPr>
    </w:p>
    <w:p w:rsidR="0001518A" w:rsidRPr="0001518A" w:rsidRDefault="007F7F3E"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3.1</w:t>
      </w:r>
      <w:r w:rsidR="0001518A" w:rsidRPr="0001518A">
        <w:rPr>
          <w:rFonts w:ascii="Times New Roman" w:eastAsia="Times New Roman" w:hAnsi="Times New Roman"/>
          <w:b/>
          <w:bCs/>
          <w:color w:val="000000"/>
          <w:sz w:val="24"/>
          <w:szCs w:val="24"/>
          <w:lang w:eastAsia="fr-FR"/>
        </w:rPr>
        <w:t xml:space="preserve"> Justifier le régime d’imposition des revenus professionnels de M. Harmony et indiquer succinctement ses obligations comptables</w:t>
      </w:r>
    </w:p>
    <w:p w:rsidR="0001518A" w:rsidRPr="0001518A" w:rsidRDefault="0001518A" w:rsidP="0001518A">
      <w:pPr>
        <w:spacing w:after="0" w:line="240" w:lineRule="auto"/>
        <w:jc w:val="both"/>
        <w:rPr>
          <w:rFonts w:ascii="Times New Roman" w:eastAsia="Times New Roman" w:hAnsi="Times New Roman"/>
          <w:b/>
          <w:bCs/>
          <w:sz w:val="24"/>
          <w:szCs w:val="24"/>
          <w:lang w:eastAsia="fr-FR"/>
        </w:rPr>
      </w:pP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Les professions libérales exerçant à titre individuel, de manière indépendante et sous leur propre responsabilité  doivent déclarer leurs revenus imposables dans le régime des BNC selon le régime de la déclaration contrôlée :</w:t>
      </w:r>
    </w:p>
    <w:p w:rsidR="0001518A" w:rsidRPr="0001518A" w:rsidRDefault="0001518A" w:rsidP="007F7F3E">
      <w:pPr>
        <w:numPr>
          <w:ilvl w:val="0"/>
          <w:numId w:val="15"/>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de plein droit si les recettes annuelles encaissées sont supérieures à 32 900 €  (sauf cas particuliers)</w:t>
      </w:r>
    </w:p>
    <w:p w:rsidR="0001518A" w:rsidRPr="0001518A" w:rsidRDefault="0001518A" w:rsidP="007F7F3E">
      <w:pPr>
        <w:numPr>
          <w:ilvl w:val="0"/>
          <w:numId w:val="15"/>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sur option si les recettes annuelles n’excèdent pas 32 900 €.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Les contribuables soumis à la déclaration contrôlée doivent tenir au minimum une comptabilité de trésorerie </w:t>
      </w:r>
      <w:r w:rsidRPr="0001518A">
        <w:rPr>
          <w:rFonts w:ascii="Times New Roman" w:eastAsia="Times New Roman" w:hAnsi="Times New Roman"/>
          <w:bCs/>
          <w:color w:val="00B050"/>
          <w:sz w:val="24"/>
          <w:szCs w:val="24"/>
          <w:lang w:eastAsia="fr-FR"/>
        </w:rPr>
        <w:t xml:space="preserve"> </w:t>
      </w:r>
      <w:r w:rsidRPr="0001518A">
        <w:rPr>
          <w:rFonts w:ascii="Arial" w:eastAsia="Times New Roman" w:hAnsi="Arial" w:cs="Arial"/>
          <w:sz w:val="20"/>
          <w:szCs w:val="24"/>
          <w:lang w:eastAsia="fr-FR"/>
        </w:rPr>
        <w:t>:</w:t>
      </w:r>
      <w:r w:rsidRPr="0001518A">
        <w:rPr>
          <w:rFonts w:ascii="Times New Roman" w:eastAsia="Times New Roman" w:hAnsi="Times New Roman"/>
          <w:bCs/>
          <w:sz w:val="24"/>
          <w:szCs w:val="24"/>
          <w:lang w:eastAsia="fr-FR"/>
        </w:rPr>
        <w:t xml:space="preserve"> livre journal présentant le détail des recettes et des dépenses ainsi qu’un registre des immobilisations et des amortissements. Une option pour la comptabilité d’engagement peut être prise.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p>
    <w:p w:rsidR="0001518A" w:rsidRPr="0001518A" w:rsidRDefault="00CE6B18"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3.2</w:t>
      </w:r>
      <w:r w:rsidR="0001518A" w:rsidRPr="0001518A">
        <w:rPr>
          <w:rFonts w:ascii="Times New Roman" w:eastAsia="Times New Roman" w:hAnsi="Times New Roman"/>
          <w:b/>
          <w:bCs/>
          <w:color w:val="000000"/>
          <w:sz w:val="24"/>
          <w:szCs w:val="24"/>
          <w:lang w:eastAsia="fr-FR"/>
        </w:rPr>
        <w:t xml:space="preserve"> Préciser les conditions de rattachement des enfants majeurs au foyer fiscal de leurs parents ? Indiquer les conséquences de ce rattachement sur l’impôt du foyer fiscal Harmony.</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Les enfants majeurs sont en principe des contribuables à part entière, donc ils sont imposables personnellement. Toutefois, ils ont la possibilité  de demander leur rattachement au foyer fiscal de leurs parents s’ils remplissent les conditions suivantes au premier janvier  de l’année d’imposition.</w:t>
      </w:r>
    </w:p>
    <w:p w:rsidR="0001518A" w:rsidRPr="0001518A" w:rsidRDefault="0001518A" w:rsidP="007F7F3E">
      <w:pPr>
        <w:numPr>
          <w:ilvl w:val="0"/>
          <w:numId w:val="18"/>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être âgés de moins de 21 ans ;</w:t>
      </w:r>
    </w:p>
    <w:p w:rsidR="0001518A" w:rsidRPr="0001518A" w:rsidRDefault="0001518A" w:rsidP="007F7F3E">
      <w:pPr>
        <w:numPr>
          <w:ilvl w:val="0"/>
          <w:numId w:val="17"/>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être âgés de moins de 25 ans s’ils poursuivent des études ;</w:t>
      </w:r>
    </w:p>
    <w:p w:rsidR="0001518A" w:rsidRPr="0001518A" w:rsidRDefault="0001518A" w:rsidP="007F7F3E">
      <w:pPr>
        <w:numPr>
          <w:ilvl w:val="0"/>
          <w:numId w:val="16"/>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sans limite d’âge pour un enfant majeur infirme. </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lastRenderedPageBreak/>
        <w:t>Le rattachement doit être formulé par les enfants et accepté par les parents et ce dans le délai de la déclaration sauf pour les enfants infirmes.</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Conséquences du rattachement :</w:t>
      </w:r>
    </w:p>
    <w:p w:rsidR="0001518A" w:rsidRPr="0001518A" w:rsidRDefault="0001518A" w:rsidP="007F7F3E">
      <w:pPr>
        <w:numPr>
          <w:ilvl w:val="0"/>
          <w:numId w:val="16"/>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les revenus des enfants majeurs célibataires sont ajoutés à ceux des parents sur la déclaration parentale. </w:t>
      </w:r>
    </w:p>
    <w:p w:rsidR="0001518A" w:rsidRPr="0001518A" w:rsidRDefault="0001518A" w:rsidP="007F7F3E">
      <w:pPr>
        <w:numPr>
          <w:ilvl w:val="0"/>
          <w:numId w:val="16"/>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les parents qui rattachent les enfants majeurs peuvent  les compter à charge pour l’application du quotient familial : ½ part supplémentaire pour un enfant ou 1 part si au moins 3 enfants. </w:t>
      </w:r>
    </w:p>
    <w:p w:rsidR="0001518A" w:rsidRPr="0001518A" w:rsidRDefault="0001518A" w:rsidP="007F7F3E">
      <w:pPr>
        <w:numPr>
          <w:ilvl w:val="0"/>
          <w:numId w:val="16"/>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La pension alimentaire versée ne peut être déduite.</w:t>
      </w:r>
    </w:p>
    <w:p w:rsidR="0001518A" w:rsidRPr="0001518A" w:rsidRDefault="0001518A" w:rsidP="007F7F3E">
      <w:pPr>
        <w:numPr>
          <w:ilvl w:val="0"/>
          <w:numId w:val="16"/>
        </w:numPr>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une réduction d’impôt pour la scolarité est également applicable. </w:t>
      </w:r>
      <w:r w:rsidRPr="0001518A">
        <w:rPr>
          <w:rFonts w:ascii="Arial" w:eastAsia="Times New Roman" w:hAnsi="Arial" w:cs="Arial"/>
          <w:sz w:val="20"/>
          <w:szCs w:val="24"/>
          <w:lang w:eastAsia="fr-FR"/>
        </w:rPr>
        <w:t>.</w:t>
      </w:r>
    </w:p>
    <w:p w:rsidR="0001518A" w:rsidRPr="0001518A" w:rsidRDefault="0001518A" w:rsidP="0001518A">
      <w:pPr>
        <w:spacing w:after="0" w:line="240" w:lineRule="auto"/>
        <w:jc w:val="both"/>
        <w:rPr>
          <w:rFonts w:ascii="Times New Roman" w:eastAsia="Times New Roman" w:hAnsi="Times New Roman"/>
          <w:bCs/>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3.</w:t>
      </w:r>
      <w:r w:rsidR="00CE6B18">
        <w:rPr>
          <w:rFonts w:ascii="Times New Roman" w:eastAsia="Times New Roman" w:hAnsi="Times New Roman"/>
          <w:b/>
          <w:bCs/>
          <w:color w:val="000000"/>
          <w:sz w:val="24"/>
          <w:szCs w:val="24"/>
          <w:lang w:eastAsia="fr-FR"/>
        </w:rPr>
        <w:t>3</w:t>
      </w:r>
      <w:r w:rsidRPr="0001518A">
        <w:rPr>
          <w:rFonts w:ascii="Times New Roman" w:eastAsia="Times New Roman" w:hAnsi="Times New Roman"/>
          <w:b/>
          <w:bCs/>
          <w:color w:val="000000"/>
          <w:sz w:val="24"/>
          <w:szCs w:val="24"/>
          <w:lang w:eastAsia="fr-FR"/>
        </w:rPr>
        <w:t xml:space="preserve"> Déterminer pour chaque source de revenu la catégorie d’imposition à laquelle le revenu doit être rattaché ainsi que le montant net imposable. Il ne sera pas tenu compte des prélèvements sociaux dans cette question.</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Cs/>
          <w:color w:val="000000"/>
          <w:sz w:val="24"/>
          <w:szCs w:val="24"/>
          <w:lang w:eastAsia="fr-FR"/>
        </w:rPr>
        <w:t>Le foyer fiscal comprend le couple, Thibault, enfant mineur et Quentin, enfant majeur ayant demandé son rattachement</w:t>
      </w:r>
      <w:r w:rsidRPr="0001518A">
        <w:rPr>
          <w:rFonts w:ascii="Times New Roman" w:eastAsia="Times New Roman" w:hAnsi="Times New Roman"/>
          <w:b/>
          <w:bCs/>
          <w:color w:val="000000"/>
          <w:sz w:val="24"/>
          <w:szCs w:val="24"/>
          <w:lang w:eastAsia="fr-FR"/>
        </w:rPr>
        <w:t>.</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i/>
          <w:color w:val="00B050"/>
          <w:sz w:val="24"/>
          <w:szCs w:val="24"/>
          <w:lang w:eastAsia="fr-FR"/>
        </w:rPr>
      </w:pPr>
      <w:r w:rsidRPr="0001518A">
        <w:rPr>
          <w:rFonts w:ascii="Times New Roman" w:eastAsia="Times New Roman" w:hAnsi="Times New Roman"/>
          <w:b/>
          <w:bCs/>
          <w:i/>
          <w:color w:val="000000"/>
          <w:sz w:val="24"/>
          <w:szCs w:val="24"/>
          <w:lang w:eastAsia="fr-FR"/>
        </w:rPr>
        <w:t>Catégorie «  bénéfices non commerciaux »  (Monsieur Harmony)</w:t>
      </w:r>
    </w:p>
    <w:p w:rsidR="0001518A" w:rsidRPr="0001518A" w:rsidRDefault="0001518A" w:rsidP="0001518A">
      <w:pPr>
        <w:tabs>
          <w:tab w:val="left" w:pos="709"/>
          <w:tab w:val="left" w:pos="1418"/>
        </w:tabs>
        <w:spacing w:after="0" w:line="240" w:lineRule="auto"/>
        <w:ind w:left="594"/>
        <w:jc w:val="both"/>
        <w:rPr>
          <w:rFonts w:ascii="Times New Roman" w:eastAsia="Times New Roman" w:hAnsi="Times New Roman"/>
          <w:b/>
          <w:bCs/>
          <w:color w:val="000000"/>
          <w:sz w:val="24"/>
          <w:szCs w:val="24"/>
          <w:lang w:eastAsia="fr-FR"/>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802"/>
        <w:gridCol w:w="1287"/>
      </w:tblGrid>
      <w:tr w:rsidR="00F7022E" w:rsidRPr="0001518A" w:rsidTr="00CE6B18">
        <w:trPr>
          <w:trHeight w:val="253"/>
        </w:trPr>
        <w:tc>
          <w:tcPr>
            <w:tcW w:w="3625" w:type="dxa"/>
            <w:shd w:val="clear" w:color="auto" w:fill="808080"/>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4111"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analyse</w:t>
            </w:r>
          </w:p>
        </w:tc>
        <w:tc>
          <w:tcPr>
            <w:tcW w:w="1313"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Montant €</w:t>
            </w: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Recettes encaissées.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120 000</w:t>
            </w: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Rétrocessions honoraires.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Ne concerne pas Mr Harmony.</w:t>
            </w: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-10 000</w:t>
            </w: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Recettes imposables  (1)</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110 000</w:t>
            </w: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 xml:space="preserve">Dépenses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p>
        </w:tc>
      </w:tr>
      <w:tr w:rsidR="00F7022E" w:rsidRPr="0001518A" w:rsidTr="00CE6B18">
        <w:trPr>
          <w:trHeight w:val="253"/>
        </w:trPr>
        <w:tc>
          <w:tcPr>
            <w:tcW w:w="3625" w:type="dxa"/>
            <w:tcBorders>
              <w:bottom w:val="single" w:sz="4" w:space="0" w:color="auto"/>
            </w:tcBorders>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Acquisition d’un logiciel dissocié à usage exclusivement professionnel.</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70C0"/>
                <w:sz w:val="24"/>
                <w:szCs w:val="24"/>
                <w:lang w:eastAsia="fr-FR"/>
              </w:rPr>
            </w:pPr>
          </w:p>
        </w:tc>
        <w:tc>
          <w:tcPr>
            <w:tcW w:w="4111" w:type="dxa"/>
            <w:tcBorders>
              <w:bottom w:val="single" w:sz="4" w:space="0" w:color="auto"/>
            </w:tcBorders>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Logiciel admis en charges car immobilisation inférieure à 500€ (option plus favorable)</w:t>
            </w:r>
          </w:p>
        </w:tc>
        <w:tc>
          <w:tcPr>
            <w:tcW w:w="1313" w:type="dxa"/>
            <w:tcBorders>
              <w:bottom w:val="single" w:sz="4" w:space="0" w:color="auto"/>
            </w:tcBorders>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 -400</w:t>
            </w:r>
          </w:p>
        </w:tc>
      </w:tr>
      <w:tr w:rsidR="00F7022E" w:rsidRPr="0001518A" w:rsidTr="00CE6B18">
        <w:trPr>
          <w:trHeight w:val="253"/>
        </w:trPr>
        <w:tc>
          <w:tcPr>
            <w:tcW w:w="3625" w:type="dxa"/>
            <w:tcBorders>
              <w:bottom w:val="nil"/>
            </w:tcBorders>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Acquisition véhicule de tourisme. </w:t>
            </w:r>
          </w:p>
        </w:tc>
        <w:tc>
          <w:tcPr>
            <w:tcW w:w="4111" w:type="dxa"/>
            <w:tcBorders>
              <w:bottom w:val="nil"/>
            </w:tcBorders>
          </w:tcPr>
          <w:p w:rsidR="0001518A" w:rsidRPr="0001518A" w:rsidRDefault="0001518A" w:rsidP="0001518A">
            <w:pPr>
              <w:tabs>
                <w:tab w:val="left" w:pos="709"/>
                <w:tab w:val="left" w:pos="1418"/>
              </w:tabs>
              <w:spacing w:after="0" w:line="240" w:lineRule="auto"/>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Ce n’est pas une charge, amortissement possible.</w:t>
            </w:r>
          </w:p>
        </w:tc>
        <w:tc>
          <w:tcPr>
            <w:tcW w:w="1313" w:type="dxa"/>
            <w:tcBorders>
              <w:bottom w:val="nil"/>
            </w:tcBorders>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p>
        </w:tc>
      </w:tr>
      <w:tr w:rsidR="00F7022E" w:rsidRPr="0001518A" w:rsidTr="00CE6B18">
        <w:trPr>
          <w:trHeight w:val="253"/>
        </w:trPr>
        <w:tc>
          <w:tcPr>
            <w:tcW w:w="3625" w:type="dxa"/>
            <w:tcBorders>
              <w:top w:val="nil"/>
            </w:tcBorders>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Amortissement du véhicule de tourisme.</w:t>
            </w:r>
          </w:p>
        </w:tc>
        <w:tc>
          <w:tcPr>
            <w:tcW w:w="4111" w:type="dxa"/>
            <w:tcBorders>
              <w:top w:val="nil"/>
            </w:tcBorders>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Base fiscale : 18 300 €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Tenir compte de l’usage professionnel</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Non comptabilisé donc à déduire.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18 300 * 0,2 * 6/12 *0,5</w:t>
            </w:r>
          </w:p>
        </w:tc>
        <w:tc>
          <w:tcPr>
            <w:tcW w:w="1313" w:type="dxa"/>
            <w:tcBorders>
              <w:top w:val="nil"/>
            </w:tcBorders>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-915</w:t>
            </w:r>
          </w:p>
        </w:tc>
      </w:tr>
      <w:tr w:rsidR="00F7022E" w:rsidRPr="0001518A" w:rsidTr="00CE6B18">
        <w:trPr>
          <w:trHeight w:val="253"/>
        </w:trPr>
        <w:tc>
          <w:tcPr>
            <w:tcW w:w="3625" w:type="dxa"/>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Charges déductibles à usage exclusivement professionnel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Totalement déductibles.</w:t>
            </w: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-18 000</w:t>
            </w:r>
          </w:p>
        </w:tc>
      </w:tr>
      <w:tr w:rsidR="00F7022E" w:rsidRPr="0001518A" w:rsidTr="00CE6B18">
        <w:trPr>
          <w:trHeight w:val="253"/>
        </w:trPr>
        <w:tc>
          <w:tcPr>
            <w:tcW w:w="3625" w:type="dxa"/>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Les charges non déductibles : essence</w:t>
            </w:r>
            <w:r w:rsidRPr="0001518A">
              <w:rPr>
                <w:rFonts w:ascii="Times New Roman" w:eastAsia="Times New Roman" w:hAnsi="Times New Roman"/>
                <w:b/>
                <w:bCs/>
                <w:color w:val="000000"/>
                <w:sz w:val="24"/>
                <w:szCs w:val="24"/>
                <w:lang w:eastAsia="fr-FR"/>
              </w:rPr>
              <w:t xml:space="preserve">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Pas de déduction.</w:t>
            </w: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p>
        </w:tc>
      </w:tr>
      <w:tr w:rsidR="0001518A"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sz w:val="24"/>
                <w:szCs w:val="24"/>
                <w:lang w:eastAsia="fr-FR"/>
              </w:rPr>
            </w:pPr>
            <w:r w:rsidRPr="0001518A">
              <w:rPr>
                <w:rFonts w:ascii="Times New Roman" w:eastAsia="Times New Roman" w:hAnsi="Times New Roman"/>
                <w:b/>
                <w:bCs/>
                <w:sz w:val="24"/>
                <w:szCs w:val="24"/>
                <w:lang w:eastAsia="fr-FR"/>
              </w:rPr>
              <w:t>Total dépenses déductibles (2</w:t>
            </w:r>
            <w:r w:rsidRPr="0001518A">
              <w:rPr>
                <w:rFonts w:ascii="Times New Roman" w:eastAsia="Times New Roman" w:hAnsi="Times New Roman"/>
                <w:bCs/>
                <w:sz w:val="24"/>
                <w:szCs w:val="24"/>
                <w:lang w:eastAsia="fr-FR"/>
              </w:rPr>
              <w:t>)</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p>
        </w:tc>
        <w:tc>
          <w:tcPr>
            <w:tcW w:w="1313"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-19 315</w:t>
            </w:r>
          </w:p>
        </w:tc>
      </w:tr>
      <w:tr w:rsidR="00F7022E" w:rsidRPr="0001518A" w:rsidTr="00CE6B18">
        <w:trPr>
          <w:trHeight w:val="253"/>
        </w:trPr>
        <w:tc>
          <w:tcPr>
            <w:tcW w:w="3625" w:type="dxa"/>
            <w:shd w:val="clear" w:color="auto" w:fill="D9D9D9"/>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sz w:val="24"/>
                <w:szCs w:val="24"/>
                <w:lang w:eastAsia="fr-FR"/>
              </w:rPr>
              <w:t xml:space="preserve">Revenu net catégoriel en € </w:t>
            </w:r>
          </w:p>
        </w:tc>
        <w:tc>
          <w:tcPr>
            <w:tcW w:w="4111"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
                <w:bCs/>
                <w:sz w:val="24"/>
                <w:szCs w:val="24"/>
                <w:lang w:eastAsia="fr-FR"/>
              </w:rPr>
              <w:t>Pas de majoration de 1,25</w:t>
            </w:r>
            <w:r w:rsidRPr="0001518A">
              <w:rPr>
                <w:rFonts w:ascii="Times New Roman" w:eastAsia="Times New Roman" w:hAnsi="Times New Roman"/>
                <w:bCs/>
                <w:sz w:val="24"/>
                <w:szCs w:val="24"/>
                <w:lang w:eastAsia="fr-FR"/>
              </w:rPr>
              <w:t xml:space="preserve"> (adhésion à une association de gestion agréée)</w:t>
            </w:r>
          </w:p>
        </w:tc>
        <w:tc>
          <w:tcPr>
            <w:tcW w:w="1313" w:type="dxa"/>
            <w:shd w:val="clear" w:color="auto" w:fill="BFBFBF"/>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90 685</w:t>
            </w:r>
          </w:p>
        </w:tc>
      </w:tr>
    </w:tbl>
    <w:p w:rsidR="0001518A" w:rsidRPr="0001518A" w:rsidRDefault="0001518A" w:rsidP="0001518A">
      <w:pPr>
        <w:tabs>
          <w:tab w:val="left" w:pos="709"/>
          <w:tab w:val="left" w:pos="1418"/>
        </w:tabs>
        <w:spacing w:after="0" w:line="240" w:lineRule="auto"/>
        <w:ind w:left="594"/>
        <w:jc w:val="both"/>
        <w:rPr>
          <w:rFonts w:ascii="Times New Roman" w:eastAsia="Times New Roman" w:hAnsi="Times New Roman"/>
          <w:b/>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i/>
          <w:color w:val="00B050"/>
          <w:sz w:val="24"/>
          <w:szCs w:val="24"/>
          <w:lang w:eastAsia="fr-FR"/>
        </w:rPr>
      </w:pPr>
      <w:r w:rsidRPr="0001518A">
        <w:rPr>
          <w:rFonts w:ascii="Times New Roman" w:eastAsia="Times New Roman" w:hAnsi="Times New Roman"/>
          <w:b/>
          <w:bCs/>
          <w:i/>
          <w:color w:val="000000"/>
          <w:sz w:val="24"/>
          <w:szCs w:val="24"/>
          <w:lang w:eastAsia="fr-FR"/>
        </w:rPr>
        <w:t>Catégorie «  traitements et salaires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4664"/>
        <w:gridCol w:w="1911"/>
      </w:tblGrid>
      <w:tr w:rsidR="00F7022E" w:rsidRPr="0001518A" w:rsidTr="00CE6B18">
        <w:tc>
          <w:tcPr>
            <w:tcW w:w="2660" w:type="dxa"/>
            <w:shd w:val="clear" w:color="auto" w:fill="BFBFBF"/>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 xml:space="preserve">Personnes </w:t>
            </w:r>
          </w:p>
        </w:tc>
        <w:tc>
          <w:tcPr>
            <w:tcW w:w="5103" w:type="dxa"/>
            <w:shd w:val="clear" w:color="auto" w:fill="BFBFBF"/>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analyse</w:t>
            </w:r>
          </w:p>
        </w:tc>
        <w:tc>
          <w:tcPr>
            <w:tcW w:w="2015" w:type="dxa"/>
            <w:shd w:val="clear" w:color="auto" w:fill="BFBFBF"/>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Montant €</w:t>
            </w:r>
          </w:p>
        </w:tc>
      </w:tr>
      <w:tr w:rsidR="0001518A" w:rsidRPr="0001518A" w:rsidTr="00DD23EA">
        <w:tc>
          <w:tcPr>
            <w:tcW w:w="2660" w:type="dxa"/>
            <w:vMerge w:val="restart"/>
            <w:vAlign w:val="center"/>
          </w:tcPr>
          <w:p w:rsidR="0001518A" w:rsidRPr="0001518A" w:rsidRDefault="0001518A" w:rsidP="0001518A">
            <w:pPr>
              <w:tabs>
                <w:tab w:val="left" w:pos="709"/>
                <w:tab w:val="left" w:pos="1418"/>
              </w:tabs>
              <w:spacing w:after="0" w:line="240" w:lineRule="auto"/>
              <w:jc w:val="center"/>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Madame Harmony</w:t>
            </w: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Revenus nets imposables annuels </w:t>
            </w:r>
          </w:p>
        </w:tc>
        <w:tc>
          <w:tcPr>
            <w:tcW w:w="2015"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28 800</w:t>
            </w:r>
          </w:p>
        </w:tc>
      </w:tr>
      <w:tr w:rsidR="0001518A" w:rsidRPr="0001518A" w:rsidTr="00DD23EA">
        <w:tc>
          <w:tcPr>
            <w:tcW w:w="2660" w:type="dxa"/>
            <w:vMerge/>
            <w:vAlign w:val="center"/>
          </w:tcPr>
          <w:p w:rsidR="0001518A" w:rsidRPr="0001518A" w:rsidRDefault="0001518A" w:rsidP="0001518A">
            <w:pPr>
              <w:tabs>
                <w:tab w:val="left" w:pos="709"/>
                <w:tab w:val="left" w:pos="1418"/>
              </w:tabs>
              <w:spacing w:after="0" w:line="240" w:lineRule="auto"/>
              <w:jc w:val="center"/>
              <w:rPr>
                <w:rFonts w:ascii="Times New Roman" w:eastAsia="Times New Roman" w:hAnsi="Times New Roman"/>
                <w:b/>
                <w:bCs/>
                <w:color w:val="000000"/>
                <w:sz w:val="24"/>
                <w:szCs w:val="24"/>
                <w:lang w:eastAsia="fr-FR"/>
              </w:rPr>
            </w:pP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Déduction des frais forfaitaires 10% </w:t>
            </w:r>
            <w:r w:rsidRPr="0001518A">
              <w:rPr>
                <w:rFonts w:ascii="Times New Roman" w:eastAsia="Times New Roman" w:hAnsi="Times New Roman"/>
                <w:b/>
                <w:bCs/>
                <w:color w:val="0070C0"/>
                <w:sz w:val="24"/>
                <w:szCs w:val="24"/>
                <w:lang w:eastAsia="fr-FR"/>
              </w:rPr>
              <w:t xml:space="preserve"> </w:t>
            </w:r>
            <w:r w:rsidRPr="0001518A">
              <w:rPr>
                <w:rFonts w:ascii="Times New Roman" w:eastAsia="Times New Roman" w:hAnsi="Times New Roman"/>
                <w:bCs/>
                <w:sz w:val="24"/>
                <w:szCs w:val="24"/>
                <w:lang w:eastAsia="fr-FR"/>
              </w:rPr>
              <w:t>(au dessus du plancher et en dessous du plafond)</w:t>
            </w:r>
          </w:p>
        </w:tc>
        <w:tc>
          <w:tcPr>
            <w:tcW w:w="2015" w:type="dxa"/>
          </w:tcPr>
          <w:p w:rsidR="0001518A" w:rsidRPr="0001518A" w:rsidRDefault="0001518A" w:rsidP="0001518A">
            <w:pPr>
              <w:numPr>
                <w:ilvl w:val="0"/>
                <w:numId w:val="10"/>
              </w:numPr>
              <w:tabs>
                <w:tab w:val="left" w:pos="709"/>
                <w:tab w:val="left" w:pos="1418"/>
              </w:tabs>
              <w:spacing w:after="0" w:line="240" w:lineRule="auto"/>
              <w:jc w:val="right"/>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2 880</w:t>
            </w:r>
          </w:p>
        </w:tc>
      </w:tr>
      <w:tr w:rsidR="0001518A" w:rsidRPr="0001518A" w:rsidTr="00DD23EA">
        <w:tc>
          <w:tcPr>
            <w:tcW w:w="2660" w:type="dxa"/>
            <w:vMerge/>
            <w:vAlign w:val="center"/>
          </w:tcPr>
          <w:p w:rsidR="0001518A" w:rsidRPr="0001518A" w:rsidRDefault="0001518A" w:rsidP="0001518A">
            <w:pPr>
              <w:tabs>
                <w:tab w:val="left" w:pos="709"/>
                <w:tab w:val="left" w:pos="1418"/>
              </w:tabs>
              <w:spacing w:after="0" w:line="240" w:lineRule="auto"/>
              <w:jc w:val="center"/>
              <w:rPr>
                <w:rFonts w:ascii="Times New Roman" w:eastAsia="Times New Roman" w:hAnsi="Times New Roman"/>
                <w:b/>
                <w:bCs/>
                <w:color w:val="000000"/>
                <w:sz w:val="24"/>
                <w:szCs w:val="24"/>
                <w:lang w:eastAsia="fr-FR"/>
              </w:rPr>
            </w:pP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Participation bloquée 5 ans exonérée IR </w:t>
            </w:r>
          </w:p>
        </w:tc>
        <w:tc>
          <w:tcPr>
            <w:tcW w:w="2015"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p>
        </w:tc>
      </w:tr>
      <w:tr w:rsidR="0001518A" w:rsidRPr="0001518A" w:rsidTr="00CE6B18">
        <w:tc>
          <w:tcPr>
            <w:tcW w:w="2660" w:type="dxa"/>
            <w:vMerge w:val="restart"/>
            <w:shd w:val="clear" w:color="auto" w:fill="FFFFFF"/>
            <w:vAlign w:val="center"/>
          </w:tcPr>
          <w:p w:rsidR="0001518A" w:rsidRPr="0001518A" w:rsidRDefault="0001518A" w:rsidP="0001518A">
            <w:pPr>
              <w:tabs>
                <w:tab w:val="left" w:pos="709"/>
                <w:tab w:val="left" w:pos="1418"/>
              </w:tabs>
              <w:spacing w:after="0" w:line="240" w:lineRule="auto"/>
              <w:jc w:val="center"/>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Quentin</w:t>
            </w: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Rattachement de ses revenus donc de son  salaire mais exonération jusqu’à 3 smic mensuels (1 161 &lt; trois « smic » mensuels) </w:t>
            </w:r>
          </w:p>
        </w:tc>
        <w:tc>
          <w:tcPr>
            <w:tcW w:w="2015"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p>
        </w:tc>
      </w:tr>
      <w:tr w:rsidR="0001518A" w:rsidRPr="0001518A" w:rsidTr="00CE6B18">
        <w:tc>
          <w:tcPr>
            <w:tcW w:w="2660" w:type="dxa"/>
            <w:vMerge/>
            <w:shd w:val="clear" w:color="auto" w:fill="FFFFFF"/>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APL non imposable car prestations sociales </w:t>
            </w:r>
          </w:p>
        </w:tc>
        <w:tc>
          <w:tcPr>
            <w:tcW w:w="2015" w:type="dxa"/>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p>
        </w:tc>
      </w:tr>
      <w:tr w:rsidR="008C30E2" w:rsidRPr="0001518A" w:rsidTr="00CE6B18">
        <w:tc>
          <w:tcPr>
            <w:tcW w:w="2660"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 xml:space="preserve">Revenu net catégoriel </w:t>
            </w:r>
          </w:p>
        </w:tc>
        <w:tc>
          <w:tcPr>
            <w:tcW w:w="5103" w:type="dxa"/>
          </w:tcPr>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p>
        </w:tc>
        <w:tc>
          <w:tcPr>
            <w:tcW w:w="2015" w:type="dxa"/>
            <w:shd w:val="clear" w:color="auto" w:fill="BFBFBF"/>
          </w:tcPr>
          <w:p w:rsidR="0001518A" w:rsidRPr="0001518A" w:rsidRDefault="0001518A" w:rsidP="0001518A">
            <w:pPr>
              <w:tabs>
                <w:tab w:val="left" w:pos="709"/>
                <w:tab w:val="left" w:pos="1418"/>
              </w:tabs>
              <w:spacing w:after="0" w:line="240" w:lineRule="auto"/>
              <w:jc w:val="right"/>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25 920</w:t>
            </w:r>
          </w:p>
        </w:tc>
      </w:tr>
    </w:tbl>
    <w:p w:rsid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7F7F3E" w:rsidRDefault="007F7F3E"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7F7F3E" w:rsidRDefault="007F7F3E"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7F7F3E" w:rsidRDefault="007F7F3E"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7F7F3E" w:rsidRPr="0001518A" w:rsidRDefault="007F7F3E"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i/>
          <w:color w:val="00B050"/>
          <w:sz w:val="24"/>
          <w:szCs w:val="24"/>
          <w:lang w:eastAsia="fr-FR"/>
        </w:rPr>
      </w:pPr>
      <w:r w:rsidRPr="0001518A">
        <w:rPr>
          <w:rFonts w:ascii="Times New Roman" w:eastAsia="Times New Roman" w:hAnsi="Times New Roman"/>
          <w:b/>
          <w:bCs/>
          <w:i/>
          <w:color w:val="000000"/>
          <w:sz w:val="24"/>
          <w:szCs w:val="24"/>
          <w:lang w:eastAsia="fr-FR"/>
        </w:rPr>
        <w:t xml:space="preserve">Catégorie « revenus de capitaux mobiliers »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70C0"/>
          <w:sz w:val="24"/>
          <w:szCs w:val="24"/>
          <w:lang w:eastAsia="fr-FR"/>
        </w:rPr>
      </w:pPr>
      <w:r w:rsidRPr="0001518A">
        <w:rPr>
          <w:rFonts w:ascii="Times New Roman" w:eastAsia="Times New Roman" w:hAnsi="Times New Roman"/>
          <w:bCs/>
          <w:color w:val="000000"/>
          <w:sz w:val="24"/>
          <w:szCs w:val="24"/>
          <w:lang w:eastAsia="fr-FR"/>
        </w:rPr>
        <w:t xml:space="preserve">Les intérêts sur le livret A ne sont pas imposables.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Les dividendes donnent droit à une réfaction de 40% sur le montant brut soit 1 000 * 0,4 = 400 €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70C0"/>
          <w:sz w:val="24"/>
          <w:szCs w:val="24"/>
          <w:lang w:eastAsia="fr-FR"/>
        </w:rPr>
      </w:pPr>
      <w:r w:rsidRPr="0001518A">
        <w:rPr>
          <w:rFonts w:ascii="Times New Roman" w:eastAsia="Times New Roman" w:hAnsi="Times New Roman"/>
          <w:bCs/>
          <w:color w:val="000000"/>
          <w:sz w:val="24"/>
          <w:szCs w:val="24"/>
          <w:lang w:eastAsia="fr-FR"/>
        </w:rPr>
        <w:t xml:space="preserve">Revenu net catégoriel : 1 000 – 400 ou 1 000 * 60% = 600 €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
          <w:bCs/>
          <w:color w:val="000000"/>
          <w:sz w:val="24"/>
          <w:szCs w:val="24"/>
          <w:lang w:eastAsia="fr-FR"/>
        </w:rPr>
        <w:t>NB :</w:t>
      </w:r>
      <w:r w:rsidRPr="0001518A">
        <w:rPr>
          <w:rFonts w:ascii="Times New Roman" w:eastAsia="Times New Roman" w:hAnsi="Times New Roman"/>
          <w:bCs/>
          <w:color w:val="000000"/>
          <w:sz w:val="24"/>
          <w:szCs w:val="24"/>
          <w:lang w:eastAsia="fr-FR"/>
        </w:rPr>
        <w:t xml:space="preserve"> un acompte de 21% des dividendes bruts est déduit des 1 000 € par l’entreprise qui verse les dividendes, cet acompte réduira l’IR en 2014.</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i/>
          <w:color w:val="00B050"/>
          <w:sz w:val="24"/>
          <w:szCs w:val="24"/>
          <w:lang w:eastAsia="fr-FR"/>
        </w:rPr>
      </w:pPr>
      <w:r w:rsidRPr="0001518A">
        <w:rPr>
          <w:rFonts w:ascii="Times New Roman" w:eastAsia="Times New Roman" w:hAnsi="Times New Roman"/>
          <w:b/>
          <w:bCs/>
          <w:i/>
          <w:color w:val="000000"/>
          <w:sz w:val="24"/>
          <w:szCs w:val="24"/>
          <w:lang w:eastAsia="fr-FR"/>
        </w:rPr>
        <w:t>Catégorie « revenus fonciers »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color w:val="0070C0"/>
          <w:sz w:val="24"/>
          <w:szCs w:val="24"/>
          <w:lang w:eastAsia="fr-FR"/>
        </w:rPr>
      </w:pPr>
      <w:r w:rsidRPr="0001518A">
        <w:rPr>
          <w:rFonts w:ascii="Times New Roman" w:eastAsia="Times New Roman" w:hAnsi="Times New Roman"/>
          <w:bCs/>
          <w:color w:val="000000"/>
          <w:sz w:val="24"/>
          <w:szCs w:val="24"/>
          <w:lang w:eastAsia="fr-FR"/>
        </w:rPr>
        <w:t>Madame Harmony n’a pas opté pour l’imposition au réel donc le régime applicable est le micro foncier car ses revenus sont inférieurs ou égaux à 15 000 €</w:t>
      </w:r>
      <w:r w:rsidRPr="0001518A">
        <w:rPr>
          <w:rFonts w:ascii="Times New Roman" w:eastAsia="Times New Roman" w:hAnsi="Times New Roman"/>
          <w:b/>
          <w:bCs/>
          <w:color w:val="000000"/>
          <w:sz w:val="24"/>
          <w:szCs w:val="24"/>
          <w:lang w:eastAsia="fr-FR"/>
        </w:rPr>
        <w:t xml:space="preserve"> . </w:t>
      </w:r>
      <w:r w:rsidRPr="0001518A">
        <w:rPr>
          <w:rFonts w:ascii="Times New Roman" w:eastAsia="Times New Roman" w:hAnsi="Times New Roman"/>
          <w:bCs/>
          <w:color w:val="000000"/>
          <w:sz w:val="24"/>
          <w:szCs w:val="24"/>
          <w:lang w:eastAsia="fr-FR"/>
        </w:rPr>
        <w:t>Les frais d’entretien de 1 000 € ne sont pas pris en compte dans le micro foncier</w:t>
      </w:r>
      <w:r w:rsidRPr="0001518A">
        <w:rPr>
          <w:rFonts w:ascii="Times New Roman" w:eastAsia="Times New Roman" w:hAnsi="Times New Roman"/>
          <w:b/>
          <w:bCs/>
          <w:sz w:val="24"/>
          <w:szCs w:val="24"/>
          <w:lang w:eastAsia="fr-FR"/>
        </w:rPr>
        <w:t>.</w:t>
      </w:r>
      <w:r w:rsidRPr="0001518A">
        <w:rPr>
          <w:rFonts w:ascii="Times New Roman" w:eastAsia="Times New Roman" w:hAnsi="Times New Roman"/>
          <w:b/>
          <w:bCs/>
          <w:color w:val="0070C0"/>
          <w:sz w:val="24"/>
          <w:szCs w:val="24"/>
          <w:lang w:eastAsia="fr-FR"/>
        </w:rPr>
        <w:t xml:space="preserve">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Un abattement de 30%  est appliqué pour prendre en compte les charges donc le revenu net catégoriel foncier est de 6 000 * 0,70 = 4 200 €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p>
    <w:p w:rsidR="0001518A" w:rsidRPr="0001518A" w:rsidRDefault="0001518A" w:rsidP="0001518A">
      <w:pPr>
        <w:tabs>
          <w:tab w:val="left" w:pos="709"/>
          <w:tab w:val="left" w:pos="1418"/>
        </w:tabs>
        <w:spacing w:after="0" w:line="240" w:lineRule="auto"/>
        <w:jc w:val="both"/>
        <w:rPr>
          <w:rFonts w:ascii="Times New Roman" w:eastAsia="Times New Roman" w:hAnsi="Times New Roman"/>
          <w:b/>
          <w:bCs/>
          <w:i/>
          <w:color w:val="00B050"/>
          <w:sz w:val="24"/>
          <w:szCs w:val="24"/>
          <w:lang w:eastAsia="fr-FR"/>
        </w:rPr>
      </w:pPr>
      <w:r w:rsidRPr="0001518A">
        <w:rPr>
          <w:rFonts w:ascii="Times New Roman" w:eastAsia="Times New Roman" w:hAnsi="Times New Roman"/>
          <w:b/>
          <w:bCs/>
          <w:i/>
          <w:color w:val="000000"/>
          <w:sz w:val="24"/>
          <w:szCs w:val="24"/>
          <w:lang w:eastAsia="fr-FR"/>
        </w:rPr>
        <w:t xml:space="preserve">Catégorie « plus value sur cessions de valeurs mobilières » :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0000"/>
          <w:sz w:val="24"/>
          <w:szCs w:val="24"/>
          <w:lang w:eastAsia="fr-FR"/>
        </w:rPr>
      </w:pPr>
      <w:r w:rsidRPr="0001518A">
        <w:rPr>
          <w:rFonts w:ascii="Times New Roman" w:eastAsia="Times New Roman" w:hAnsi="Times New Roman"/>
          <w:bCs/>
          <w:color w:val="000000"/>
          <w:sz w:val="24"/>
          <w:szCs w:val="24"/>
          <w:lang w:eastAsia="fr-FR"/>
        </w:rPr>
        <w:t xml:space="preserve">Pas d’abattement (durée de détention inférieure à deux ans), soumis au barème de l’impôt progressif. </w:t>
      </w:r>
    </w:p>
    <w:p w:rsidR="0001518A" w:rsidRPr="0001518A" w:rsidRDefault="0001518A" w:rsidP="0001518A">
      <w:pPr>
        <w:tabs>
          <w:tab w:val="left" w:pos="709"/>
          <w:tab w:val="left" w:pos="1418"/>
        </w:tabs>
        <w:spacing w:after="0" w:line="240" w:lineRule="auto"/>
        <w:jc w:val="both"/>
        <w:rPr>
          <w:rFonts w:ascii="Times New Roman" w:eastAsia="Times New Roman" w:hAnsi="Times New Roman"/>
          <w:bCs/>
          <w:color w:val="0070C0"/>
          <w:sz w:val="24"/>
          <w:szCs w:val="24"/>
          <w:lang w:eastAsia="fr-FR"/>
        </w:rPr>
      </w:pPr>
      <w:r w:rsidRPr="0001518A">
        <w:rPr>
          <w:rFonts w:ascii="Times New Roman" w:eastAsia="Times New Roman" w:hAnsi="Times New Roman"/>
          <w:bCs/>
          <w:color w:val="000000"/>
          <w:sz w:val="24"/>
          <w:szCs w:val="24"/>
          <w:lang w:eastAsia="fr-FR"/>
        </w:rPr>
        <w:t xml:space="preserve">Revenu net catégoriel : prix net de cession – prix d’achat = 1 200 - 500= 700 € </w:t>
      </w:r>
    </w:p>
    <w:p w:rsidR="0001518A" w:rsidRPr="0001518A" w:rsidRDefault="0001518A" w:rsidP="0001518A">
      <w:pPr>
        <w:tabs>
          <w:tab w:val="left" w:pos="709"/>
          <w:tab w:val="left" w:pos="1418"/>
        </w:tabs>
        <w:spacing w:after="0" w:line="240" w:lineRule="auto"/>
        <w:rPr>
          <w:rFonts w:ascii="Times New Roman" w:eastAsia="Times New Roman" w:hAnsi="Times New Roman"/>
          <w:bCs/>
          <w:color w:val="00B050"/>
          <w:sz w:val="24"/>
          <w:szCs w:val="24"/>
          <w:lang w:eastAsia="fr-FR"/>
        </w:rPr>
      </w:pPr>
      <w:r w:rsidRPr="0001518A">
        <w:rPr>
          <w:rFonts w:ascii="Times New Roman" w:eastAsia="Times New Roman" w:hAnsi="Times New Roman"/>
          <w:bCs/>
          <w:color w:val="000000"/>
          <w:sz w:val="24"/>
          <w:szCs w:val="24"/>
          <w:lang w:eastAsia="fr-FR"/>
        </w:rPr>
        <w:t xml:space="preserve">Total des revenus nets catégoriels : 90 685 + 25 920 + 600 + 4 200 + 700 = 122 105 € </w:t>
      </w:r>
    </w:p>
    <w:p w:rsidR="0001518A" w:rsidRPr="0001518A" w:rsidRDefault="0001518A" w:rsidP="0001518A">
      <w:pPr>
        <w:tabs>
          <w:tab w:val="left" w:pos="709"/>
          <w:tab w:val="left" w:pos="1418"/>
        </w:tabs>
        <w:spacing w:after="0" w:line="240" w:lineRule="auto"/>
        <w:rPr>
          <w:rFonts w:ascii="Times New Roman" w:eastAsia="Times New Roman" w:hAnsi="Times New Roman"/>
          <w:bCs/>
          <w:color w:val="000000"/>
          <w:sz w:val="24"/>
          <w:szCs w:val="24"/>
          <w:lang w:eastAsia="fr-FR"/>
        </w:rPr>
      </w:pPr>
    </w:p>
    <w:p w:rsidR="0001518A" w:rsidRPr="0001518A" w:rsidRDefault="0001518A" w:rsidP="0001518A">
      <w:pPr>
        <w:tabs>
          <w:tab w:val="left" w:pos="709"/>
        </w:tabs>
        <w:spacing w:after="0" w:line="240" w:lineRule="auto"/>
        <w:jc w:val="both"/>
        <w:rPr>
          <w:rFonts w:ascii="Times New Roman" w:eastAsia="Times New Roman" w:hAnsi="Times New Roman"/>
          <w:b/>
          <w:bCs/>
          <w:color w:val="000000"/>
          <w:sz w:val="24"/>
          <w:szCs w:val="24"/>
          <w:lang w:eastAsia="fr-FR"/>
        </w:rPr>
      </w:pPr>
      <w:r w:rsidRPr="0001518A">
        <w:rPr>
          <w:rFonts w:ascii="Times New Roman" w:eastAsia="Times New Roman" w:hAnsi="Times New Roman"/>
          <w:b/>
          <w:bCs/>
          <w:color w:val="000000"/>
          <w:sz w:val="24"/>
          <w:szCs w:val="24"/>
          <w:lang w:eastAsia="fr-FR"/>
        </w:rPr>
        <w:t>4. Quels sont les personnes et les revenus soumis à la contribution sociale généralisée ?</w:t>
      </w:r>
    </w:p>
    <w:p w:rsidR="0001518A" w:rsidRPr="0001518A" w:rsidRDefault="0001518A" w:rsidP="0001518A">
      <w:pPr>
        <w:tabs>
          <w:tab w:val="left" w:pos="709"/>
        </w:tabs>
        <w:spacing w:after="0" w:line="240" w:lineRule="auto"/>
        <w:jc w:val="both"/>
        <w:rPr>
          <w:rFonts w:ascii="Times New Roman" w:eastAsia="Times New Roman" w:hAnsi="Times New Roman"/>
          <w:b/>
          <w:bCs/>
          <w:sz w:val="24"/>
          <w:szCs w:val="24"/>
          <w:lang w:eastAsia="fr-FR"/>
        </w:rPr>
      </w:pPr>
      <w:r w:rsidRPr="0001518A">
        <w:rPr>
          <w:rFonts w:ascii="Times New Roman" w:eastAsia="Times New Roman" w:hAnsi="Times New Roman"/>
          <w:b/>
          <w:bCs/>
          <w:color w:val="000000"/>
          <w:sz w:val="24"/>
          <w:szCs w:val="24"/>
          <w:lang w:eastAsia="fr-FR"/>
        </w:rPr>
        <w:t>Qu’en est-il des différents revenus du foyer fiscal HARMONY ?</w:t>
      </w:r>
    </w:p>
    <w:p w:rsidR="0001518A" w:rsidRPr="0001518A" w:rsidRDefault="0001518A" w:rsidP="0001518A">
      <w:pPr>
        <w:spacing w:after="0" w:line="240" w:lineRule="auto"/>
        <w:rPr>
          <w:rFonts w:ascii="Times New Roman" w:eastAsia="Times New Roman" w:hAnsi="Times New Roman"/>
          <w:sz w:val="24"/>
          <w:szCs w:val="24"/>
          <w:lang w:eastAsia="fr-FR"/>
        </w:rPr>
      </w:pPr>
    </w:p>
    <w:p w:rsidR="0001518A" w:rsidRPr="0001518A" w:rsidRDefault="0001518A" w:rsidP="0001518A">
      <w:pPr>
        <w:spacing w:after="0" w:line="240" w:lineRule="auto"/>
        <w:jc w:val="both"/>
        <w:rPr>
          <w:rFonts w:ascii="Times New Roman" w:eastAsia="Times New Roman" w:hAnsi="Times New Roman"/>
          <w:sz w:val="24"/>
          <w:szCs w:val="24"/>
          <w:lang w:eastAsia="fr-FR"/>
        </w:rPr>
      </w:pPr>
      <w:r w:rsidRPr="0001518A">
        <w:rPr>
          <w:rFonts w:ascii="Times New Roman" w:eastAsia="Times New Roman" w:hAnsi="Times New Roman"/>
          <w:sz w:val="24"/>
          <w:szCs w:val="24"/>
          <w:lang w:eastAsia="fr-FR"/>
        </w:rPr>
        <w:t>Les personnes imposables à la contribution sociale généralisée sont les personnes physiques fiscalement domiciliées en France et bénéficiaires d’un régime obligatoire français d’assurance maladie.</w:t>
      </w:r>
    </w:p>
    <w:p w:rsidR="0001518A" w:rsidRPr="0001518A" w:rsidRDefault="0001518A" w:rsidP="0001518A">
      <w:pPr>
        <w:spacing w:after="0" w:line="240" w:lineRule="auto"/>
        <w:jc w:val="both"/>
        <w:rPr>
          <w:rFonts w:ascii="Times New Roman" w:eastAsia="Times New Roman" w:hAnsi="Times New Roman"/>
          <w:color w:val="00B050"/>
          <w:sz w:val="24"/>
          <w:szCs w:val="24"/>
          <w:lang w:eastAsia="fr-FR"/>
        </w:rPr>
      </w:pPr>
      <w:r w:rsidRPr="0001518A">
        <w:rPr>
          <w:rFonts w:ascii="Times New Roman" w:eastAsia="Times New Roman" w:hAnsi="Times New Roman"/>
          <w:sz w:val="24"/>
          <w:szCs w:val="24"/>
          <w:lang w:eastAsia="fr-FR"/>
        </w:rPr>
        <w:t>Les revenus soumis à la CSG sont les revenus des salariés, les revenus des non salariés, les revenus de remplacement, les revenus du capital : les revenus de placement (intérêts, dividendes) et les revenus du patrimoine (revenus fonciers, plus values sur droits sociaux)</w:t>
      </w:r>
    </w:p>
    <w:p w:rsidR="0001518A" w:rsidRPr="0001518A" w:rsidRDefault="0001518A" w:rsidP="0001518A">
      <w:pPr>
        <w:spacing w:after="0" w:line="240" w:lineRule="auto"/>
        <w:jc w:val="both"/>
        <w:rPr>
          <w:rFonts w:ascii="Arial" w:eastAsia="Times New Roman" w:hAnsi="Arial" w:cs="Arial"/>
          <w:sz w:val="20"/>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559"/>
      </w:tblGrid>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Revenus</w:t>
            </w:r>
          </w:p>
        </w:tc>
        <w:tc>
          <w:tcPr>
            <w:tcW w:w="1701"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 xml:space="preserve">Imposés </w:t>
            </w:r>
          </w:p>
        </w:tc>
        <w:tc>
          <w:tcPr>
            <w:tcW w:w="1559"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Exonérés</w:t>
            </w: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Salaires</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Participation</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Allocation personnalisée au logement</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Revenus fonciers</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Dividendes perçus</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Revenus BNC</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r>
      <w:tr w:rsidR="0001518A" w:rsidRPr="0001518A" w:rsidTr="00DD23EA">
        <w:trPr>
          <w:jc w:val="center"/>
        </w:trPr>
        <w:tc>
          <w:tcPr>
            <w:tcW w:w="3936" w:type="dxa"/>
          </w:tcPr>
          <w:p w:rsidR="0001518A" w:rsidRPr="0001518A" w:rsidRDefault="0001518A" w:rsidP="0001518A">
            <w:pPr>
              <w:spacing w:after="0" w:line="240" w:lineRule="auto"/>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lastRenderedPageBreak/>
              <w:t>Intérêts livret A</w:t>
            </w:r>
          </w:p>
        </w:tc>
        <w:tc>
          <w:tcPr>
            <w:tcW w:w="1701"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p>
        </w:tc>
        <w:tc>
          <w:tcPr>
            <w:tcW w:w="1559" w:type="dxa"/>
          </w:tcPr>
          <w:p w:rsidR="0001518A" w:rsidRPr="0001518A" w:rsidRDefault="0001518A" w:rsidP="0001518A">
            <w:pPr>
              <w:spacing w:after="0" w:line="240" w:lineRule="auto"/>
              <w:jc w:val="center"/>
              <w:rPr>
                <w:rFonts w:ascii="Times New Roman" w:eastAsia="Times New Roman" w:hAnsi="Times New Roman"/>
                <w:bCs/>
                <w:sz w:val="24"/>
                <w:szCs w:val="24"/>
                <w:lang w:eastAsia="fr-FR"/>
              </w:rPr>
            </w:pPr>
            <w:r w:rsidRPr="0001518A">
              <w:rPr>
                <w:rFonts w:ascii="Times New Roman" w:eastAsia="Times New Roman" w:hAnsi="Times New Roman"/>
                <w:bCs/>
                <w:sz w:val="24"/>
                <w:szCs w:val="24"/>
                <w:lang w:eastAsia="fr-FR"/>
              </w:rPr>
              <w:t>x</w:t>
            </w:r>
          </w:p>
        </w:tc>
      </w:tr>
    </w:tbl>
    <w:p w:rsidR="0001518A" w:rsidRPr="0001518A" w:rsidRDefault="0001518A" w:rsidP="0001518A">
      <w:pPr>
        <w:spacing w:after="0" w:line="240" w:lineRule="auto"/>
        <w:rPr>
          <w:rFonts w:ascii="Times New Roman" w:eastAsia="Times New Roman" w:hAnsi="Times New Roman"/>
          <w:b/>
          <w:bCs/>
          <w:sz w:val="24"/>
          <w:szCs w:val="24"/>
          <w:lang w:eastAsia="fr-FR"/>
        </w:rPr>
      </w:pPr>
    </w:p>
    <w:p w:rsidR="00B64167" w:rsidRPr="0001518A" w:rsidRDefault="00B64167" w:rsidP="0001518A">
      <w:pPr>
        <w:rPr>
          <w:rFonts w:ascii="Times New Roman" w:hAnsi="Times New Roman"/>
        </w:rPr>
      </w:pPr>
    </w:p>
    <w:sectPr w:rsidR="00B64167" w:rsidRPr="0001518A" w:rsidSect="001F0FBE">
      <w:headerReference w:type="default" r:id="rId8"/>
      <w:footerReference w:type="default" r:id="rId9"/>
      <w:pgSz w:w="11906" w:h="16838"/>
      <w:pgMar w:top="1417" w:right="1417" w:bottom="993" w:left="1417" w:header="454"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47" w:rsidRDefault="00403447" w:rsidP="00D0653F">
      <w:pPr>
        <w:spacing w:after="0" w:line="240" w:lineRule="auto"/>
      </w:pPr>
      <w:r>
        <w:separator/>
      </w:r>
    </w:p>
  </w:endnote>
  <w:endnote w:type="continuationSeparator" w:id="0">
    <w:p w:rsidR="00403447" w:rsidRDefault="00403447" w:rsidP="00D0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18" w:rsidRDefault="00CE6B18">
    <w:pPr>
      <w:pStyle w:val="Pieddepage"/>
      <w:jc w:val="right"/>
    </w:pPr>
    <w:r>
      <w:fldChar w:fldCharType="begin"/>
    </w:r>
    <w:r>
      <w:instrText>PAGE   \* MERGEFORMAT</w:instrText>
    </w:r>
    <w:r>
      <w:fldChar w:fldCharType="separate"/>
    </w:r>
    <w:r w:rsidR="008C30E2">
      <w:rPr>
        <w:noProof/>
      </w:rPr>
      <w:t>9</w:t>
    </w:r>
    <w:r>
      <w:fldChar w:fldCharType="end"/>
    </w:r>
    <w:r>
      <w:t>/8</w:t>
    </w:r>
  </w:p>
  <w:p w:rsidR="00D05D8D" w:rsidRPr="001F0FBE" w:rsidRDefault="00CE6B18" w:rsidP="001F0FBE">
    <w:pPr>
      <w:pStyle w:val="Pieddepage"/>
      <w:rPr>
        <w:sz w:val="28"/>
      </w:rPr>
    </w:pPr>
    <w:r w:rsidRPr="00C07977">
      <w:rPr>
        <w:bCs/>
      </w:rPr>
      <w:t>©Comptazine – Reprod</w:t>
    </w:r>
    <w:r>
      <w:rPr>
        <w:bCs/>
      </w:rPr>
      <w:t xml:space="preserve">uction Interdite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47" w:rsidRDefault="00403447" w:rsidP="00D0653F">
      <w:pPr>
        <w:spacing w:after="0" w:line="240" w:lineRule="auto"/>
      </w:pPr>
      <w:r>
        <w:separator/>
      </w:r>
    </w:p>
  </w:footnote>
  <w:footnote w:type="continuationSeparator" w:id="0">
    <w:p w:rsidR="00403447" w:rsidRDefault="00403447" w:rsidP="00D06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BE" w:rsidRPr="001F0FBE" w:rsidRDefault="00184E8D" w:rsidP="001F0FBE">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FBE">
      <w:tab/>
    </w:r>
    <w:r w:rsidR="001F0FBE">
      <w:tab/>
    </w:r>
    <w:r w:rsidR="001F0FBE">
      <w:tab/>
    </w:r>
    <w:r w:rsidR="001F0FBE">
      <w:tab/>
    </w:r>
    <w:r w:rsidR="001F0F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1F0FBE" w:rsidRPr="001C2C1B">
        <w:rPr>
          <w:rStyle w:val="Lienhypertexte"/>
          <w:rFonts w:cs="Calibri"/>
          <w:color w:val="E36C0A"/>
        </w:rPr>
        <w:t>www.comptazine.fr</w:t>
      </w:r>
    </w:hyperlink>
    <w:r w:rsidR="001F0FBE">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BE" w:rsidRPr="005E18B7" w:rsidRDefault="001F0FBE" w:rsidP="001F0FBE">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1F0FBE" w:rsidRPr="005E18B7" w:rsidRDefault="001F0FBE" w:rsidP="001F0FBE">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7788"/>
    <w:multiLevelType w:val="hybridMultilevel"/>
    <w:tmpl w:val="50007D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1F1319"/>
    <w:multiLevelType w:val="hybridMultilevel"/>
    <w:tmpl w:val="BDD2A8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A5F07"/>
    <w:multiLevelType w:val="hybridMultilevel"/>
    <w:tmpl w:val="8EEC8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106786"/>
    <w:multiLevelType w:val="hybridMultilevel"/>
    <w:tmpl w:val="474A7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0107B1"/>
    <w:multiLevelType w:val="hybridMultilevel"/>
    <w:tmpl w:val="B3EE49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DF58F5"/>
    <w:multiLevelType w:val="hybridMultilevel"/>
    <w:tmpl w:val="DFC42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3E2123"/>
    <w:multiLevelType w:val="hybridMultilevel"/>
    <w:tmpl w:val="CD863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FE5A54"/>
    <w:multiLevelType w:val="hybridMultilevel"/>
    <w:tmpl w:val="2E805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173358"/>
    <w:multiLevelType w:val="hybridMultilevel"/>
    <w:tmpl w:val="90A0C0E6"/>
    <w:lvl w:ilvl="0" w:tplc="E8DE48F0">
      <w:start w:val="1"/>
      <w:numFmt w:val="bullet"/>
      <w:lvlText w:val="-"/>
      <w:lvlJc w:val="left"/>
      <w:pPr>
        <w:tabs>
          <w:tab w:val="num" w:pos="594"/>
        </w:tabs>
        <w:ind w:left="594"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E5D8C"/>
    <w:multiLevelType w:val="hybridMultilevel"/>
    <w:tmpl w:val="23D06CDA"/>
    <w:lvl w:ilvl="0" w:tplc="DF80EC9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A66608"/>
    <w:multiLevelType w:val="hybridMultilevel"/>
    <w:tmpl w:val="1E8E9450"/>
    <w:lvl w:ilvl="0" w:tplc="76A06FAC">
      <w:start w:val="1"/>
      <w:numFmt w:val="bullet"/>
      <w:lvlText w:val=""/>
      <w:lvlJc w:val="left"/>
      <w:pPr>
        <w:tabs>
          <w:tab w:val="num" w:pos="780"/>
        </w:tabs>
        <w:ind w:left="780" w:hanging="360"/>
      </w:pPr>
      <w:rPr>
        <w:rFonts w:ascii="Symbol" w:eastAsia="Times New Roman" w:hAnsi="Symbol" w:cs="Times New Roman" w:hint="default"/>
        <w:b/>
      </w:rPr>
    </w:lvl>
    <w:lvl w:ilvl="1" w:tplc="27BCCACA">
      <w:start w:val="1"/>
      <w:numFmt w:val="bullet"/>
      <w:lvlText w:val=""/>
      <w:lvlJc w:val="left"/>
      <w:pPr>
        <w:tabs>
          <w:tab w:val="num" w:pos="567"/>
        </w:tabs>
        <w:ind w:left="567" w:hanging="340"/>
      </w:pPr>
      <w:rPr>
        <w:rFonts w:ascii="Symbol" w:hAnsi="Symbol" w:hint="default"/>
        <w:b/>
        <w:color w:val="auto"/>
      </w:rPr>
    </w:lvl>
    <w:lvl w:ilvl="2" w:tplc="A6E29B6E">
      <w:start w:val="1"/>
      <w:numFmt w:val="bullet"/>
      <w:lvlText w:val=""/>
      <w:lvlJc w:val="left"/>
      <w:pPr>
        <w:tabs>
          <w:tab w:val="num" w:pos="567"/>
        </w:tabs>
        <w:ind w:left="567" w:hanging="340"/>
      </w:pPr>
      <w:rPr>
        <w:rFonts w:ascii="Symbol" w:hAnsi="Symbol"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875CD"/>
    <w:multiLevelType w:val="hybridMultilevel"/>
    <w:tmpl w:val="7AEADA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734F37"/>
    <w:multiLevelType w:val="hybridMultilevel"/>
    <w:tmpl w:val="70D04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30A54"/>
    <w:multiLevelType w:val="hybridMultilevel"/>
    <w:tmpl w:val="B10EE9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CB55D3"/>
    <w:multiLevelType w:val="hybridMultilevel"/>
    <w:tmpl w:val="3D36C7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7B1FCC"/>
    <w:multiLevelType w:val="hybridMultilevel"/>
    <w:tmpl w:val="0E2E54A8"/>
    <w:lvl w:ilvl="0" w:tplc="1DBE7E2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0C54EA"/>
    <w:multiLevelType w:val="hybridMultilevel"/>
    <w:tmpl w:val="A1969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B03DD3"/>
    <w:multiLevelType w:val="hybridMultilevel"/>
    <w:tmpl w:val="273A6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12"/>
  </w:num>
  <w:num w:numId="6">
    <w:abstractNumId w:val="14"/>
  </w:num>
  <w:num w:numId="7">
    <w:abstractNumId w:val="7"/>
  </w:num>
  <w:num w:numId="8">
    <w:abstractNumId w:val="4"/>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5"/>
  </w:num>
  <w:num w:numId="13">
    <w:abstractNumId w:val="5"/>
  </w:num>
  <w:num w:numId="14">
    <w:abstractNumId w:val="2"/>
  </w:num>
  <w:num w:numId="15">
    <w:abstractNumId w:val="1"/>
  </w:num>
  <w:num w:numId="16">
    <w:abstractNumId w:val="3"/>
  </w:num>
  <w:num w:numId="17">
    <w:abstractNumId w:val="16"/>
  </w:num>
  <w:num w:numId="18">
    <w:abstractNumId w:val="17"/>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fillcolor="white">
      <v:fill color="white"/>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DA"/>
    <w:rsid w:val="00007703"/>
    <w:rsid w:val="0001518A"/>
    <w:rsid w:val="00034796"/>
    <w:rsid w:val="00036F28"/>
    <w:rsid w:val="00040530"/>
    <w:rsid w:val="00042EF1"/>
    <w:rsid w:val="00044441"/>
    <w:rsid w:val="00044A5A"/>
    <w:rsid w:val="00051734"/>
    <w:rsid w:val="00056C24"/>
    <w:rsid w:val="0005718D"/>
    <w:rsid w:val="00057CC2"/>
    <w:rsid w:val="00067682"/>
    <w:rsid w:val="00077855"/>
    <w:rsid w:val="00083134"/>
    <w:rsid w:val="000839E6"/>
    <w:rsid w:val="00094801"/>
    <w:rsid w:val="000A2C7B"/>
    <w:rsid w:val="000A6A91"/>
    <w:rsid w:val="000B4184"/>
    <w:rsid w:val="000B63E4"/>
    <w:rsid w:val="000C00EE"/>
    <w:rsid w:val="000E22D7"/>
    <w:rsid w:val="000F10B1"/>
    <w:rsid w:val="00105138"/>
    <w:rsid w:val="0011621A"/>
    <w:rsid w:val="00121078"/>
    <w:rsid w:val="00126A35"/>
    <w:rsid w:val="0012730A"/>
    <w:rsid w:val="00127520"/>
    <w:rsid w:val="00140C61"/>
    <w:rsid w:val="0014432A"/>
    <w:rsid w:val="001453C2"/>
    <w:rsid w:val="00153AAB"/>
    <w:rsid w:val="001565CF"/>
    <w:rsid w:val="001831A8"/>
    <w:rsid w:val="00184E8D"/>
    <w:rsid w:val="001952C2"/>
    <w:rsid w:val="001973BD"/>
    <w:rsid w:val="00197F84"/>
    <w:rsid w:val="001A232B"/>
    <w:rsid w:val="001A4379"/>
    <w:rsid w:val="001A4978"/>
    <w:rsid w:val="001A6C39"/>
    <w:rsid w:val="001C2FB3"/>
    <w:rsid w:val="001C486F"/>
    <w:rsid w:val="001C4DE6"/>
    <w:rsid w:val="001D0FEB"/>
    <w:rsid w:val="001D392D"/>
    <w:rsid w:val="001E2574"/>
    <w:rsid w:val="001F0FBE"/>
    <w:rsid w:val="001F1735"/>
    <w:rsid w:val="0020495E"/>
    <w:rsid w:val="00206A17"/>
    <w:rsid w:val="002119E8"/>
    <w:rsid w:val="00213376"/>
    <w:rsid w:val="00213ADA"/>
    <w:rsid w:val="0021706E"/>
    <w:rsid w:val="0023234F"/>
    <w:rsid w:val="00241C7A"/>
    <w:rsid w:val="00251A6F"/>
    <w:rsid w:val="00272052"/>
    <w:rsid w:val="00291450"/>
    <w:rsid w:val="002A2523"/>
    <w:rsid w:val="002D0865"/>
    <w:rsid w:val="002F7682"/>
    <w:rsid w:val="00301367"/>
    <w:rsid w:val="0035123F"/>
    <w:rsid w:val="00354EBF"/>
    <w:rsid w:val="00362CAC"/>
    <w:rsid w:val="00366216"/>
    <w:rsid w:val="003821F0"/>
    <w:rsid w:val="003831B0"/>
    <w:rsid w:val="003B2D49"/>
    <w:rsid w:val="003B58F6"/>
    <w:rsid w:val="003B7123"/>
    <w:rsid w:val="003C23CA"/>
    <w:rsid w:val="003C5CB0"/>
    <w:rsid w:val="003D0C3E"/>
    <w:rsid w:val="003D45A5"/>
    <w:rsid w:val="003E69AC"/>
    <w:rsid w:val="003F4914"/>
    <w:rsid w:val="00403447"/>
    <w:rsid w:val="00412907"/>
    <w:rsid w:val="004409C3"/>
    <w:rsid w:val="00441597"/>
    <w:rsid w:val="00476315"/>
    <w:rsid w:val="00485BD6"/>
    <w:rsid w:val="00487497"/>
    <w:rsid w:val="00491E46"/>
    <w:rsid w:val="004A6551"/>
    <w:rsid w:val="004B0049"/>
    <w:rsid w:val="004B1C4E"/>
    <w:rsid w:val="004B4B24"/>
    <w:rsid w:val="004B50DF"/>
    <w:rsid w:val="004D5BB5"/>
    <w:rsid w:val="004D6255"/>
    <w:rsid w:val="004E3942"/>
    <w:rsid w:val="0050068E"/>
    <w:rsid w:val="00506A7F"/>
    <w:rsid w:val="005115A3"/>
    <w:rsid w:val="00525C8F"/>
    <w:rsid w:val="00543B19"/>
    <w:rsid w:val="005630B1"/>
    <w:rsid w:val="00563E37"/>
    <w:rsid w:val="00566A0A"/>
    <w:rsid w:val="00571803"/>
    <w:rsid w:val="005724E3"/>
    <w:rsid w:val="00583B22"/>
    <w:rsid w:val="00587AF4"/>
    <w:rsid w:val="005902BE"/>
    <w:rsid w:val="005A274C"/>
    <w:rsid w:val="005A3B34"/>
    <w:rsid w:val="005A4D5E"/>
    <w:rsid w:val="005B5BD6"/>
    <w:rsid w:val="005D2453"/>
    <w:rsid w:val="005D2A81"/>
    <w:rsid w:val="005F177D"/>
    <w:rsid w:val="005F3BF8"/>
    <w:rsid w:val="005F4BCC"/>
    <w:rsid w:val="00610DBE"/>
    <w:rsid w:val="006153C6"/>
    <w:rsid w:val="00623A3E"/>
    <w:rsid w:val="00632922"/>
    <w:rsid w:val="006339A5"/>
    <w:rsid w:val="0064151B"/>
    <w:rsid w:val="00646AEE"/>
    <w:rsid w:val="00650888"/>
    <w:rsid w:val="00675271"/>
    <w:rsid w:val="00691354"/>
    <w:rsid w:val="006933D1"/>
    <w:rsid w:val="00694F1A"/>
    <w:rsid w:val="006B5829"/>
    <w:rsid w:val="006C6A7C"/>
    <w:rsid w:val="006E1CB1"/>
    <w:rsid w:val="006E2CD5"/>
    <w:rsid w:val="006F1B67"/>
    <w:rsid w:val="00702841"/>
    <w:rsid w:val="00712EA0"/>
    <w:rsid w:val="0074239E"/>
    <w:rsid w:val="00760757"/>
    <w:rsid w:val="00760C43"/>
    <w:rsid w:val="00767273"/>
    <w:rsid w:val="00770B75"/>
    <w:rsid w:val="00770E08"/>
    <w:rsid w:val="00772A99"/>
    <w:rsid w:val="0078231C"/>
    <w:rsid w:val="00790714"/>
    <w:rsid w:val="00797ED8"/>
    <w:rsid w:val="007A1E3E"/>
    <w:rsid w:val="007B1A4A"/>
    <w:rsid w:val="007B4331"/>
    <w:rsid w:val="007C1E9F"/>
    <w:rsid w:val="007C313B"/>
    <w:rsid w:val="007D4006"/>
    <w:rsid w:val="007F00F6"/>
    <w:rsid w:val="007F4574"/>
    <w:rsid w:val="007F7F3E"/>
    <w:rsid w:val="00825BE1"/>
    <w:rsid w:val="0083049D"/>
    <w:rsid w:val="00830BDA"/>
    <w:rsid w:val="00841C40"/>
    <w:rsid w:val="00845358"/>
    <w:rsid w:val="0085161E"/>
    <w:rsid w:val="0085558A"/>
    <w:rsid w:val="0086246C"/>
    <w:rsid w:val="00880B18"/>
    <w:rsid w:val="00882570"/>
    <w:rsid w:val="008927C2"/>
    <w:rsid w:val="00896A08"/>
    <w:rsid w:val="008A0461"/>
    <w:rsid w:val="008A2AA6"/>
    <w:rsid w:val="008A5741"/>
    <w:rsid w:val="008A605C"/>
    <w:rsid w:val="008A7A02"/>
    <w:rsid w:val="008C30E2"/>
    <w:rsid w:val="008C3E97"/>
    <w:rsid w:val="008D7869"/>
    <w:rsid w:val="008E0F8B"/>
    <w:rsid w:val="008F3FBB"/>
    <w:rsid w:val="00925D17"/>
    <w:rsid w:val="00934D94"/>
    <w:rsid w:val="00951378"/>
    <w:rsid w:val="0096465D"/>
    <w:rsid w:val="00977D07"/>
    <w:rsid w:val="0098681B"/>
    <w:rsid w:val="00996A96"/>
    <w:rsid w:val="009A532B"/>
    <w:rsid w:val="009B74D0"/>
    <w:rsid w:val="009C1C3C"/>
    <w:rsid w:val="009D3C32"/>
    <w:rsid w:val="009D7405"/>
    <w:rsid w:val="009E67B7"/>
    <w:rsid w:val="00A1606B"/>
    <w:rsid w:val="00A415F4"/>
    <w:rsid w:val="00A44DD4"/>
    <w:rsid w:val="00A54BF0"/>
    <w:rsid w:val="00A60C1A"/>
    <w:rsid w:val="00A6756F"/>
    <w:rsid w:val="00A71D7C"/>
    <w:rsid w:val="00A82A1B"/>
    <w:rsid w:val="00A8636D"/>
    <w:rsid w:val="00A96E3F"/>
    <w:rsid w:val="00A97FC0"/>
    <w:rsid w:val="00AA7E0B"/>
    <w:rsid w:val="00AB2293"/>
    <w:rsid w:val="00AC0F14"/>
    <w:rsid w:val="00AD2E31"/>
    <w:rsid w:val="00AE6A2A"/>
    <w:rsid w:val="00B0229F"/>
    <w:rsid w:val="00B04491"/>
    <w:rsid w:val="00B1433E"/>
    <w:rsid w:val="00B15A69"/>
    <w:rsid w:val="00B210C2"/>
    <w:rsid w:val="00B450C4"/>
    <w:rsid w:val="00B4693F"/>
    <w:rsid w:val="00B50D47"/>
    <w:rsid w:val="00B55327"/>
    <w:rsid w:val="00B55530"/>
    <w:rsid w:val="00B55E5A"/>
    <w:rsid w:val="00B60F7B"/>
    <w:rsid w:val="00B64167"/>
    <w:rsid w:val="00B6792B"/>
    <w:rsid w:val="00B70754"/>
    <w:rsid w:val="00B73861"/>
    <w:rsid w:val="00B77BBA"/>
    <w:rsid w:val="00BC0A39"/>
    <w:rsid w:val="00BC30D4"/>
    <w:rsid w:val="00BC6A00"/>
    <w:rsid w:val="00BE212E"/>
    <w:rsid w:val="00BE4B1D"/>
    <w:rsid w:val="00C04008"/>
    <w:rsid w:val="00C1334A"/>
    <w:rsid w:val="00C17877"/>
    <w:rsid w:val="00C26D43"/>
    <w:rsid w:val="00C46834"/>
    <w:rsid w:val="00C524B3"/>
    <w:rsid w:val="00C54BAB"/>
    <w:rsid w:val="00C57167"/>
    <w:rsid w:val="00C617BB"/>
    <w:rsid w:val="00C76159"/>
    <w:rsid w:val="00C76200"/>
    <w:rsid w:val="00CA44F9"/>
    <w:rsid w:val="00CB1397"/>
    <w:rsid w:val="00CB4408"/>
    <w:rsid w:val="00CB6272"/>
    <w:rsid w:val="00CC0970"/>
    <w:rsid w:val="00CC778B"/>
    <w:rsid w:val="00CD0C46"/>
    <w:rsid w:val="00CD6BD7"/>
    <w:rsid w:val="00CE6B18"/>
    <w:rsid w:val="00D0080A"/>
    <w:rsid w:val="00D01F8D"/>
    <w:rsid w:val="00D05D8D"/>
    <w:rsid w:val="00D0653F"/>
    <w:rsid w:val="00D14E31"/>
    <w:rsid w:val="00D454C3"/>
    <w:rsid w:val="00D64F2B"/>
    <w:rsid w:val="00D7771D"/>
    <w:rsid w:val="00D9721E"/>
    <w:rsid w:val="00D97711"/>
    <w:rsid w:val="00DB0111"/>
    <w:rsid w:val="00DB65F1"/>
    <w:rsid w:val="00DB66A7"/>
    <w:rsid w:val="00DB7144"/>
    <w:rsid w:val="00DD107C"/>
    <w:rsid w:val="00DD4D3F"/>
    <w:rsid w:val="00DE0628"/>
    <w:rsid w:val="00DE3DE5"/>
    <w:rsid w:val="00DE52BE"/>
    <w:rsid w:val="00DF21F0"/>
    <w:rsid w:val="00DF5EE2"/>
    <w:rsid w:val="00DF68B3"/>
    <w:rsid w:val="00E0052F"/>
    <w:rsid w:val="00E02DCD"/>
    <w:rsid w:val="00E163B9"/>
    <w:rsid w:val="00E34E54"/>
    <w:rsid w:val="00E63B83"/>
    <w:rsid w:val="00E64824"/>
    <w:rsid w:val="00E6640B"/>
    <w:rsid w:val="00E852DB"/>
    <w:rsid w:val="00E87BFB"/>
    <w:rsid w:val="00E90437"/>
    <w:rsid w:val="00E97CD4"/>
    <w:rsid w:val="00EA1B67"/>
    <w:rsid w:val="00EA20C4"/>
    <w:rsid w:val="00EA2B1F"/>
    <w:rsid w:val="00ED3A4E"/>
    <w:rsid w:val="00ED51DB"/>
    <w:rsid w:val="00ED6107"/>
    <w:rsid w:val="00ED6248"/>
    <w:rsid w:val="00EE2651"/>
    <w:rsid w:val="00EE2E09"/>
    <w:rsid w:val="00EE6F32"/>
    <w:rsid w:val="00F10E99"/>
    <w:rsid w:val="00F20B75"/>
    <w:rsid w:val="00F50B98"/>
    <w:rsid w:val="00F6185B"/>
    <w:rsid w:val="00F6474A"/>
    <w:rsid w:val="00F7022E"/>
    <w:rsid w:val="00F7190D"/>
    <w:rsid w:val="00F8187B"/>
    <w:rsid w:val="00F96481"/>
    <w:rsid w:val="00FA2BDB"/>
    <w:rsid w:val="00FB5307"/>
    <w:rsid w:val="00FB7195"/>
    <w:rsid w:val="00FD2EF3"/>
    <w:rsid w:val="00FE0195"/>
    <w:rsid w:val="00FE1527"/>
    <w:rsid w:val="00FF2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fillcolor="white">
      <v:fill color="white"/>
      <v:textbox style="mso-fit-shape-to-text:t"/>
    </o:shapedefaults>
    <o:shapelayout v:ext="edit">
      <o:idmap v:ext="edit" data="1"/>
    </o:shapelayout>
  </w:shapeDefaults>
  <w:decimalSymbol w:val=","/>
  <w:listSeparator w:val=";"/>
  <w15:chartTrackingRefBased/>
  <w15:docId w15:val="{9711CBAD-E5E0-4A6C-B403-4354C7FF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F28"/>
    <w:pPr>
      <w:spacing w:after="200" w:line="276" w:lineRule="auto"/>
    </w:pPr>
    <w:rPr>
      <w:sz w:val="22"/>
      <w:szCs w:val="22"/>
      <w:lang w:eastAsia="en-US"/>
    </w:rPr>
  </w:style>
  <w:style w:type="paragraph" w:styleId="Titre1">
    <w:name w:val="heading 1"/>
    <w:basedOn w:val="Normal"/>
    <w:next w:val="Normal"/>
    <w:link w:val="Titre1Car"/>
    <w:qFormat/>
    <w:rsid w:val="0074239E"/>
    <w:pPr>
      <w:keepNext/>
      <w:spacing w:after="0" w:line="240" w:lineRule="auto"/>
      <w:ind w:left="51"/>
      <w:outlineLvl w:val="0"/>
    </w:pPr>
    <w:rPr>
      <w:rFonts w:ascii="Times New Roman" w:eastAsia="Times New Roman" w:hAnsi="Times New Roman"/>
      <w:b/>
      <w:bCs/>
      <w:spacing w:val="7"/>
      <w:sz w:val="20"/>
      <w:szCs w:val="20"/>
      <w:lang w:eastAsia="fr-FR"/>
    </w:rPr>
  </w:style>
  <w:style w:type="paragraph" w:styleId="Titre2">
    <w:name w:val="heading 2"/>
    <w:basedOn w:val="Normal"/>
    <w:next w:val="Normal"/>
    <w:link w:val="Titre2Car"/>
    <w:semiHidden/>
    <w:unhideWhenUsed/>
    <w:qFormat/>
    <w:rsid w:val="0074239E"/>
    <w:pPr>
      <w:keepNext/>
      <w:spacing w:after="0" w:line="240" w:lineRule="auto"/>
      <w:outlineLvl w:val="1"/>
    </w:pPr>
    <w:rPr>
      <w:rFonts w:ascii="Times New Roman" w:eastAsia="Times New Roman" w:hAnsi="Times New Roman"/>
      <w:b/>
      <w:bCs/>
      <w:spacing w:val="7"/>
      <w:sz w:val="20"/>
      <w:szCs w:val="20"/>
      <w:lang w:eastAsia="fr-FR"/>
    </w:rPr>
  </w:style>
  <w:style w:type="paragraph" w:styleId="Titre4">
    <w:name w:val="heading 4"/>
    <w:basedOn w:val="Normal"/>
    <w:next w:val="Normal"/>
    <w:link w:val="Titre4Car"/>
    <w:semiHidden/>
    <w:unhideWhenUsed/>
    <w:qFormat/>
    <w:rsid w:val="0074239E"/>
    <w:pPr>
      <w:keepNext/>
      <w:spacing w:after="0" w:line="240" w:lineRule="auto"/>
      <w:jc w:val="both"/>
      <w:outlineLvl w:val="3"/>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3ADA"/>
    <w:rPr>
      <w:sz w:val="22"/>
      <w:szCs w:val="22"/>
      <w:lang w:eastAsia="en-US"/>
    </w:rPr>
  </w:style>
  <w:style w:type="table" w:styleId="Grilledutableau">
    <w:name w:val="Table Grid"/>
    <w:basedOn w:val="TableauNormal"/>
    <w:uiPriority w:val="59"/>
    <w:rsid w:val="0021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74239E"/>
    <w:rPr>
      <w:rFonts w:ascii="Times New Roman" w:eastAsia="Times New Roman" w:hAnsi="Times New Roman" w:cs="Times New Roman"/>
      <w:b/>
      <w:bCs/>
      <w:spacing w:val="7"/>
      <w:sz w:val="20"/>
      <w:szCs w:val="20"/>
      <w:lang w:eastAsia="fr-FR"/>
    </w:rPr>
  </w:style>
  <w:style w:type="character" w:customStyle="1" w:styleId="Titre2Car">
    <w:name w:val="Titre 2 Car"/>
    <w:link w:val="Titre2"/>
    <w:semiHidden/>
    <w:rsid w:val="0074239E"/>
    <w:rPr>
      <w:rFonts w:ascii="Times New Roman" w:eastAsia="Times New Roman" w:hAnsi="Times New Roman" w:cs="Times New Roman"/>
      <w:b/>
      <w:bCs/>
      <w:spacing w:val="7"/>
      <w:sz w:val="20"/>
      <w:szCs w:val="20"/>
      <w:lang w:eastAsia="fr-FR"/>
    </w:rPr>
  </w:style>
  <w:style w:type="character" w:customStyle="1" w:styleId="Titre4Car">
    <w:name w:val="Titre 4 Car"/>
    <w:link w:val="Titre4"/>
    <w:semiHidden/>
    <w:rsid w:val="0074239E"/>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74239E"/>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uiPriority w:val="99"/>
    <w:rsid w:val="0074239E"/>
    <w:rPr>
      <w:rFonts w:ascii="Times New Roman" w:eastAsia="Times New Roman" w:hAnsi="Times New Roman" w:cs="Times New Roman"/>
      <w:sz w:val="24"/>
      <w:szCs w:val="24"/>
      <w:lang w:eastAsia="fr-FR"/>
    </w:rPr>
  </w:style>
  <w:style w:type="paragraph" w:styleId="Titre">
    <w:name w:val="Title"/>
    <w:basedOn w:val="Normal"/>
    <w:link w:val="TitreCar"/>
    <w:qFormat/>
    <w:rsid w:val="0074239E"/>
    <w:pPr>
      <w:spacing w:after="0" w:line="240" w:lineRule="auto"/>
      <w:jc w:val="center"/>
    </w:pPr>
    <w:rPr>
      <w:rFonts w:ascii="Times New Roman" w:eastAsia="Times New Roman" w:hAnsi="Times New Roman"/>
      <w:b/>
      <w:bCs/>
      <w:spacing w:val="-3"/>
      <w:sz w:val="36"/>
      <w:lang w:eastAsia="fr-FR"/>
    </w:rPr>
  </w:style>
  <w:style w:type="character" w:customStyle="1" w:styleId="TitreCar">
    <w:name w:val="Titre Car"/>
    <w:link w:val="Titre"/>
    <w:rsid w:val="0074239E"/>
    <w:rPr>
      <w:rFonts w:ascii="Times New Roman" w:eastAsia="Times New Roman" w:hAnsi="Times New Roman" w:cs="Times New Roman"/>
      <w:b/>
      <w:bCs/>
      <w:spacing w:val="-3"/>
      <w:sz w:val="36"/>
      <w:lang w:eastAsia="fr-FR"/>
    </w:rPr>
  </w:style>
  <w:style w:type="paragraph" w:styleId="Paragraphedeliste">
    <w:name w:val="List Paragraph"/>
    <w:basedOn w:val="Normal"/>
    <w:uiPriority w:val="34"/>
    <w:qFormat/>
    <w:rsid w:val="0074239E"/>
    <w:pPr>
      <w:spacing w:after="0" w:line="240" w:lineRule="auto"/>
      <w:ind w:left="720"/>
      <w:contextualSpacing/>
    </w:pPr>
    <w:rPr>
      <w:rFonts w:ascii="Times New Roman" w:eastAsia="Times New Roman" w:hAnsi="Times New Roman"/>
      <w:sz w:val="24"/>
      <w:szCs w:val="24"/>
      <w:lang w:eastAsia="fr-FR"/>
    </w:rPr>
  </w:style>
  <w:style w:type="paragraph" w:customStyle="1" w:styleId="Style2">
    <w:name w:val="Style 2"/>
    <w:basedOn w:val="Normal"/>
    <w:rsid w:val="0074239E"/>
    <w:pPr>
      <w:widowControl w:val="0"/>
      <w:autoSpaceDE w:val="0"/>
      <w:autoSpaceDN w:val="0"/>
      <w:adjustRightInd w:val="0"/>
      <w:spacing w:after="0"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D06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53F"/>
  </w:style>
  <w:style w:type="character" w:styleId="Numrodepage">
    <w:name w:val="page number"/>
    <w:basedOn w:val="Policepardfaut"/>
    <w:rsid w:val="00D0653F"/>
  </w:style>
  <w:style w:type="paragraph" w:styleId="Textedebulles">
    <w:name w:val="Balloon Text"/>
    <w:basedOn w:val="Normal"/>
    <w:link w:val="TextedebullesCar"/>
    <w:uiPriority w:val="99"/>
    <w:semiHidden/>
    <w:unhideWhenUsed/>
    <w:rsid w:val="000839E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839E6"/>
    <w:rPr>
      <w:rFonts w:ascii="Tahoma" w:hAnsi="Tahoma" w:cs="Tahoma"/>
      <w:sz w:val="16"/>
      <w:szCs w:val="16"/>
    </w:rPr>
  </w:style>
  <w:style w:type="character" w:styleId="Lienhypertexte">
    <w:name w:val="Hyperlink"/>
    <w:uiPriority w:val="99"/>
    <w:unhideWhenUsed/>
    <w:rsid w:val="000839E6"/>
    <w:rPr>
      <w:rFonts w:ascii="Arial" w:hAnsi="Arial" w:cs="Arial" w:hint="default"/>
      <w:color w:val="2E9CDB"/>
      <w:u w:val="single"/>
    </w:rPr>
  </w:style>
  <w:style w:type="paragraph" w:customStyle="1" w:styleId="tdoc">
    <w:name w:val="tdoc"/>
    <w:basedOn w:val="Normal"/>
    <w:rsid w:val="000839E6"/>
    <w:pPr>
      <w:spacing w:before="170" w:after="11" w:line="240" w:lineRule="auto"/>
      <w:ind w:left="1134" w:right="567"/>
    </w:pPr>
    <w:rPr>
      <w:rFonts w:ascii="Arial" w:eastAsia="Times New Roman" w:hAnsi="Arial" w:cs="Arial"/>
      <w:sz w:val="18"/>
      <w:szCs w:val="18"/>
      <w:lang w:eastAsia="fr-FR"/>
    </w:rPr>
  </w:style>
  <w:style w:type="character" w:customStyle="1" w:styleId="article1">
    <w:name w:val="article1"/>
    <w:rsid w:val="000839E6"/>
    <w:rPr>
      <w:rFonts w:ascii="Arial" w:hAnsi="Arial" w:cs="Arial" w:hint="default"/>
      <w:b/>
      <w:bCs/>
      <w:color w:val="2E9CDB"/>
      <w:sz w:val="20"/>
      <w:szCs w:val="20"/>
    </w:rPr>
  </w:style>
  <w:style w:type="paragraph" w:customStyle="1" w:styleId="titreboi">
    <w:name w:val="titreboi"/>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bull">
    <w:name w:val="idbull"/>
    <w:basedOn w:val="Normal"/>
    <w:rsid w:val="001952C2"/>
    <w:pPr>
      <w:spacing w:before="397" w:after="227" w:line="240" w:lineRule="auto"/>
      <w:ind w:left="1134" w:right="567"/>
      <w:jc w:val="center"/>
    </w:pPr>
    <w:rPr>
      <w:rFonts w:ascii="Arial" w:eastAsia="Times New Roman" w:hAnsi="Arial" w:cs="Arial"/>
      <w:b/>
      <w:bCs/>
      <w:sz w:val="34"/>
      <w:szCs w:val="34"/>
      <w:lang w:eastAsia="fr-FR"/>
    </w:rPr>
  </w:style>
  <w:style w:type="paragraph" w:customStyle="1" w:styleId="idparu">
    <w:name w:val="idparu"/>
    <w:basedOn w:val="Normal"/>
    <w:rsid w:val="001952C2"/>
    <w:pPr>
      <w:spacing w:before="113" w:after="227" w:line="240" w:lineRule="auto"/>
      <w:ind w:left="1134" w:right="567"/>
      <w:jc w:val="center"/>
    </w:pPr>
    <w:rPr>
      <w:rFonts w:ascii="Arial" w:eastAsia="Times New Roman" w:hAnsi="Arial" w:cs="Arial"/>
      <w:b/>
      <w:bCs/>
      <w:sz w:val="25"/>
      <w:szCs w:val="25"/>
      <w:lang w:eastAsia="fr-FR"/>
    </w:rPr>
  </w:style>
  <w:style w:type="paragraph" w:customStyle="1" w:styleId="titrebull">
    <w:name w:val="titrebull"/>
    <w:basedOn w:val="Normal"/>
    <w:rsid w:val="001952C2"/>
    <w:pPr>
      <w:spacing w:before="113" w:after="113" w:line="240" w:lineRule="auto"/>
      <w:ind w:left="1134" w:right="567"/>
      <w:jc w:val="center"/>
    </w:pPr>
    <w:rPr>
      <w:rFonts w:ascii="Arial" w:eastAsia="Times New Roman" w:hAnsi="Arial" w:cs="Arial"/>
      <w:caps/>
      <w:sz w:val="20"/>
      <w:szCs w:val="20"/>
      <w:lang w:eastAsia="fr-FR"/>
    </w:rPr>
  </w:style>
  <w:style w:type="paragraph" w:customStyle="1" w:styleId="refr">
    <w:name w:val="refr"/>
    <w:basedOn w:val="Normal"/>
    <w:rsid w:val="001952C2"/>
    <w:pPr>
      <w:spacing w:before="227" w:after="227" w:line="240" w:lineRule="auto"/>
      <w:ind w:left="1134" w:right="567"/>
      <w:jc w:val="center"/>
    </w:pPr>
    <w:rPr>
      <w:rFonts w:ascii="Arial" w:eastAsia="Times New Roman" w:hAnsi="Arial" w:cs="Arial"/>
      <w:sz w:val="20"/>
      <w:szCs w:val="20"/>
      <w:lang w:eastAsia="fr-FR"/>
    </w:rPr>
  </w:style>
  <w:style w:type="paragraph" w:customStyle="1" w:styleId="nor">
    <w:name w:val="nor"/>
    <w:basedOn w:val="Normal"/>
    <w:rsid w:val="001952C2"/>
    <w:pPr>
      <w:spacing w:before="113" w:after="227" w:line="240" w:lineRule="auto"/>
      <w:ind w:left="1134" w:right="567"/>
      <w:jc w:val="center"/>
    </w:pPr>
    <w:rPr>
      <w:rFonts w:ascii="Arial" w:eastAsia="Times New Roman" w:hAnsi="Arial" w:cs="Arial"/>
      <w:sz w:val="20"/>
      <w:szCs w:val="20"/>
      <w:lang w:eastAsia="fr-FR"/>
    </w:rPr>
  </w:style>
  <w:style w:type="paragraph" w:styleId="NormalWeb">
    <w:name w:val="Normal (Web)"/>
    <w:basedOn w:val="Normal"/>
    <w:uiPriority w:val="99"/>
    <w:semiHidden/>
    <w:unhideWhenUsed/>
    <w:rsid w:val="001952C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5">
    <w:name w:val="m5"/>
    <w:basedOn w:val="Normal"/>
    <w:rsid w:val="00F7190D"/>
    <w:pPr>
      <w:spacing w:before="170" w:after="170" w:line="240" w:lineRule="auto"/>
      <w:ind w:left="1134" w:right="567"/>
    </w:pPr>
    <w:rPr>
      <w:rFonts w:ascii="Arial" w:eastAsia="Times New Roman" w:hAnsi="Arial" w:cs="Arial"/>
      <w:sz w:val="18"/>
      <w:szCs w:val="18"/>
      <w:lang w:eastAsia="fr-FR"/>
    </w:rPr>
  </w:style>
  <w:style w:type="paragraph" w:customStyle="1" w:styleId="tdoci">
    <w:name w:val="tdoci"/>
    <w:basedOn w:val="Normal"/>
    <w:rsid w:val="00D97711"/>
    <w:pPr>
      <w:spacing w:before="6" w:after="113" w:line="240" w:lineRule="auto"/>
      <w:ind w:left="1134" w:right="567" w:firstLine="113"/>
    </w:pPr>
    <w:rPr>
      <w:rFonts w:ascii="Arial" w:eastAsia="Times New Roman" w:hAnsi="Arial" w:cs="Arial"/>
      <w:sz w:val="24"/>
      <w:szCs w:val="24"/>
      <w:lang w:eastAsia="fr-FR"/>
    </w:rPr>
  </w:style>
  <w:style w:type="paragraph" w:customStyle="1" w:styleId="h6">
    <w:name w:val="h6"/>
    <w:basedOn w:val="Normal"/>
    <w:rsid w:val="008A2AA6"/>
    <w:pPr>
      <w:spacing w:before="113" w:after="113" w:line="240" w:lineRule="auto"/>
      <w:ind w:left="1134" w:right="567"/>
    </w:pPr>
    <w:rPr>
      <w:rFonts w:ascii="Arial" w:eastAsia="Times New Roman" w:hAnsi="Arial" w:cs="Arial"/>
      <w:color w:val="333333"/>
      <w:sz w:val="18"/>
      <w:szCs w:val="18"/>
      <w:lang w:eastAsia="fr-FR"/>
    </w:rPr>
  </w:style>
  <w:style w:type="paragraph" w:customStyle="1" w:styleId="tdocli">
    <w:name w:val="tdocli"/>
    <w:basedOn w:val="Normal"/>
    <w:rsid w:val="00C46834"/>
    <w:pPr>
      <w:spacing w:before="11" w:after="11" w:line="240" w:lineRule="auto"/>
      <w:ind w:left="1134" w:right="567"/>
    </w:pPr>
    <w:rPr>
      <w:rFonts w:ascii="Arial" w:eastAsia="Times New Roman" w:hAnsi="Arial" w:cs="Arial"/>
      <w:sz w:val="18"/>
      <w:szCs w:val="18"/>
      <w:lang w:eastAsia="fr-FR"/>
    </w:rPr>
  </w:style>
  <w:style w:type="character" w:styleId="lev">
    <w:name w:val="Strong"/>
    <w:uiPriority w:val="22"/>
    <w:qFormat/>
    <w:rsid w:val="008D7869"/>
    <w:rPr>
      <w:b/>
      <w:bCs/>
    </w:rPr>
  </w:style>
  <w:style w:type="paragraph" w:customStyle="1" w:styleId="c01pointnumerotealtn">
    <w:name w:val="c01pointnumerotealtn"/>
    <w:basedOn w:val="Normal"/>
    <w:rsid w:val="006B5829"/>
    <w:pPr>
      <w:spacing w:before="100" w:beforeAutospacing="1" w:after="240" w:line="240" w:lineRule="auto"/>
      <w:ind w:left="567" w:hanging="539"/>
      <w:jc w:val="both"/>
    </w:pPr>
    <w:rPr>
      <w:rFonts w:ascii="Times New Roman" w:eastAsia="Times New Roman" w:hAnsi="Times New Roman"/>
      <w:sz w:val="24"/>
      <w:szCs w:val="24"/>
      <w:lang w:eastAsia="fr-FR"/>
    </w:rPr>
  </w:style>
  <w:style w:type="paragraph" w:customStyle="1" w:styleId="c06titre3">
    <w:name w:val="c06titre3"/>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02alineaalta">
    <w:name w:val="c02alineaalta"/>
    <w:basedOn w:val="Normal"/>
    <w:rsid w:val="006B5829"/>
    <w:pPr>
      <w:spacing w:after="240" w:line="240" w:lineRule="auto"/>
      <w:ind w:left="567"/>
      <w:jc w:val="both"/>
    </w:pPr>
    <w:rPr>
      <w:rFonts w:ascii="Times New Roman" w:eastAsia="Times New Roman" w:hAnsi="Times New Roman"/>
      <w:sz w:val="24"/>
      <w:szCs w:val="24"/>
      <w:lang w:eastAsia="fr-FR"/>
    </w:rPr>
  </w:style>
  <w:style w:type="paragraph" w:customStyle="1" w:styleId="c19centre">
    <w:name w:val="c19centre"/>
    <w:basedOn w:val="Normal"/>
    <w:rsid w:val="006B5829"/>
    <w:pPr>
      <w:spacing w:after="240" w:line="240" w:lineRule="auto"/>
      <w:ind w:left="567"/>
      <w:jc w:val="center"/>
    </w:pPr>
    <w:rPr>
      <w:rFonts w:ascii="Times New Roman" w:eastAsia="Times New Roman" w:hAnsi="Times New Roman"/>
      <w:sz w:val="24"/>
      <w:szCs w:val="24"/>
      <w:lang w:eastAsia="fr-FR"/>
    </w:rPr>
  </w:style>
  <w:style w:type="paragraph" w:customStyle="1" w:styleId="c72alineadroite">
    <w:name w:val="c72alineadroite"/>
    <w:basedOn w:val="Normal"/>
    <w:rsid w:val="006B5829"/>
    <w:pPr>
      <w:spacing w:after="240" w:line="240" w:lineRule="auto"/>
      <w:ind w:left="567"/>
      <w:jc w:val="right"/>
    </w:pPr>
    <w:rPr>
      <w:rFonts w:ascii="Times New Roman" w:eastAsia="Times New Roman" w:hAnsi="Times New Roman"/>
      <w:sz w:val="24"/>
      <w:szCs w:val="24"/>
      <w:lang w:eastAsia="fr-FR"/>
    </w:rPr>
  </w:style>
  <w:style w:type="paragraph" w:customStyle="1" w:styleId="c71indicateur">
    <w:name w:val="c71indicateur"/>
    <w:basedOn w:val="Normal"/>
    <w:rsid w:val="006B5829"/>
    <w:pPr>
      <w:spacing w:before="600" w:after="560" w:line="240" w:lineRule="auto"/>
      <w:ind w:left="567"/>
      <w:jc w:val="center"/>
    </w:pPr>
    <w:rPr>
      <w:rFonts w:ascii="Times New Roman" w:eastAsia="Times New Roman" w:hAnsi="Times New Roman"/>
      <w:sz w:val="24"/>
      <w:szCs w:val="24"/>
      <w:lang w:eastAsia="fr-FR"/>
    </w:rPr>
  </w:style>
  <w:style w:type="paragraph" w:customStyle="1" w:styleId="h7">
    <w:name w:val="h7"/>
    <w:basedOn w:val="Normal"/>
    <w:rsid w:val="003D0C3E"/>
    <w:pPr>
      <w:spacing w:before="113" w:after="113" w:line="240" w:lineRule="auto"/>
      <w:ind w:left="1134" w:right="567"/>
    </w:pPr>
    <w:rPr>
      <w:rFonts w:ascii="Arial" w:eastAsia="Times New Roman" w:hAnsi="Arial" w:cs="Arial"/>
      <w:b/>
      <w:bCs/>
      <w:sz w:val="18"/>
      <w:szCs w:val="18"/>
      <w:lang w:eastAsia="fr-FR"/>
    </w:rPr>
  </w:style>
  <w:style w:type="character" w:customStyle="1" w:styleId="texte31">
    <w:name w:val="texte31"/>
    <w:rsid w:val="00153AAB"/>
    <w:rPr>
      <w:rFonts w:ascii="Arial" w:hAnsi="Arial" w:cs="Arial" w:hint="default"/>
      <w:b/>
      <w:bCs/>
      <w:strike w:val="0"/>
      <w:dstrike w:val="0"/>
      <w:color w:val="2E9CDB"/>
      <w:sz w:val="18"/>
      <w:szCs w:val="18"/>
      <w:u w:val="none"/>
      <w:effect w:val="none"/>
    </w:rPr>
  </w:style>
  <w:style w:type="paragraph" w:styleId="Notedebasdepage">
    <w:name w:val="footnote text"/>
    <w:basedOn w:val="Normal"/>
    <w:link w:val="NotedebasdepageCar"/>
    <w:uiPriority w:val="99"/>
    <w:semiHidden/>
    <w:unhideWhenUsed/>
    <w:rsid w:val="00CC0970"/>
    <w:pPr>
      <w:spacing w:after="0" w:line="240" w:lineRule="auto"/>
    </w:pPr>
    <w:rPr>
      <w:sz w:val="20"/>
      <w:szCs w:val="20"/>
    </w:rPr>
  </w:style>
  <w:style w:type="character" w:customStyle="1" w:styleId="NotedebasdepageCar">
    <w:name w:val="Note de bas de page Car"/>
    <w:link w:val="Notedebasdepage"/>
    <w:uiPriority w:val="99"/>
    <w:semiHidden/>
    <w:rsid w:val="00CC0970"/>
    <w:rPr>
      <w:sz w:val="20"/>
      <w:szCs w:val="20"/>
    </w:rPr>
  </w:style>
  <w:style w:type="character" w:styleId="Appelnotedebasdep">
    <w:name w:val="footnote reference"/>
    <w:uiPriority w:val="99"/>
    <w:semiHidden/>
    <w:unhideWhenUsed/>
    <w:rsid w:val="00CC0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5872">
      <w:bodyDiv w:val="1"/>
      <w:marLeft w:val="0"/>
      <w:marRight w:val="0"/>
      <w:marTop w:val="0"/>
      <w:marBottom w:val="0"/>
      <w:divBdr>
        <w:top w:val="none" w:sz="0" w:space="0" w:color="auto"/>
        <w:left w:val="none" w:sz="0" w:space="0" w:color="auto"/>
        <w:bottom w:val="none" w:sz="0" w:space="0" w:color="auto"/>
        <w:right w:val="none" w:sz="0" w:space="0" w:color="auto"/>
      </w:divBdr>
    </w:div>
    <w:div w:id="518005539">
      <w:bodyDiv w:val="1"/>
      <w:marLeft w:val="0"/>
      <w:marRight w:val="0"/>
      <w:marTop w:val="0"/>
      <w:marBottom w:val="0"/>
      <w:divBdr>
        <w:top w:val="none" w:sz="0" w:space="0" w:color="auto"/>
        <w:left w:val="none" w:sz="0" w:space="0" w:color="auto"/>
        <w:bottom w:val="none" w:sz="0" w:space="0" w:color="auto"/>
        <w:right w:val="none" w:sz="0" w:space="0" w:color="auto"/>
      </w:divBdr>
      <w:divsChild>
        <w:div w:id="1193496636">
          <w:marLeft w:val="0"/>
          <w:marRight w:val="0"/>
          <w:marTop w:val="0"/>
          <w:marBottom w:val="0"/>
          <w:divBdr>
            <w:top w:val="none" w:sz="0" w:space="0" w:color="auto"/>
            <w:left w:val="none" w:sz="0" w:space="0" w:color="auto"/>
            <w:bottom w:val="none" w:sz="0" w:space="0" w:color="auto"/>
            <w:right w:val="none" w:sz="0" w:space="0" w:color="auto"/>
          </w:divBdr>
          <w:divsChild>
            <w:div w:id="825123302">
              <w:marLeft w:val="0"/>
              <w:marRight w:val="0"/>
              <w:marTop w:val="0"/>
              <w:marBottom w:val="0"/>
              <w:divBdr>
                <w:top w:val="none" w:sz="0" w:space="0" w:color="auto"/>
                <w:left w:val="none" w:sz="0" w:space="0" w:color="auto"/>
                <w:bottom w:val="none" w:sz="0" w:space="0" w:color="auto"/>
                <w:right w:val="none" w:sz="0" w:space="0" w:color="auto"/>
              </w:divBdr>
              <w:divsChild>
                <w:div w:id="126748577">
                  <w:marLeft w:val="0"/>
                  <w:marRight w:val="0"/>
                  <w:marTop w:val="0"/>
                  <w:marBottom w:val="0"/>
                  <w:divBdr>
                    <w:top w:val="none" w:sz="0" w:space="0" w:color="auto"/>
                    <w:left w:val="none" w:sz="0" w:space="0" w:color="auto"/>
                    <w:bottom w:val="none" w:sz="0" w:space="0" w:color="auto"/>
                    <w:right w:val="none" w:sz="0" w:space="0" w:color="auto"/>
                  </w:divBdr>
                  <w:divsChild>
                    <w:div w:id="1439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5574">
      <w:bodyDiv w:val="1"/>
      <w:marLeft w:val="0"/>
      <w:marRight w:val="0"/>
      <w:marTop w:val="0"/>
      <w:marBottom w:val="0"/>
      <w:divBdr>
        <w:top w:val="none" w:sz="0" w:space="0" w:color="auto"/>
        <w:left w:val="none" w:sz="0" w:space="0" w:color="auto"/>
        <w:bottom w:val="none" w:sz="0" w:space="0" w:color="auto"/>
        <w:right w:val="none" w:sz="0" w:space="0" w:color="auto"/>
      </w:divBdr>
      <w:divsChild>
        <w:div w:id="1589997533">
          <w:marLeft w:val="0"/>
          <w:marRight w:val="0"/>
          <w:marTop w:val="0"/>
          <w:marBottom w:val="0"/>
          <w:divBdr>
            <w:top w:val="dotted" w:sz="2" w:space="7" w:color="9C9C9C"/>
            <w:left w:val="dotted" w:sz="2" w:space="0" w:color="9C9C9C"/>
            <w:bottom w:val="dotted" w:sz="6" w:space="7" w:color="9C9C9C"/>
            <w:right w:val="dotted" w:sz="2" w:space="0" w:color="9C9C9C"/>
          </w:divBdr>
        </w:div>
      </w:divsChild>
    </w:div>
    <w:div w:id="836263311">
      <w:bodyDiv w:val="1"/>
      <w:marLeft w:val="0"/>
      <w:marRight w:val="0"/>
      <w:marTop w:val="0"/>
      <w:marBottom w:val="0"/>
      <w:divBdr>
        <w:top w:val="none" w:sz="0" w:space="0" w:color="auto"/>
        <w:left w:val="none" w:sz="0" w:space="0" w:color="auto"/>
        <w:bottom w:val="none" w:sz="0" w:space="0" w:color="auto"/>
        <w:right w:val="none" w:sz="0" w:space="0" w:color="auto"/>
      </w:divBdr>
    </w:div>
    <w:div w:id="1101100557">
      <w:bodyDiv w:val="1"/>
      <w:marLeft w:val="0"/>
      <w:marRight w:val="0"/>
      <w:marTop w:val="0"/>
      <w:marBottom w:val="0"/>
      <w:divBdr>
        <w:top w:val="none" w:sz="0" w:space="0" w:color="auto"/>
        <w:left w:val="none" w:sz="0" w:space="0" w:color="auto"/>
        <w:bottom w:val="none" w:sz="0" w:space="0" w:color="auto"/>
        <w:right w:val="none" w:sz="0" w:space="0" w:color="auto"/>
      </w:divBdr>
    </w:div>
    <w:div w:id="1103841090">
      <w:bodyDiv w:val="1"/>
      <w:marLeft w:val="0"/>
      <w:marRight w:val="0"/>
      <w:marTop w:val="0"/>
      <w:marBottom w:val="0"/>
      <w:divBdr>
        <w:top w:val="none" w:sz="0" w:space="0" w:color="auto"/>
        <w:left w:val="none" w:sz="0" w:space="0" w:color="auto"/>
        <w:bottom w:val="none" w:sz="0" w:space="0" w:color="auto"/>
        <w:right w:val="none" w:sz="0" w:space="0" w:color="auto"/>
      </w:divBdr>
      <w:divsChild>
        <w:div w:id="953096349">
          <w:marLeft w:val="0"/>
          <w:marRight w:val="0"/>
          <w:marTop w:val="0"/>
          <w:marBottom w:val="0"/>
          <w:divBdr>
            <w:top w:val="none" w:sz="0" w:space="0" w:color="auto"/>
            <w:left w:val="none" w:sz="0" w:space="0" w:color="auto"/>
            <w:bottom w:val="none" w:sz="0" w:space="0" w:color="auto"/>
            <w:right w:val="none" w:sz="0" w:space="0" w:color="auto"/>
          </w:divBdr>
          <w:divsChild>
            <w:div w:id="351732180">
              <w:marLeft w:val="0"/>
              <w:marRight w:val="0"/>
              <w:marTop w:val="0"/>
              <w:marBottom w:val="0"/>
              <w:divBdr>
                <w:top w:val="none" w:sz="0" w:space="0" w:color="auto"/>
                <w:left w:val="none" w:sz="0" w:space="0" w:color="auto"/>
                <w:bottom w:val="none" w:sz="0" w:space="0" w:color="auto"/>
                <w:right w:val="none" w:sz="0" w:space="0" w:color="auto"/>
              </w:divBdr>
              <w:divsChild>
                <w:div w:id="1118258818">
                  <w:marLeft w:val="0"/>
                  <w:marRight w:val="0"/>
                  <w:marTop w:val="0"/>
                  <w:marBottom w:val="0"/>
                  <w:divBdr>
                    <w:top w:val="none" w:sz="0" w:space="0" w:color="auto"/>
                    <w:left w:val="none" w:sz="0" w:space="0" w:color="auto"/>
                    <w:bottom w:val="none" w:sz="0" w:space="0" w:color="auto"/>
                    <w:right w:val="none" w:sz="0" w:space="0" w:color="auto"/>
                  </w:divBdr>
                  <w:divsChild>
                    <w:div w:id="518129062">
                      <w:marLeft w:val="0"/>
                      <w:marRight w:val="0"/>
                      <w:marTop w:val="0"/>
                      <w:marBottom w:val="0"/>
                      <w:divBdr>
                        <w:top w:val="none" w:sz="0" w:space="0" w:color="auto"/>
                        <w:left w:val="none" w:sz="0" w:space="0" w:color="auto"/>
                        <w:bottom w:val="none" w:sz="0" w:space="0" w:color="auto"/>
                        <w:right w:val="none" w:sz="0" w:space="0" w:color="auto"/>
                      </w:divBdr>
                      <w:divsChild>
                        <w:div w:id="1264344124">
                          <w:marLeft w:val="0"/>
                          <w:marRight w:val="0"/>
                          <w:marTop w:val="0"/>
                          <w:marBottom w:val="0"/>
                          <w:divBdr>
                            <w:top w:val="none" w:sz="0" w:space="0" w:color="auto"/>
                            <w:left w:val="none" w:sz="0" w:space="0" w:color="auto"/>
                            <w:bottom w:val="none" w:sz="0" w:space="0" w:color="auto"/>
                            <w:right w:val="none" w:sz="0" w:space="0" w:color="auto"/>
                          </w:divBdr>
                          <w:divsChild>
                            <w:div w:id="390925291">
                              <w:marLeft w:val="0"/>
                              <w:marRight w:val="0"/>
                              <w:marTop w:val="0"/>
                              <w:marBottom w:val="0"/>
                              <w:divBdr>
                                <w:top w:val="none" w:sz="0" w:space="0" w:color="auto"/>
                                <w:left w:val="none" w:sz="0" w:space="0" w:color="auto"/>
                                <w:bottom w:val="none" w:sz="0" w:space="0" w:color="auto"/>
                                <w:right w:val="none" w:sz="0" w:space="0" w:color="auto"/>
                              </w:divBdr>
                              <w:divsChild>
                                <w:div w:id="123429356">
                                  <w:marLeft w:val="0"/>
                                  <w:marRight w:val="0"/>
                                  <w:marTop w:val="0"/>
                                  <w:marBottom w:val="0"/>
                                  <w:divBdr>
                                    <w:top w:val="none" w:sz="0" w:space="0" w:color="auto"/>
                                    <w:left w:val="none" w:sz="0" w:space="0" w:color="auto"/>
                                    <w:bottom w:val="none" w:sz="0" w:space="0" w:color="auto"/>
                                    <w:right w:val="none" w:sz="0" w:space="0" w:color="auto"/>
                                  </w:divBdr>
                                </w:div>
                                <w:div w:id="493880748">
                                  <w:marLeft w:val="0"/>
                                  <w:marRight w:val="0"/>
                                  <w:marTop w:val="0"/>
                                  <w:marBottom w:val="0"/>
                                  <w:divBdr>
                                    <w:top w:val="none" w:sz="0" w:space="0" w:color="auto"/>
                                    <w:left w:val="none" w:sz="0" w:space="0" w:color="auto"/>
                                    <w:bottom w:val="none" w:sz="0" w:space="0" w:color="auto"/>
                                    <w:right w:val="none" w:sz="0" w:space="0" w:color="auto"/>
                                  </w:divBdr>
                                </w:div>
                                <w:div w:id="7571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46055">
      <w:bodyDiv w:val="1"/>
      <w:marLeft w:val="0"/>
      <w:marRight w:val="0"/>
      <w:marTop w:val="0"/>
      <w:marBottom w:val="0"/>
      <w:divBdr>
        <w:top w:val="none" w:sz="0" w:space="0" w:color="auto"/>
        <w:left w:val="none" w:sz="0" w:space="0" w:color="auto"/>
        <w:bottom w:val="none" w:sz="0" w:space="0" w:color="auto"/>
        <w:right w:val="none" w:sz="0" w:space="0" w:color="auto"/>
      </w:divBdr>
      <w:divsChild>
        <w:div w:id="391664321">
          <w:marLeft w:val="0"/>
          <w:marRight w:val="0"/>
          <w:marTop w:val="0"/>
          <w:marBottom w:val="0"/>
          <w:divBdr>
            <w:top w:val="none" w:sz="0" w:space="0" w:color="auto"/>
            <w:left w:val="none" w:sz="0" w:space="0" w:color="auto"/>
            <w:bottom w:val="none" w:sz="0" w:space="0" w:color="auto"/>
            <w:right w:val="none" w:sz="0" w:space="0" w:color="auto"/>
          </w:divBdr>
          <w:divsChild>
            <w:div w:id="663628100">
              <w:marLeft w:val="0"/>
              <w:marRight w:val="0"/>
              <w:marTop w:val="0"/>
              <w:marBottom w:val="0"/>
              <w:divBdr>
                <w:top w:val="none" w:sz="0" w:space="0" w:color="auto"/>
                <w:left w:val="none" w:sz="0" w:space="0" w:color="auto"/>
                <w:bottom w:val="none" w:sz="0" w:space="0" w:color="auto"/>
                <w:right w:val="none" w:sz="0" w:space="0" w:color="auto"/>
              </w:divBdr>
              <w:divsChild>
                <w:div w:id="218320562">
                  <w:marLeft w:val="0"/>
                  <w:marRight w:val="0"/>
                  <w:marTop w:val="0"/>
                  <w:marBottom w:val="0"/>
                  <w:divBdr>
                    <w:top w:val="none" w:sz="0" w:space="0" w:color="auto"/>
                    <w:left w:val="none" w:sz="0" w:space="0" w:color="auto"/>
                    <w:bottom w:val="none" w:sz="0" w:space="0" w:color="auto"/>
                    <w:right w:val="none" w:sz="0" w:space="0" w:color="auto"/>
                  </w:divBdr>
                  <w:divsChild>
                    <w:div w:id="18592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11307">
      <w:bodyDiv w:val="1"/>
      <w:marLeft w:val="0"/>
      <w:marRight w:val="0"/>
      <w:marTop w:val="0"/>
      <w:marBottom w:val="0"/>
      <w:divBdr>
        <w:top w:val="none" w:sz="0" w:space="0" w:color="auto"/>
        <w:left w:val="none" w:sz="0" w:space="0" w:color="auto"/>
        <w:bottom w:val="none" w:sz="0" w:space="0" w:color="auto"/>
        <w:right w:val="none" w:sz="0" w:space="0" w:color="auto"/>
      </w:divBdr>
    </w:div>
    <w:div w:id="1423142498">
      <w:bodyDiv w:val="1"/>
      <w:marLeft w:val="0"/>
      <w:marRight w:val="0"/>
      <w:marTop w:val="0"/>
      <w:marBottom w:val="0"/>
      <w:divBdr>
        <w:top w:val="none" w:sz="0" w:space="0" w:color="auto"/>
        <w:left w:val="none" w:sz="0" w:space="0" w:color="auto"/>
        <w:bottom w:val="none" w:sz="0" w:space="0" w:color="auto"/>
        <w:right w:val="none" w:sz="0" w:space="0" w:color="auto"/>
      </w:divBdr>
    </w:div>
    <w:div w:id="1677347358">
      <w:bodyDiv w:val="1"/>
      <w:marLeft w:val="0"/>
      <w:marRight w:val="0"/>
      <w:marTop w:val="0"/>
      <w:marBottom w:val="0"/>
      <w:divBdr>
        <w:top w:val="none" w:sz="0" w:space="0" w:color="auto"/>
        <w:left w:val="none" w:sz="0" w:space="0" w:color="auto"/>
        <w:bottom w:val="none" w:sz="0" w:space="0" w:color="auto"/>
        <w:right w:val="none" w:sz="0" w:space="0" w:color="auto"/>
      </w:divBdr>
    </w:div>
    <w:div w:id="1964339410">
      <w:bodyDiv w:val="1"/>
      <w:marLeft w:val="0"/>
      <w:marRight w:val="0"/>
      <w:marTop w:val="0"/>
      <w:marBottom w:val="0"/>
      <w:divBdr>
        <w:top w:val="none" w:sz="0" w:space="0" w:color="auto"/>
        <w:left w:val="none" w:sz="0" w:space="0" w:color="auto"/>
        <w:bottom w:val="none" w:sz="0" w:space="0" w:color="auto"/>
        <w:right w:val="none" w:sz="0" w:space="0" w:color="auto"/>
      </w:divBdr>
      <w:divsChild>
        <w:div w:id="1058942111">
          <w:marLeft w:val="0"/>
          <w:marRight w:val="0"/>
          <w:marTop w:val="0"/>
          <w:marBottom w:val="0"/>
          <w:divBdr>
            <w:top w:val="none" w:sz="0" w:space="0" w:color="auto"/>
            <w:left w:val="none" w:sz="0" w:space="0" w:color="auto"/>
            <w:bottom w:val="none" w:sz="0" w:space="0" w:color="auto"/>
            <w:right w:val="none" w:sz="0" w:space="0" w:color="auto"/>
          </w:divBdr>
          <w:divsChild>
            <w:div w:id="247542292">
              <w:marLeft w:val="0"/>
              <w:marRight w:val="0"/>
              <w:marTop w:val="0"/>
              <w:marBottom w:val="0"/>
              <w:divBdr>
                <w:top w:val="none" w:sz="0" w:space="0" w:color="auto"/>
                <w:left w:val="none" w:sz="0" w:space="0" w:color="auto"/>
                <w:bottom w:val="none" w:sz="0" w:space="0" w:color="auto"/>
                <w:right w:val="none" w:sz="0" w:space="0" w:color="auto"/>
              </w:divBdr>
              <w:divsChild>
                <w:div w:id="988243262">
                  <w:marLeft w:val="0"/>
                  <w:marRight w:val="0"/>
                  <w:marTop w:val="0"/>
                  <w:marBottom w:val="0"/>
                  <w:divBdr>
                    <w:top w:val="none" w:sz="0" w:space="0" w:color="auto"/>
                    <w:left w:val="none" w:sz="0" w:space="0" w:color="auto"/>
                    <w:bottom w:val="none" w:sz="0" w:space="0" w:color="auto"/>
                    <w:right w:val="none" w:sz="0" w:space="0" w:color="auto"/>
                  </w:divBdr>
                  <w:divsChild>
                    <w:div w:id="38868418">
                      <w:marLeft w:val="0"/>
                      <w:marRight w:val="0"/>
                      <w:marTop w:val="0"/>
                      <w:marBottom w:val="0"/>
                      <w:divBdr>
                        <w:top w:val="none" w:sz="0" w:space="0" w:color="auto"/>
                        <w:left w:val="none" w:sz="0" w:space="0" w:color="auto"/>
                        <w:bottom w:val="none" w:sz="0" w:space="0" w:color="auto"/>
                        <w:right w:val="none" w:sz="0" w:space="0" w:color="auto"/>
                      </w:divBdr>
                      <w:divsChild>
                        <w:div w:id="896866349">
                          <w:marLeft w:val="0"/>
                          <w:marRight w:val="0"/>
                          <w:marTop w:val="0"/>
                          <w:marBottom w:val="0"/>
                          <w:divBdr>
                            <w:top w:val="none" w:sz="0" w:space="0" w:color="auto"/>
                            <w:left w:val="none" w:sz="0" w:space="0" w:color="auto"/>
                            <w:bottom w:val="none" w:sz="0" w:space="0" w:color="auto"/>
                            <w:right w:val="none" w:sz="0" w:space="0" w:color="auto"/>
                          </w:divBdr>
                          <w:divsChild>
                            <w:div w:id="1919052809">
                              <w:marLeft w:val="0"/>
                              <w:marRight w:val="0"/>
                              <w:marTop w:val="0"/>
                              <w:marBottom w:val="0"/>
                              <w:divBdr>
                                <w:top w:val="none" w:sz="0" w:space="0" w:color="auto"/>
                                <w:left w:val="none" w:sz="0" w:space="0" w:color="auto"/>
                                <w:bottom w:val="none" w:sz="0" w:space="0" w:color="auto"/>
                                <w:right w:val="none" w:sz="0" w:space="0" w:color="auto"/>
                              </w:divBdr>
                              <w:divsChild>
                                <w:div w:id="1894586066">
                                  <w:marLeft w:val="0"/>
                                  <w:marRight w:val="0"/>
                                  <w:marTop w:val="0"/>
                                  <w:marBottom w:val="0"/>
                                  <w:divBdr>
                                    <w:top w:val="none" w:sz="0" w:space="0" w:color="auto"/>
                                    <w:left w:val="none" w:sz="0" w:space="0" w:color="auto"/>
                                    <w:bottom w:val="none" w:sz="0" w:space="0" w:color="auto"/>
                                    <w:right w:val="none" w:sz="0" w:space="0" w:color="auto"/>
                                  </w:divBdr>
                                  <w:divsChild>
                                    <w:div w:id="11301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E3C1D-448C-4884-8DCB-2FAD7927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13411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Comptazine</dc:creator>
  <cp:keywords/>
  <cp:lastModifiedBy>Mathilde</cp:lastModifiedBy>
  <cp:revision>3</cp:revision>
  <cp:lastPrinted>2013-06-11T11:46:00Z</cp:lastPrinted>
  <dcterms:created xsi:type="dcterms:W3CDTF">2016-08-02T15:43:00Z</dcterms:created>
  <dcterms:modified xsi:type="dcterms:W3CDTF">2016-08-02T15:44:00Z</dcterms:modified>
</cp:coreProperties>
</file>