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0" w:rsidRPr="00A66A8F" w:rsidRDefault="00A407B0" w:rsidP="00A407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 w:rsidRPr="00A66A8F">
        <w:rPr>
          <w:b/>
          <w:bCs/>
          <w:lang w:val="fr-FR"/>
        </w:rPr>
        <w:t>DCG session 200</w:t>
      </w:r>
      <w:r w:rsidR="00C70CDE">
        <w:rPr>
          <w:b/>
          <w:bCs/>
          <w:lang w:val="fr-FR"/>
        </w:rPr>
        <w:t>8</w:t>
      </w:r>
      <w:r w:rsidRPr="00A66A8F">
        <w:rPr>
          <w:b/>
          <w:bCs/>
          <w:lang w:val="fr-FR"/>
        </w:rPr>
        <w:tab/>
        <w:t>UE</w:t>
      </w:r>
      <w:r>
        <w:rPr>
          <w:b/>
          <w:bCs/>
          <w:lang w:val="fr-FR"/>
        </w:rPr>
        <w:t>2 Droit des sociétés</w:t>
      </w:r>
      <w:r w:rsidRPr="00A66A8F">
        <w:rPr>
          <w:b/>
          <w:bCs/>
          <w:lang w:val="fr-FR"/>
        </w:rPr>
        <w:t xml:space="preserve"> </w:t>
      </w:r>
      <w:r w:rsidRPr="00A66A8F">
        <w:rPr>
          <w:b/>
          <w:bCs/>
          <w:lang w:val="fr-FR"/>
        </w:rPr>
        <w:tab/>
        <w:t>Corrigé indicatif</w:t>
      </w:r>
    </w:p>
    <w:p w:rsidR="00A407B0" w:rsidRDefault="00A407B0">
      <w:pPr>
        <w:jc w:val="center"/>
        <w:rPr>
          <w:b/>
        </w:rPr>
      </w:pPr>
    </w:p>
    <w:p w:rsidR="00C554AD" w:rsidRDefault="00A407B0">
      <w:pPr>
        <w:jc w:val="center"/>
        <w:rPr>
          <w:b/>
          <w:u w:val="single"/>
        </w:rPr>
      </w:pPr>
      <w:r>
        <w:rPr>
          <w:b/>
          <w:u w:val="single"/>
        </w:rPr>
        <w:t>DOSSIER 1</w:t>
      </w:r>
      <w:r w:rsidR="00C70CDE">
        <w:rPr>
          <w:b/>
          <w:u w:val="single"/>
        </w:rPr>
        <w:t xml:space="preserve"> - </w:t>
      </w:r>
      <w:r w:rsidR="00C70CDE" w:rsidRPr="00C70CDE">
        <w:rPr>
          <w:b/>
          <w:u w:val="single"/>
        </w:rPr>
        <w:t>SARL ADEE</w:t>
      </w:r>
      <w:r>
        <w:rPr>
          <w:b/>
          <w:u w:val="single"/>
        </w:rPr>
        <w:t xml:space="preserve"> </w:t>
      </w:r>
    </w:p>
    <w:p w:rsidR="00C554AD" w:rsidRDefault="00C554AD">
      <w:pPr>
        <w:jc w:val="both"/>
        <w:rPr>
          <w:b/>
        </w:rPr>
      </w:pPr>
    </w:p>
    <w:p w:rsidR="00A407B0" w:rsidRDefault="00C70CDE" w:rsidP="00C70CDE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Quelles sont les conditions de validité de la cession des parts sociales de Michel Combes à son fils ?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SARL : liberté de cession des parts sociales entre ascendants et descendants, sauf clause statutaire contraire.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contrat de cession obéit aux cond</w:t>
      </w:r>
      <w:r>
        <w:rPr>
          <w:color w:val="000000"/>
          <w:sz w:val="22"/>
          <w:szCs w:val="22"/>
        </w:rPr>
        <w:t>itions de validité des contrats.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projet de cession doit être notifié à la société et à tous les associés.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cession doit être constatée par écrit.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Remarque : les formalités de publicité légale ne sont pas exigées du candidat car elles ne concernent pas la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validité de la cession.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Vérifiez qu’Emilien Combes remplit les conditions pour devenir gérant de la SARL.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gérant est une personne physique.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gérant doit remplir les conditions suivantes :</w:t>
      </w:r>
    </w:p>
    <w:p w:rsidR="00C70CDE" w:rsidRDefault="00C70CDE" w:rsidP="00C70CD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associé ou tiers ;</w:t>
      </w:r>
    </w:p>
    <w:p w:rsidR="00C70CDE" w:rsidRDefault="00C70CDE" w:rsidP="00C70CD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capacité civile ;</w:t>
      </w:r>
    </w:p>
    <w:p w:rsidR="00C70CDE" w:rsidRDefault="00C70CDE" w:rsidP="00C70CD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absence d’incompatibilités, d’interdictions ou de déchéances ;</w:t>
      </w:r>
    </w:p>
    <w:p w:rsidR="00C70CDE" w:rsidRDefault="00C70CDE" w:rsidP="00C70CD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nationalité : français ou ressortissant de l’Union Européenne ou étranger avec carte de résident (ou à défaut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 séjour temporaire) ;</w:t>
      </w:r>
    </w:p>
    <w:p w:rsidR="00C70CDE" w:rsidRDefault="00C70CDE" w:rsidP="00C70CD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remplir les conditions de cumul du contrat de travail avec le statut de gérant.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gérant est nommé exclusivement par les associés.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 Emilien Combes est une personne physique et peut être gérant.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numPr>
          <w:ilvl w:val="1"/>
          <w:numId w:val="11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Le contrat conclu par Michel Combes engage-t-il la SARL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gérant est investi des pouvoirs les plus étendus pour agir au nom de la société.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cas de pluralité de gérants, chacun d’eux peut agir séparément.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clause de répartition des pouvoirs entre les gérants est inopposable aux tiers, sauf mauvaise foi des tiers.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 Le contrat engage la SARL.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3.2. Emilien Combes peut-il mettre en cause la responsabilité de Michel Combes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gérant est responsable en cas de violation de la loi, des statuts, des règlements et / ou pour faute de gestion.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 comportement doit causer un préjudice.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 Michel Combes peut agir en justice :</w:t>
      </w:r>
    </w:p>
    <w:p w:rsidR="00C70CDE" w:rsidRDefault="00C70CDE" w:rsidP="00C70CDE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soit si la société a subi un préjudice</w:t>
      </w:r>
    </w:p>
    <w:p w:rsidR="00C70CDE" w:rsidRDefault="00C70CDE" w:rsidP="00C70CDE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soit s’il a subi un préjudice individuel.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3.3. Emilien Combes aurait-il pu empêcher la signature du contrat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L’opposition formée par un gérant aux actes passés par un autre gérant est sans effet à l’égard des tiers, à moins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qu’il soit prouvé que les tiers en avaient connaissance.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 Monsieur Emilien Combes ne pouvait empêcher la signature par son opposition.</w:t>
      </w:r>
    </w:p>
    <w:p w:rsidR="00C70CDE" w:rsidRPr="00C70CDE" w:rsidRDefault="00C70CDE" w:rsidP="00C70CDE">
      <w:pPr>
        <w:autoSpaceDE w:val="0"/>
        <w:autoSpaceDN w:val="0"/>
        <w:adjustRightInd w:val="0"/>
        <w:jc w:val="center"/>
        <w:rPr>
          <w:b/>
          <w:u w:val="single"/>
        </w:rPr>
      </w:pPr>
      <w:r w:rsidRPr="00C70CDE">
        <w:rPr>
          <w:b/>
          <w:u w:val="single"/>
        </w:rPr>
        <w:lastRenderedPageBreak/>
        <w:t>DOSSIER 2 - SARL ADEE ET SCI HAMO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numPr>
          <w:ilvl w:val="0"/>
          <w:numId w:val="13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Jean Andrieu s’étonne de ne pas avoir été consulté sur cette convention. Qu’en pensez-vous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convention passée entre la SARL et une société dont un associé indéfiniment responsable est simultanément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gérant de la SARL est une convention réglementée.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Quand le gérant est associé de la SARL, la procédure d’approbation de la convention se déroule a posteriori.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gérant établit un rapport qui sera présenté à la prochaine assemblée.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L’assemblée statue sur la convention.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contrat de location conclu entre la SARL ADEE et la SCI HAMO est une convention réglementée car Michel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Combes est gérant de la SCI et simultanément gérant associé de la SARL.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convention ne sera soumise au vote des associés de la SARL qu’à la prochaine assemblée.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numPr>
          <w:ilvl w:val="0"/>
          <w:numId w:val="13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La demande de Maurice Martel est-elle susceptible d’aboutir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Retrait de l’associé d’une SCI : si les statuts de la SCI n’ont rien prévu, le retrait est autorisé à l’unanimité des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autres associés.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retrait peut être obtenu par la voie judiciaire sur juste motif.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 Le retrait de Maurice Martel est conditionné par le vote unanime des époux Combes.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Pr="00C70CDE" w:rsidRDefault="00C70CDE" w:rsidP="00C70CDE">
      <w:pPr>
        <w:autoSpaceDE w:val="0"/>
        <w:autoSpaceDN w:val="0"/>
        <w:adjustRightInd w:val="0"/>
        <w:jc w:val="center"/>
        <w:rPr>
          <w:b/>
          <w:u w:val="single"/>
        </w:rPr>
      </w:pPr>
      <w:r w:rsidRPr="00C70CDE">
        <w:rPr>
          <w:b/>
          <w:u w:val="single"/>
        </w:rPr>
        <w:t>DOSSIER 3 – SAS LOISIRS BOIS</w:t>
      </w:r>
    </w:p>
    <w:p w:rsidR="00C70CDE" w:rsidRPr="00C70CDE" w:rsidRDefault="00C70CDE" w:rsidP="00C70CDE">
      <w:pPr>
        <w:autoSpaceDE w:val="0"/>
        <w:autoSpaceDN w:val="0"/>
        <w:adjustRightInd w:val="0"/>
        <w:rPr>
          <w:b/>
          <w:u w:val="single"/>
        </w:rPr>
      </w:pPr>
    </w:p>
    <w:p w:rsidR="00C70CDE" w:rsidRDefault="00C70CDE" w:rsidP="00C70CDE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La responsabilité pénale de Francis Jouve peut-elle être engagée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Elément légal </w:t>
      </w:r>
      <w:r>
        <w:rPr>
          <w:color w:val="000000"/>
          <w:sz w:val="22"/>
          <w:szCs w:val="22"/>
        </w:rPr>
        <w:t>: la responsabilité pénale peut être engagée sur le fondement du délit de publication ou présentation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 comptes annuels ne donnant pas une image fidèle.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SAS entre dans le champ d’application de ce délit.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C’est le mandataire social qui est susceptible de poursuites (notamment le président).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Elément matériel </w:t>
      </w:r>
      <w:r>
        <w:rPr>
          <w:color w:val="000000"/>
          <w:sz w:val="22"/>
          <w:szCs w:val="22"/>
        </w:rPr>
        <w:t>: présentation des comptes.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Elément moral </w:t>
      </w:r>
      <w:r>
        <w:rPr>
          <w:color w:val="000000"/>
          <w:sz w:val="22"/>
          <w:szCs w:val="22"/>
        </w:rPr>
        <w:t>: volonté de dissimuler la véritable situation de la société.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L’auteur encourt une peine d’emprisonnement et une amende.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comptes ne donnent pas une image fidèle de la situation de la société.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comptes ont été volontairement présentés en l’état à l’AGOA.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L’infraction est constituée.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M. </w:t>
      </w:r>
      <w:proofErr w:type="spellStart"/>
      <w:r>
        <w:rPr>
          <w:b/>
          <w:bCs/>
          <w:color w:val="000000"/>
          <w:sz w:val="22"/>
          <w:szCs w:val="22"/>
        </w:rPr>
        <w:t>Briant</w:t>
      </w:r>
      <w:proofErr w:type="spellEnd"/>
      <w:r>
        <w:rPr>
          <w:b/>
          <w:bCs/>
          <w:color w:val="000000"/>
          <w:sz w:val="22"/>
          <w:szCs w:val="22"/>
        </w:rPr>
        <w:t>, commissaire aux comptes de la SAS, peut-il être poursuivi pénalement pour ces faits ?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commissaire aux comptes peut être poursuivi sur le plan pénal :</w:t>
      </w:r>
    </w:p>
    <w:p w:rsidR="00C70CDE" w:rsidRDefault="00C70CDE" w:rsidP="00C70CDE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délit de non révélation des faits délictueux au procureur de la République. Il aurait dû révéler la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présence de créances fictives et la non constitution de provisions et d’amortissements ;</w:t>
      </w:r>
    </w:p>
    <w:p w:rsidR="00C70CDE" w:rsidRDefault="00C70CDE" w:rsidP="00C70CDE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délit de complicité du délit de publication ou présentation de comptes annuels ne donnant pas une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image fidèle des comptes. Il a pu notamment aider le dirigeant de la SAS à commettre le délit ;</w:t>
      </w:r>
    </w:p>
    <w:p w:rsidR="00C70CDE" w:rsidRDefault="00C70CDE" w:rsidP="00C70CDE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délit de confirmation d’informations mensongères. Il a pu donner ou confirmer des informations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mensongères sur la société.</w:t>
      </w:r>
    </w:p>
    <w:p w:rsidR="00C70CDE" w:rsidRDefault="00C70CDE" w:rsidP="00C70CDE">
      <w:pPr>
        <w:autoSpaceDE w:val="0"/>
        <w:autoSpaceDN w:val="0"/>
        <w:adjustRightInd w:val="0"/>
        <w:jc w:val="center"/>
        <w:rPr>
          <w:b/>
          <w:u w:val="single"/>
        </w:rPr>
      </w:pPr>
      <w:r w:rsidRPr="00C70CDE">
        <w:rPr>
          <w:b/>
          <w:u w:val="single"/>
        </w:rPr>
        <w:lastRenderedPageBreak/>
        <w:t>DOSSIER 4 – SAS LOISIRS BOIS</w:t>
      </w:r>
    </w:p>
    <w:p w:rsidR="00C70CDE" w:rsidRPr="00C70CDE" w:rsidRDefault="00C70CDE" w:rsidP="00C70CDE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C70CDE" w:rsidRDefault="00C70CDE" w:rsidP="00C70CDE">
      <w:pPr>
        <w:numPr>
          <w:ilvl w:val="0"/>
          <w:numId w:val="16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Les conditions de validité d’une clause d’exclusion dans la SAS.</w:t>
      </w: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clause est valable à deux conditions :</w:t>
      </w:r>
    </w:p>
    <w:p w:rsidR="00C70CDE" w:rsidRDefault="00C70CDE" w:rsidP="00C70CDE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elle est inscrite dans les statuts ;</w:t>
      </w:r>
    </w:p>
    <w:p w:rsidR="00C70CDE" w:rsidRDefault="00C70CDE" w:rsidP="00C70CDE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elle doit prévoir les modalités de l’exclusion.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au cas :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cas justifiant l’exclusion et la procédure applicable sont stipulés dans l’article 16.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M. Jouve a commis une infraction à la loi pénale qui pourrait justifier son exclusion.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Les conditions de validité d’une clause d’inaliénabilité.</w:t>
      </w: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0CDE" w:rsidRDefault="00C70CDE" w:rsidP="00C70CDE">
      <w:pP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La clause est valable aux conditions suivantes :</w:t>
      </w:r>
    </w:p>
    <w:p w:rsidR="00C70CDE" w:rsidRDefault="00C70CDE" w:rsidP="00C70CDE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elle est inscrite dans les statuts ;</w:t>
      </w:r>
    </w:p>
    <w:p w:rsidR="00C70CDE" w:rsidRDefault="00C70CDE" w:rsidP="00C70CDE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elle ne peut être stipulée pour une durée excédant dix ans ;</w:t>
      </w:r>
    </w:p>
    <w:p w:rsidR="00C70CDE" w:rsidRDefault="00C70CDE" w:rsidP="00C70CDE">
      <w:pPr>
        <w:numPr>
          <w:ilvl w:val="0"/>
          <w:numId w:val="18"/>
        </w:numPr>
        <w:jc w:val="both"/>
        <w:rPr>
          <w:b/>
          <w:i/>
        </w:rPr>
      </w:pPr>
      <w:r>
        <w:rPr>
          <w:color w:val="000000"/>
          <w:sz w:val="22"/>
          <w:szCs w:val="22"/>
        </w:rPr>
        <w:t>elle doit stipuler les conditions précises de l’inaliénabilité.</w:t>
      </w:r>
    </w:p>
    <w:sectPr w:rsidR="00C70CDE">
      <w:headerReference w:type="default" r:id="rId8"/>
      <w:footerReference w:type="default" r:id="rId9"/>
      <w:pgSz w:w="11906" w:h="16838"/>
      <w:pgMar w:top="993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06" w:rsidRDefault="006C0706">
      <w:r>
        <w:separator/>
      </w:r>
    </w:p>
  </w:endnote>
  <w:endnote w:type="continuationSeparator" w:id="0">
    <w:p w:rsidR="006C0706" w:rsidRDefault="006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B0" w:rsidRPr="0031576F" w:rsidRDefault="0031576F" w:rsidP="0031576F">
    <w:pPr>
      <w:pStyle w:val="Pieddepage"/>
      <w:tabs>
        <w:tab w:val="left" w:pos="709"/>
      </w:tabs>
      <w:ind w:right="357"/>
    </w:pPr>
    <w:r w:rsidRPr="0031576F">
      <w:rPr>
        <w:sz w:val="20"/>
      </w:rPr>
      <w:t>©Comptazine – Reproduction interdite</w:t>
    </w:r>
    <w:r w:rsidR="00A407B0" w:rsidRPr="0031576F">
      <w:rPr>
        <w:bCs/>
      </w:rPr>
      <w:tab/>
    </w:r>
    <w:r w:rsidRPr="0031576F">
      <w:rPr>
        <w:bCs/>
      </w:rPr>
      <w:tab/>
    </w:r>
    <w:r w:rsidR="00A407B0" w:rsidRPr="0031576F">
      <w:rPr>
        <w:rStyle w:val="Numrodepage"/>
        <w:bCs/>
      </w:rPr>
      <w:fldChar w:fldCharType="begin"/>
    </w:r>
    <w:r w:rsidR="00A407B0" w:rsidRPr="0031576F">
      <w:rPr>
        <w:rStyle w:val="Numrodepage"/>
        <w:bCs/>
      </w:rPr>
      <w:instrText xml:space="preserve"> PAGE </w:instrText>
    </w:r>
    <w:r w:rsidR="00A407B0" w:rsidRPr="0031576F">
      <w:rPr>
        <w:rStyle w:val="Numrodepage"/>
        <w:bCs/>
      </w:rPr>
      <w:fldChar w:fldCharType="separate"/>
    </w:r>
    <w:r w:rsidR="00DD1FB6">
      <w:rPr>
        <w:rStyle w:val="Numrodepage"/>
        <w:bCs/>
        <w:noProof/>
      </w:rPr>
      <w:t>3</w:t>
    </w:r>
    <w:r w:rsidR="00A407B0" w:rsidRPr="0031576F">
      <w:rPr>
        <w:rStyle w:val="Numrodepage"/>
        <w:bCs/>
      </w:rPr>
      <w:fldChar w:fldCharType="end"/>
    </w:r>
    <w:r w:rsidR="00A407B0" w:rsidRPr="0031576F">
      <w:rPr>
        <w:rStyle w:val="Numrodepage"/>
        <w:bCs/>
      </w:rPr>
      <w:t>/</w:t>
    </w:r>
    <w:r w:rsidR="00C70CDE">
      <w:rPr>
        <w:rStyle w:val="Numrodepage"/>
        <w:bCs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06" w:rsidRDefault="006C0706">
      <w:r>
        <w:separator/>
      </w:r>
    </w:p>
  </w:footnote>
  <w:footnote w:type="continuationSeparator" w:id="0">
    <w:p w:rsidR="006C0706" w:rsidRDefault="006C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6F" w:rsidRDefault="00491372" w:rsidP="0031576F">
    <w:pPr>
      <w:pStyle w:val="En-tte"/>
      <w:ind w:left="3252" w:right="849" w:firstLine="382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5678805</wp:posOffset>
          </wp:positionH>
          <wp:positionV relativeFrom="margin">
            <wp:posOffset>-495300</wp:posOffset>
          </wp:positionV>
          <wp:extent cx="381000" cy="381000"/>
          <wp:effectExtent l="0" t="0" r="0" b="0"/>
          <wp:wrapNone/>
          <wp:docPr id="2" name="Image 6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1576F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3157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9264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C554AD" w:rsidRDefault="00C554A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3D3"/>
    <w:multiLevelType w:val="hybridMultilevel"/>
    <w:tmpl w:val="4C04C778"/>
    <w:lvl w:ilvl="0" w:tplc="6C58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A7562"/>
    <w:multiLevelType w:val="hybridMultilevel"/>
    <w:tmpl w:val="F3A24DF6"/>
    <w:lvl w:ilvl="0" w:tplc="6C58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55518"/>
    <w:multiLevelType w:val="multilevel"/>
    <w:tmpl w:val="7E1C9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372554"/>
    <w:multiLevelType w:val="hybridMultilevel"/>
    <w:tmpl w:val="10F28282"/>
    <w:lvl w:ilvl="0" w:tplc="6C58D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F1D5C"/>
    <w:multiLevelType w:val="hybridMultilevel"/>
    <w:tmpl w:val="2B222B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7609A"/>
    <w:multiLevelType w:val="multilevel"/>
    <w:tmpl w:val="57EA3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EE53183"/>
    <w:multiLevelType w:val="hybridMultilevel"/>
    <w:tmpl w:val="AD147CAE"/>
    <w:lvl w:ilvl="0" w:tplc="34AA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713B8"/>
    <w:multiLevelType w:val="hybridMultilevel"/>
    <w:tmpl w:val="943AF7A4"/>
    <w:lvl w:ilvl="0" w:tplc="34AAB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AF5A95"/>
    <w:multiLevelType w:val="multilevel"/>
    <w:tmpl w:val="57EA3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5133F7B"/>
    <w:multiLevelType w:val="multilevel"/>
    <w:tmpl w:val="57EA3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6847F69"/>
    <w:multiLevelType w:val="hybridMultilevel"/>
    <w:tmpl w:val="70CCC916"/>
    <w:lvl w:ilvl="0" w:tplc="BAD40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20CB1"/>
    <w:multiLevelType w:val="hybridMultilevel"/>
    <w:tmpl w:val="49444A16"/>
    <w:lvl w:ilvl="0" w:tplc="6C58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D6569"/>
    <w:multiLevelType w:val="hybridMultilevel"/>
    <w:tmpl w:val="9D1E035E"/>
    <w:lvl w:ilvl="0" w:tplc="34AAB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A62B8"/>
    <w:multiLevelType w:val="hybridMultilevel"/>
    <w:tmpl w:val="8B20F3B0"/>
    <w:lvl w:ilvl="0" w:tplc="34AAB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C03471"/>
    <w:multiLevelType w:val="hybridMultilevel"/>
    <w:tmpl w:val="E6086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34AEF"/>
    <w:multiLevelType w:val="hybridMultilevel"/>
    <w:tmpl w:val="FC30538E"/>
    <w:lvl w:ilvl="0" w:tplc="6C58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A502D"/>
    <w:multiLevelType w:val="hybridMultilevel"/>
    <w:tmpl w:val="D9A2C978"/>
    <w:lvl w:ilvl="0" w:tplc="1A464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C75B5"/>
    <w:multiLevelType w:val="hybridMultilevel"/>
    <w:tmpl w:val="C0DE74FA"/>
    <w:lvl w:ilvl="0" w:tplc="6C58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B0"/>
    <w:rsid w:val="0031576F"/>
    <w:rsid w:val="00491372"/>
    <w:rsid w:val="006B04CC"/>
    <w:rsid w:val="006C0706"/>
    <w:rsid w:val="00A407B0"/>
    <w:rsid w:val="00B2733F"/>
    <w:rsid w:val="00C554AD"/>
    <w:rsid w:val="00C70CDE"/>
    <w:rsid w:val="00D3457B"/>
    <w:rsid w:val="00DA2C18"/>
    <w:rsid w:val="00D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eastAsia="Arial Unicode MS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200" w:line="276" w:lineRule="auto"/>
      <w:jc w:val="center"/>
      <w:outlineLvl w:val="2"/>
    </w:pPr>
    <w:rPr>
      <w:rFonts w:eastAsia="Calibri"/>
      <w:b/>
      <w:bCs/>
      <w:sz w:val="40"/>
      <w:szCs w:val="22"/>
      <w:lang w:eastAsia="en-US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suppressAutoHyphens/>
      <w:overflowPunct w:val="0"/>
      <w:autoSpaceDE w:val="0"/>
      <w:autoSpaceDN w:val="0"/>
      <w:adjustRightInd w:val="0"/>
      <w:spacing w:after="200" w:line="276" w:lineRule="auto"/>
      <w:jc w:val="center"/>
      <w:outlineLvl w:val="3"/>
    </w:pPr>
    <w:rPr>
      <w:rFonts w:ascii="Arial" w:hAnsi="Arial" w:cs="Arial"/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suppressAutoHyphens/>
      <w:overflowPunct w:val="0"/>
      <w:autoSpaceDE w:val="0"/>
      <w:autoSpaceDN w:val="0"/>
      <w:adjustRightInd w:val="0"/>
      <w:spacing w:after="200" w:line="276" w:lineRule="auto"/>
      <w:ind w:right="-1"/>
      <w:jc w:val="center"/>
    </w:pPr>
    <w:rPr>
      <w:b/>
      <w:bCs/>
      <w:sz w:val="32"/>
    </w:rPr>
  </w:style>
  <w:style w:type="paragraph" w:styleId="Titre">
    <w:name w:val="Title"/>
    <w:basedOn w:val="Normal"/>
    <w:next w:val="Sous-titre"/>
    <w:link w:val="TitreCar"/>
    <w:qFormat/>
    <w:rsid w:val="00A407B0"/>
    <w:pPr>
      <w:widowControl w:val="0"/>
      <w:suppressAutoHyphens/>
      <w:overflowPunct w:val="0"/>
      <w:autoSpaceDE w:val="0"/>
      <w:jc w:val="center"/>
      <w:textAlignment w:val="baseline"/>
    </w:pPr>
    <w:rPr>
      <w:rFonts w:eastAsia="Calibri" w:cs="Calibri"/>
      <w:sz w:val="28"/>
      <w:szCs w:val="28"/>
      <w:lang w:val="fr-FR" w:eastAsia="ar-SA"/>
    </w:rPr>
  </w:style>
  <w:style w:type="character" w:customStyle="1" w:styleId="TitreCar">
    <w:name w:val="Titre Car"/>
    <w:link w:val="Titre"/>
    <w:rsid w:val="00A407B0"/>
    <w:rPr>
      <w:rFonts w:eastAsia="Calibri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7B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A407B0"/>
    <w:rPr>
      <w:rFonts w:ascii="Cambria" w:eastAsia="Times New Roman" w:hAnsi="Cambria" w:cs="Times New Roman"/>
      <w:sz w:val="24"/>
      <w:szCs w:val="24"/>
    </w:rPr>
  </w:style>
  <w:style w:type="character" w:styleId="Lienhypertexte">
    <w:name w:val="Hyperlink"/>
    <w:unhideWhenUsed/>
    <w:rsid w:val="00A407B0"/>
    <w:rPr>
      <w:color w:val="0000FF"/>
      <w:u w:val="single"/>
    </w:rPr>
  </w:style>
  <w:style w:type="character" w:customStyle="1" w:styleId="PieddepageCar">
    <w:name w:val="Pied de page Car"/>
    <w:link w:val="Pieddepage"/>
    <w:semiHidden/>
    <w:rsid w:val="00A407B0"/>
    <w:rPr>
      <w:sz w:val="24"/>
      <w:szCs w:val="24"/>
    </w:rPr>
  </w:style>
  <w:style w:type="character" w:customStyle="1" w:styleId="En-tteCar">
    <w:name w:val="En-tête Car"/>
    <w:link w:val="En-tte"/>
    <w:rsid w:val="00315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eastAsia="Arial Unicode MS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200" w:line="276" w:lineRule="auto"/>
      <w:jc w:val="center"/>
      <w:outlineLvl w:val="2"/>
    </w:pPr>
    <w:rPr>
      <w:rFonts w:eastAsia="Calibri"/>
      <w:b/>
      <w:bCs/>
      <w:sz w:val="40"/>
      <w:szCs w:val="22"/>
      <w:lang w:eastAsia="en-US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suppressAutoHyphens/>
      <w:overflowPunct w:val="0"/>
      <w:autoSpaceDE w:val="0"/>
      <w:autoSpaceDN w:val="0"/>
      <w:adjustRightInd w:val="0"/>
      <w:spacing w:after="200" w:line="276" w:lineRule="auto"/>
      <w:jc w:val="center"/>
      <w:outlineLvl w:val="3"/>
    </w:pPr>
    <w:rPr>
      <w:rFonts w:ascii="Arial" w:hAnsi="Arial" w:cs="Arial"/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suppressAutoHyphens/>
      <w:overflowPunct w:val="0"/>
      <w:autoSpaceDE w:val="0"/>
      <w:autoSpaceDN w:val="0"/>
      <w:adjustRightInd w:val="0"/>
      <w:spacing w:after="200" w:line="276" w:lineRule="auto"/>
      <w:ind w:right="-1"/>
      <w:jc w:val="center"/>
    </w:pPr>
    <w:rPr>
      <w:b/>
      <w:bCs/>
      <w:sz w:val="32"/>
    </w:rPr>
  </w:style>
  <w:style w:type="paragraph" w:styleId="Titre">
    <w:name w:val="Title"/>
    <w:basedOn w:val="Normal"/>
    <w:next w:val="Sous-titre"/>
    <w:link w:val="TitreCar"/>
    <w:qFormat/>
    <w:rsid w:val="00A407B0"/>
    <w:pPr>
      <w:widowControl w:val="0"/>
      <w:suppressAutoHyphens/>
      <w:overflowPunct w:val="0"/>
      <w:autoSpaceDE w:val="0"/>
      <w:jc w:val="center"/>
      <w:textAlignment w:val="baseline"/>
    </w:pPr>
    <w:rPr>
      <w:rFonts w:eastAsia="Calibri" w:cs="Calibri"/>
      <w:sz w:val="28"/>
      <w:szCs w:val="28"/>
      <w:lang w:val="fr-FR" w:eastAsia="ar-SA"/>
    </w:rPr>
  </w:style>
  <w:style w:type="character" w:customStyle="1" w:styleId="TitreCar">
    <w:name w:val="Titre Car"/>
    <w:link w:val="Titre"/>
    <w:rsid w:val="00A407B0"/>
    <w:rPr>
      <w:rFonts w:eastAsia="Calibri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7B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A407B0"/>
    <w:rPr>
      <w:rFonts w:ascii="Cambria" w:eastAsia="Times New Roman" w:hAnsi="Cambria" w:cs="Times New Roman"/>
      <w:sz w:val="24"/>
      <w:szCs w:val="24"/>
    </w:rPr>
  </w:style>
  <w:style w:type="character" w:styleId="Lienhypertexte">
    <w:name w:val="Hyperlink"/>
    <w:unhideWhenUsed/>
    <w:rsid w:val="00A407B0"/>
    <w:rPr>
      <w:color w:val="0000FF"/>
      <w:u w:val="single"/>
    </w:rPr>
  </w:style>
  <w:style w:type="character" w:customStyle="1" w:styleId="PieddepageCar">
    <w:name w:val="Pied de page Car"/>
    <w:link w:val="Pieddepage"/>
    <w:semiHidden/>
    <w:rsid w:val="00A407B0"/>
    <w:rPr>
      <w:sz w:val="24"/>
      <w:szCs w:val="24"/>
    </w:rPr>
  </w:style>
  <w:style w:type="character" w:customStyle="1" w:styleId="En-tteCar">
    <w:name w:val="En-tête Car"/>
    <w:link w:val="En-tte"/>
    <w:rsid w:val="00315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4</cp:revision>
  <cp:lastPrinted>2012-09-12T06:57:00Z</cp:lastPrinted>
  <dcterms:created xsi:type="dcterms:W3CDTF">2012-09-12T06:57:00Z</dcterms:created>
  <dcterms:modified xsi:type="dcterms:W3CDTF">2012-09-12T06:57:00Z</dcterms:modified>
</cp:coreProperties>
</file>