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0" w:rsidRPr="00A66A8F" w:rsidRDefault="00A407B0" w:rsidP="00A407B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r-FR"/>
        </w:rPr>
      </w:pPr>
      <w:bookmarkStart w:id="0" w:name="_GoBack"/>
      <w:bookmarkEnd w:id="0"/>
      <w:r w:rsidRPr="00A66A8F">
        <w:rPr>
          <w:b/>
          <w:bCs/>
          <w:lang w:val="fr-FR"/>
        </w:rPr>
        <w:t>DCG session 2009</w:t>
      </w:r>
      <w:r w:rsidRPr="00A66A8F">
        <w:rPr>
          <w:b/>
          <w:bCs/>
          <w:lang w:val="fr-FR"/>
        </w:rPr>
        <w:tab/>
        <w:t>UE</w:t>
      </w:r>
      <w:r>
        <w:rPr>
          <w:b/>
          <w:bCs/>
          <w:lang w:val="fr-FR"/>
        </w:rPr>
        <w:t>2 Droit des sociétés</w:t>
      </w:r>
      <w:r w:rsidRPr="00A66A8F">
        <w:rPr>
          <w:b/>
          <w:bCs/>
          <w:lang w:val="fr-FR"/>
        </w:rPr>
        <w:t xml:space="preserve"> </w:t>
      </w:r>
      <w:r w:rsidRPr="00A66A8F">
        <w:rPr>
          <w:b/>
          <w:bCs/>
          <w:lang w:val="fr-FR"/>
        </w:rPr>
        <w:tab/>
        <w:t>Corrigé indicatif</w:t>
      </w:r>
    </w:p>
    <w:p w:rsidR="00A407B0" w:rsidRDefault="00A407B0">
      <w:pPr>
        <w:jc w:val="center"/>
        <w:rPr>
          <w:b/>
        </w:rPr>
      </w:pPr>
    </w:p>
    <w:p w:rsidR="00A407B0" w:rsidRDefault="00A407B0">
      <w:pPr>
        <w:jc w:val="center"/>
        <w:rPr>
          <w:b/>
        </w:rPr>
      </w:pPr>
    </w:p>
    <w:p w:rsidR="00C554AD" w:rsidRDefault="00C554AD">
      <w:pPr>
        <w:jc w:val="center"/>
        <w:rPr>
          <w:b/>
        </w:rPr>
      </w:pPr>
      <w:r>
        <w:rPr>
          <w:b/>
        </w:rPr>
        <w:t>« SA ESSENTIALS »</w:t>
      </w:r>
    </w:p>
    <w:p w:rsidR="00C554AD" w:rsidRDefault="00C554AD">
      <w:pPr>
        <w:jc w:val="both"/>
        <w:rPr>
          <w:b/>
        </w:rPr>
      </w:pPr>
    </w:p>
    <w:p w:rsidR="00C554AD" w:rsidRDefault="00A407B0">
      <w:pPr>
        <w:jc w:val="center"/>
        <w:rPr>
          <w:b/>
          <w:u w:val="single"/>
        </w:rPr>
      </w:pPr>
      <w:r>
        <w:rPr>
          <w:b/>
          <w:u w:val="single"/>
        </w:rPr>
        <w:t xml:space="preserve">DOSSIER 1 </w:t>
      </w:r>
    </w:p>
    <w:p w:rsidR="00C554AD" w:rsidRDefault="00C554AD">
      <w:pPr>
        <w:jc w:val="both"/>
        <w:rPr>
          <w:b/>
        </w:rPr>
      </w:pPr>
    </w:p>
    <w:p w:rsidR="00A407B0" w:rsidRDefault="00A407B0">
      <w:pPr>
        <w:jc w:val="center"/>
        <w:rPr>
          <w:b/>
        </w:rPr>
      </w:pPr>
      <w:r>
        <w:rPr>
          <w:b/>
        </w:rPr>
        <w:t>Questions</w:t>
      </w:r>
    </w:p>
    <w:p w:rsidR="00A407B0" w:rsidRDefault="00A407B0">
      <w:pPr>
        <w:numPr>
          <w:ilvl w:val="1"/>
          <w:numId w:val="3"/>
        </w:numPr>
        <w:jc w:val="both"/>
        <w:rPr>
          <w:b/>
          <w:i/>
        </w:rPr>
      </w:pPr>
      <w:r>
        <w:rPr>
          <w:b/>
          <w:i/>
        </w:rPr>
        <w:t xml:space="preserve">Nombre des membres du directoire </w:t>
      </w:r>
    </w:p>
    <w:p w:rsidR="00A407B0" w:rsidRDefault="00A407B0">
      <w:pPr>
        <w:jc w:val="both"/>
        <w:rPr>
          <w:b/>
          <w:i/>
        </w:rPr>
      </w:pPr>
    </w:p>
    <w:p w:rsidR="00A407B0" w:rsidRDefault="00A407B0">
      <w:pPr>
        <w:jc w:val="both"/>
        <w:rPr>
          <w:b/>
          <w:i/>
        </w:rPr>
      </w:pPr>
      <w:r>
        <w:rPr>
          <w:b/>
          <w:i/>
        </w:rPr>
        <w:t>Principe </w:t>
      </w:r>
    </w:p>
    <w:p w:rsidR="00A407B0" w:rsidRDefault="00A407B0">
      <w:pPr>
        <w:jc w:val="both"/>
        <w:rPr>
          <w:i/>
        </w:rPr>
      </w:pPr>
      <w:r>
        <w:rPr>
          <w:i/>
        </w:rPr>
        <w:t xml:space="preserve">Le nombre des membres du directoire est fixé par les </w:t>
      </w:r>
      <w:r>
        <w:rPr>
          <w:i/>
          <w:u w:val="single"/>
        </w:rPr>
        <w:t>statuts</w:t>
      </w:r>
      <w:r>
        <w:rPr>
          <w:i/>
        </w:rPr>
        <w:t xml:space="preserve"> et ne peut pas être supérieur à </w:t>
      </w:r>
      <w:r>
        <w:rPr>
          <w:i/>
          <w:u w:val="single"/>
        </w:rPr>
        <w:t>cinq</w:t>
      </w:r>
      <w:r>
        <w:rPr>
          <w:i/>
        </w:rPr>
        <w:t xml:space="preserve"> ni inférieur à </w:t>
      </w:r>
      <w:r>
        <w:rPr>
          <w:i/>
          <w:u w:val="single"/>
        </w:rPr>
        <w:t>deux</w:t>
      </w:r>
      <w:r>
        <w:rPr>
          <w:i/>
        </w:rPr>
        <w:t xml:space="preserve">. </w:t>
      </w:r>
    </w:p>
    <w:p w:rsidR="00A407B0" w:rsidRDefault="00A407B0">
      <w:pPr>
        <w:jc w:val="both"/>
        <w:rPr>
          <w:i/>
        </w:rPr>
      </w:pPr>
      <w:r>
        <w:rPr>
          <w:i/>
        </w:rPr>
        <w:t xml:space="preserve">Quand le capital social est inférieur à </w:t>
      </w:r>
      <w:r>
        <w:rPr>
          <w:i/>
          <w:u w:val="single"/>
        </w:rPr>
        <w:t>150 000 euros</w:t>
      </w:r>
      <w:r>
        <w:rPr>
          <w:i/>
        </w:rPr>
        <w:t xml:space="preserve">, le directoire peut n’être composé que d’une seule personne, appelée alors </w:t>
      </w:r>
      <w:r>
        <w:rPr>
          <w:i/>
          <w:u w:val="single"/>
        </w:rPr>
        <w:t>directeur général unique</w:t>
      </w:r>
      <w:r>
        <w:rPr>
          <w:i/>
        </w:rPr>
        <w:t>.</w:t>
      </w:r>
    </w:p>
    <w:p w:rsidR="00A407B0" w:rsidRDefault="00A407B0">
      <w:pPr>
        <w:jc w:val="both"/>
        <w:rPr>
          <w:i/>
        </w:rPr>
      </w:pPr>
    </w:p>
    <w:p w:rsidR="00A407B0" w:rsidRDefault="00A407B0">
      <w:pPr>
        <w:jc w:val="both"/>
        <w:rPr>
          <w:b/>
          <w:i/>
        </w:rPr>
      </w:pPr>
      <w:r>
        <w:rPr>
          <w:b/>
          <w:i/>
        </w:rPr>
        <w:t xml:space="preserve">Application </w:t>
      </w:r>
    </w:p>
    <w:p w:rsidR="00A407B0" w:rsidRDefault="00A407B0">
      <w:pPr>
        <w:jc w:val="both"/>
        <w:rPr>
          <w:i/>
        </w:rPr>
      </w:pPr>
      <w:r>
        <w:rPr>
          <w:i/>
        </w:rPr>
        <w:t xml:space="preserve">Le capital de la SA Essentials est de 200 000 euros ; il est donc supérieur à  150 000 euros. </w:t>
      </w:r>
    </w:p>
    <w:p w:rsidR="00A407B0" w:rsidRDefault="00A407B0">
      <w:pPr>
        <w:jc w:val="both"/>
        <w:rPr>
          <w:i/>
        </w:rPr>
      </w:pPr>
      <w:r>
        <w:rPr>
          <w:i/>
        </w:rPr>
        <w:t xml:space="preserve">En conséquence, M. Gonod ne peut pas rester seul membre du directoire au départ de </w:t>
      </w:r>
      <w:r>
        <w:rPr>
          <w:i/>
        </w:rPr>
        <w:br/>
        <w:t>M. Pilibossian.</w:t>
      </w:r>
    </w:p>
    <w:p w:rsidR="00A407B0" w:rsidRDefault="00A407B0">
      <w:pPr>
        <w:jc w:val="both"/>
        <w:rPr>
          <w:b/>
          <w:i/>
        </w:rPr>
      </w:pPr>
    </w:p>
    <w:p w:rsidR="00A407B0" w:rsidRDefault="00A407B0">
      <w:pPr>
        <w:numPr>
          <w:ilvl w:val="1"/>
          <w:numId w:val="3"/>
        </w:numPr>
        <w:jc w:val="both"/>
        <w:rPr>
          <w:b/>
          <w:i/>
        </w:rPr>
      </w:pPr>
      <w:r>
        <w:rPr>
          <w:b/>
          <w:i/>
        </w:rPr>
        <w:t xml:space="preserve">Conditions pour être membre du directoire </w:t>
      </w:r>
    </w:p>
    <w:p w:rsidR="00A407B0" w:rsidRDefault="00A407B0">
      <w:pPr>
        <w:jc w:val="both"/>
        <w:rPr>
          <w:b/>
          <w:i/>
        </w:rPr>
      </w:pPr>
    </w:p>
    <w:p w:rsidR="00A407B0" w:rsidRDefault="00A407B0">
      <w:pPr>
        <w:jc w:val="both"/>
        <w:rPr>
          <w:b/>
          <w:i/>
        </w:rPr>
      </w:pPr>
      <w:r>
        <w:rPr>
          <w:b/>
          <w:i/>
        </w:rPr>
        <w:t>Principe</w:t>
      </w:r>
    </w:p>
    <w:p w:rsidR="00A407B0" w:rsidRDefault="00A407B0">
      <w:pPr>
        <w:jc w:val="both"/>
        <w:rPr>
          <w:i/>
        </w:rPr>
      </w:pPr>
      <w:r>
        <w:rPr>
          <w:i/>
        </w:rPr>
        <w:t xml:space="preserve">Les membres du directoire sont </w:t>
      </w:r>
      <w:r>
        <w:rPr>
          <w:i/>
          <w:u w:val="single"/>
        </w:rPr>
        <w:t>nommés par le conseil de surveillance</w:t>
      </w:r>
      <w:r>
        <w:rPr>
          <w:i/>
        </w:rPr>
        <w:t xml:space="preserve">. </w:t>
      </w:r>
    </w:p>
    <w:p w:rsidR="00A407B0" w:rsidRDefault="00A407B0">
      <w:pPr>
        <w:jc w:val="both"/>
        <w:rPr>
          <w:i/>
        </w:rPr>
      </w:pPr>
      <w:r>
        <w:rPr>
          <w:i/>
        </w:rPr>
        <w:t xml:space="preserve">Ce sont obligatoirement des </w:t>
      </w:r>
      <w:r>
        <w:rPr>
          <w:i/>
          <w:u w:val="single"/>
        </w:rPr>
        <w:t>personnes physiques</w:t>
      </w:r>
      <w:r>
        <w:rPr>
          <w:i/>
        </w:rPr>
        <w:t xml:space="preserve">, </w:t>
      </w:r>
      <w:r>
        <w:rPr>
          <w:i/>
          <w:u w:val="single"/>
        </w:rPr>
        <w:t>actionnaires ou non</w:t>
      </w:r>
      <w:r>
        <w:rPr>
          <w:i/>
        </w:rPr>
        <w:t xml:space="preserve">, </w:t>
      </w:r>
      <w:r>
        <w:rPr>
          <w:i/>
          <w:u w:val="single"/>
        </w:rPr>
        <w:t>non frappés d’incompatibilité, d’interdiction de gérer ou de déchéance</w:t>
      </w:r>
      <w:r>
        <w:rPr>
          <w:i/>
        </w:rPr>
        <w:t xml:space="preserve">. </w:t>
      </w:r>
    </w:p>
    <w:p w:rsidR="00A407B0" w:rsidRDefault="00A407B0">
      <w:pPr>
        <w:jc w:val="both"/>
        <w:rPr>
          <w:i/>
        </w:rPr>
      </w:pPr>
      <w:r>
        <w:rPr>
          <w:i/>
        </w:rPr>
        <w:t xml:space="preserve">La limite d’âge des membres du directoire est fixée à </w:t>
      </w:r>
      <w:r>
        <w:rPr>
          <w:i/>
          <w:u w:val="single"/>
        </w:rPr>
        <w:t>65 ans</w:t>
      </w:r>
      <w:r>
        <w:rPr>
          <w:i/>
        </w:rPr>
        <w:t xml:space="preserve">, </w:t>
      </w:r>
      <w:r>
        <w:rPr>
          <w:i/>
          <w:u w:val="single"/>
        </w:rPr>
        <w:t>à défaut de clause statutaire contraire</w:t>
      </w:r>
      <w:r>
        <w:rPr>
          <w:i/>
        </w:rPr>
        <w:t>.</w:t>
      </w:r>
    </w:p>
    <w:p w:rsidR="00A407B0" w:rsidRDefault="00A407B0">
      <w:pPr>
        <w:jc w:val="both"/>
        <w:rPr>
          <w:i/>
        </w:rPr>
      </w:pPr>
    </w:p>
    <w:p w:rsidR="00A407B0" w:rsidRDefault="00A407B0">
      <w:pPr>
        <w:jc w:val="both"/>
        <w:rPr>
          <w:i/>
        </w:rPr>
      </w:pPr>
      <w:r>
        <w:rPr>
          <w:i/>
        </w:rPr>
        <w:t xml:space="preserve">Une même personne </w:t>
      </w:r>
      <w:r>
        <w:rPr>
          <w:i/>
          <w:u w:val="single"/>
        </w:rPr>
        <w:t>ne peut être à la fois</w:t>
      </w:r>
      <w:r>
        <w:rPr>
          <w:i/>
        </w:rPr>
        <w:t xml:space="preserve"> membre du directoire et membre du conseil de surveillance dans la même société.</w:t>
      </w:r>
    </w:p>
    <w:p w:rsidR="00A407B0" w:rsidRDefault="00A407B0">
      <w:pPr>
        <w:jc w:val="both"/>
        <w:rPr>
          <w:i/>
        </w:rPr>
      </w:pPr>
    </w:p>
    <w:p w:rsidR="00A407B0" w:rsidRDefault="00A407B0">
      <w:pPr>
        <w:jc w:val="both"/>
        <w:rPr>
          <w:i/>
        </w:rPr>
      </w:pPr>
      <w:r>
        <w:rPr>
          <w:i/>
        </w:rPr>
        <w:t xml:space="preserve">Le </w:t>
      </w:r>
      <w:r>
        <w:rPr>
          <w:i/>
          <w:u w:val="single"/>
        </w:rPr>
        <w:t>nombre total de mandats</w:t>
      </w:r>
      <w:r>
        <w:rPr>
          <w:i/>
        </w:rPr>
        <w:t xml:space="preserve"> détenus par une personne physique dans des SA ayant leur siège social sur le territoire français est limité à </w:t>
      </w:r>
      <w:r>
        <w:rPr>
          <w:i/>
          <w:u w:val="single"/>
        </w:rPr>
        <w:t>cinq</w:t>
      </w:r>
      <w:r>
        <w:rPr>
          <w:i/>
        </w:rPr>
        <w:t xml:space="preserve"> (tous mandats confondus ; notamment membre du conseil de surveillance, administrateur).</w:t>
      </w:r>
    </w:p>
    <w:p w:rsidR="00A407B0" w:rsidRDefault="00A407B0">
      <w:pPr>
        <w:jc w:val="both"/>
        <w:rPr>
          <w:i/>
        </w:rPr>
      </w:pPr>
    </w:p>
    <w:p w:rsidR="00A407B0" w:rsidRDefault="00A407B0">
      <w:pPr>
        <w:jc w:val="both"/>
        <w:rPr>
          <w:b/>
          <w:i/>
        </w:rPr>
      </w:pPr>
      <w:r>
        <w:rPr>
          <w:b/>
          <w:i/>
        </w:rPr>
        <w:t xml:space="preserve">Application </w:t>
      </w:r>
    </w:p>
    <w:p w:rsidR="00A407B0" w:rsidRDefault="00A407B0">
      <w:pPr>
        <w:jc w:val="both"/>
        <w:rPr>
          <w:i/>
        </w:rPr>
      </w:pPr>
      <w:r>
        <w:rPr>
          <w:i/>
        </w:rPr>
        <w:t xml:space="preserve">M. Hubert semble remplir toutes les conditions pour pouvoir faire partie du directoire. </w:t>
      </w:r>
    </w:p>
    <w:p w:rsidR="00A407B0" w:rsidRDefault="00A407B0">
      <w:pPr>
        <w:jc w:val="both"/>
        <w:rPr>
          <w:i/>
        </w:rPr>
      </w:pPr>
      <w:r>
        <w:rPr>
          <w:i/>
        </w:rPr>
        <w:t xml:space="preserve">Son mandat d’administrateur dans une SA ne fait pas obstacle à son éventuel mandat de membre du directoire de la société Essentials. </w:t>
      </w:r>
    </w:p>
    <w:p w:rsidR="00A407B0" w:rsidRDefault="00A407B0">
      <w:pPr>
        <w:jc w:val="both"/>
        <w:rPr>
          <w:b/>
          <w:i/>
        </w:rPr>
      </w:pPr>
      <w:r>
        <w:rPr>
          <w:i/>
        </w:rPr>
        <w:t>Ayant 62 ans, M. Hubert n’est pas atteint par la limite d’âge.</w:t>
      </w:r>
    </w:p>
    <w:p w:rsidR="00A407B0" w:rsidRDefault="00A407B0">
      <w:pPr>
        <w:jc w:val="both"/>
        <w:rPr>
          <w:b/>
          <w:i/>
        </w:rPr>
      </w:pPr>
    </w:p>
    <w:p w:rsidR="00C554AD" w:rsidRDefault="00C554AD">
      <w:pPr>
        <w:jc w:val="center"/>
        <w:rPr>
          <w:b/>
          <w:u w:val="single"/>
        </w:rPr>
      </w:pPr>
    </w:p>
    <w:p w:rsidR="00C554AD" w:rsidRDefault="00C554AD">
      <w:pPr>
        <w:jc w:val="center"/>
        <w:rPr>
          <w:b/>
          <w:u w:val="single"/>
        </w:rPr>
      </w:pPr>
      <w:r>
        <w:rPr>
          <w:b/>
          <w:u w:val="single"/>
        </w:rPr>
        <w:t xml:space="preserve">DOSSIER 2 </w:t>
      </w:r>
    </w:p>
    <w:p w:rsidR="00C554AD" w:rsidRDefault="00C554AD">
      <w:pPr>
        <w:jc w:val="both"/>
        <w:rPr>
          <w:b/>
        </w:rPr>
      </w:pPr>
    </w:p>
    <w:p w:rsidR="00A407B0" w:rsidRPr="00A407B0" w:rsidRDefault="00A407B0">
      <w:pPr>
        <w:jc w:val="both"/>
        <w:rPr>
          <w:b/>
          <w:i/>
        </w:rPr>
      </w:pPr>
      <w:r w:rsidRPr="00A407B0">
        <w:rPr>
          <w:b/>
          <w:i/>
        </w:rPr>
        <w:t>2.1 Cumul d’un contrat de travail et d’un mandat de membre du conseil de surveillance</w:t>
      </w:r>
    </w:p>
    <w:p w:rsidR="00A407B0" w:rsidRDefault="00A407B0">
      <w:pPr>
        <w:jc w:val="both"/>
        <w:rPr>
          <w:b/>
        </w:rPr>
      </w:pPr>
    </w:p>
    <w:p w:rsidR="00A407B0" w:rsidRDefault="00A407B0">
      <w:pPr>
        <w:jc w:val="both"/>
        <w:rPr>
          <w:b/>
        </w:rPr>
      </w:pPr>
      <w:r>
        <w:rPr>
          <w:b/>
        </w:rPr>
        <w:t>Principe</w:t>
      </w:r>
    </w:p>
    <w:p w:rsidR="00A407B0" w:rsidRDefault="00A407B0">
      <w:pPr>
        <w:jc w:val="both"/>
      </w:pPr>
      <w:r>
        <w:t xml:space="preserve">Un membre du conseil de surveillance </w:t>
      </w:r>
      <w:r>
        <w:rPr>
          <w:u w:val="single"/>
        </w:rPr>
        <w:t>peut cumuler</w:t>
      </w:r>
      <w:r>
        <w:t xml:space="preserve"> un contrat de travail et un mandat social </w:t>
      </w:r>
      <w:r>
        <w:rPr>
          <w:u w:val="single"/>
        </w:rPr>
        <w:t>dans une même société</w:t>
      </w:r>
      <w:r>
        <w:t>.</w:t>
      </w:r>
    </w:p>
    <w:p w:rsidR="00A407B0" w:rsidRDefault="00A407B0">
      <w:pPr>
        <w:jc w:val="both"/>
      </w:pPr>
      <w:r>
        <w:lastRenderedPageBreak/>
        <w:t xml:space="preserve">Le contrat de travail doit correspondre à un </w:t>
      </w:r>
      <w:r>
        <w:rPr>
          <w:u w:val="single"/>
        </w:rPr>
        <w:t>travail effectif</w:t>
      </w:r>
      <w:r>
        <w:t>.</w:t>
      </w:r>
    </w:p>
    <w:p w:rsidR="00A407B0" w:rsidRDefault="00A407B0">
      <w:pPr>
        <w:jc w:val="both"/>
      </w:pPr>
      <w:r>
        <w:t xml:space="preserve">Il doit être </w:t>
      </w:r>
      <w:r>
        <w:rPr>
          <w:u w:val="single"/>
        </w:rPr>
        <w:t>distinct</w:t>
      </w:r>
      <w:r>
        <w:t xml:space="preserve"> des fonctions de membre du conseil de surveillance. </w:t>
      </w:r>
    </w:p>
    <w:p w:rsidR="00A407B0" w:rsidRDefault="00A407B0">
      <w:pPr>
        <w:jc w:val="both"/>
      </w:pPr>
      <w:r>
        <w:t xml:space="preserve">Pour ces fonctions techniques, la personne doit être placée dans un état de </w:t>
      </w:r>
      <w:r>
        <w:rPr>
          <w:u w:val="single"/>
        </w:rPr>
        <w:t>subordination juridique</w:t>
      </w:r>
      <w:r>
        <w:t xml:space="preserve"> à l’égard de la société.</w:t>
      </w:r>
    </w:p>
    <w:p w:rsidR="00A407B0" w:rsidRDefault="00A407B0">
      <w:pPr>
        <w:jc w:val="both"/>
      </w:pPr>
      <w:r>
        <w:t xml:space="preserve">Le nombre des membres du conseil de surveillance liés à la société par un contrat de travail ne peut pas dépasser le </w:t>
      </w:r>
      <w:r>
        <w:rPr>
          <w:u w:val="single"/>
        </w:rPr>
        <w:t>tiers</w:t>
      </w:r>
      <w:r>
        <w:t xml:space="preserve"> des membres en fonction.</w:t>
      </w:r>
    </w:p>
    <w:p w:rsidR="00A407B0" w:rsidRDefault="00A407B0">
      <w:pPr>
        <w:jc w:val="both"/>
        <w:rPr>
          <w:b/>
        </w:rPr>
      </w:pPr>
    </w:p>
    <w:p w:rsidR="00A407B0" w:rsidRDefault="00A407B0">
      <w:pPr>
        <w:jc w:val="both"/>
        <w:rPr>
          <w:b/>
        </w:rPr>
      </w:pPr>
      <w:r>
        <w:rPr>
          <w:b/>
        </w:rPr>
        <w:t xml:space="preserve">Application </w:t>
      </w:r>
    </w:p>
    <w:p w:rsidR="00A407B0" w:rsidRDefault="00A407B0">
      <w:pPr>
        <w:jc w:val="both"/>
      </w:pPr>
      <w:r>
        <w:t>En l’espèce, Mme Reichart peut cumuler un contrat de travail en tant qu’ingénieur chimiste avec son mandat de membre du conseil de surveillance, ces deux fonctions étant distinctes.</w:t>
      </w:r>
    </w:p>
    <w:p w:rsidR="00A407B0" w:rsidRDefault="00A407B0">
      <w:pPr>
        <w:jc w:val="both"/>
      </w:pPr>
      <w:r>
        <w:t>Il ne semble pas qu’un autre membre du conseil de surveillance soit titulaire d’un contrat de travail.</w:t>
      </w:r>
    </w:p>
    <w:p w:rsidR="00A407B0" w:rsidRDefault="00A407B0">
      <w:pPr>
        <w:jc w:val="both"/>
      </w:pPr>
    </w:p>
    <w:p w:rsidR="00A407B0" w:rsidRPr="00A407B0" w:rsidRDefault="00A407B0">
      <w:pPr>
        <w:jc w:val="both"/>
        <w:rPr>
          <w:b/>
          <w:i/>
        </w:rPr>
      </w:pPr>
      <w:r w:rsidRPr="00A407B0">
        <w:rPr>
          <w:b/>
          <w:i/>
        </w:rPr>
        <w:t xml:space="preserve">2.2 La procédure à suivre pour la conclusion d’un contrat de travail avec un membre du conseil de surveillance </w:t>
      </w:r>
    </w:p>
    <w:p w:rsidR="00A407B0" w:rsidRDefault="00A407B0">
      <w:pPr>
        <w:jc w:val="both"/>
        <w:rPr>
          <w:b/>
        </w:rPr>
      </w:pPr>
    </w:p>
    <w:p w:rsidR="00A407B0" w:rsidRDefault="00A407B0">
      <w:pPr>
        <w:jc w:val="both"/>
        <w:rPr>
          <w:b/>
        </w:rPr>
      </w:pPr>
      <w:r>
        <w:rPr>
          <w:b/>
        </w:rPr>
        <w:t xml:space="preserve">Principe : </w:t>
      </w:r>
    </w:p>
    <w:p w:rsidR="00A407B0" w:rsidRDefault="00A407B0">
      <w:pPr>
        <w:jc w:val="both"/>
      </w:pPr>
      <w:r>
        <w:t xml:space="preserve">Toute convention intervenant entre une société et l’un des membres du conseil de surveillance est une </w:t>
      </w:r>
      <w:r>
        <w:rPr>
          <w:u w:val="single"/>
        </w:rPr>
        <w:t>convention réglementée</w:t>
      </w:r>
      <w:r>
        <w:t>. Elle est soumise à une procédure particulière.</w:t>
      </w:r>
    </w:p>
    <w:p w:rsidR="00A407B0" w:rsidRDefault="00A407B0">
      <w:pPr>
        <w:numPr>
          <w:ilvl w:val="0"/>
          <w:numId w:val="4"/>
        </w:numPr>
        <w:jc w:val="both"/>
      </w:pPr>
      <w:r>
        <w:t xml:space="preserve">Rôle du </w:t>
      </w:r>
      <w:r>
        <w:rPr>
          <w:u w:val="single"/>
        </w:rPr>
        <w:t>conseil de surveillance (CS)</w:t>
      </w:r>
      <w:r>
        <w:t> :</w:t>
      </w:r>
    </w:p>
    <w:p w:rsidR="00A407B0" w:rsidRDefault="00A407B0">
      <w:pPr>
        <w:numPr>
          <w:ilvl w:val="0"/>
          <w:numId w:val="5"/>
        </w:numPr>
        <w:jc w:val="both"/>
      </w:pPr>
      <w:r>
        <w:t>l’intéressé informe le conseil de surveillance dès qu’il sait que la convention qu’il va conclure est une convention réglementée ;</w:t>
      </w:r>
    </w:p>
    <w:p w:rsidR="00A407B0" w:rsidRDefault="00A407B0">
      <w:pPr>
        <w:numPr>
          <w:ilvl w:val="0"/>
          <w:numId w:val="5"/>
        </w:numPr>
        <w:jc w:val="both"/>
      </w:pPr>
      <w:r>
        <w:t xml:space="preserve">le CS </w:t>
      </w:r>
      <w:r>
        <w:rPr>
          <w:u w:val="single"/>
        </w:rPr>
        <w:t>statue</w:t>
      </w:r>
      <w:r>
        <w:t xml:space="preserve"> sur l’autorisation sollicitée par l’intéressé ;</w:t>
      </w:r>
    </w:p>
    <w:p w:rsidR="00A407B0" w:rsidRDefault="00A407B0">
      <w:pPr>
        <w:numPr>
          <w:ilvl w:val="0"/>
          <w:numId w:val="5"/>
        </w:numPr>
        <w:jc w:val="both"/>
      </w:pPr>
      <w:r>
        <w:t>le membre du CS intéressé par la convention ne prend pas part au vote.</w:t>
      </w:r>
    </w:p>
    <w:p w:rsidR="00A407B0" w:rsidRDefault="00A407B0">
      <w:pPr>
        <w:ind w:left="360"/>
        <w:jc w:val="both"/>
      </w:pPr>
    </w:p>
    <w:p w:rsidR="00A407B0" w:rsidRDefault="00A407B0">
      <w:pPr>
        <w:numPr>
          <w:ilvl w:val="3"/>
          <w:numId w:val="5"/>
        </w:numPr>
        <w:tabs>
          <w:tab w:val="left" w:pos="570"/>
        </w:tabs>
        <w:ind w:hanging="2520"/>
        <w:jc w:val="both"/>
      </w:pPr>
      <w:r>
        <w:t xml:space="preserve">   Rôle du </w:t>
      </w:r>
      <w:r>
        <w:rPr>
          <w:u w:val="single"/>
        </w:rPr>
        <w:t>commissaire aux comptes</w:t>
      </w:r>
      <w:r>
        <w:t xml:space="preserve"> (CAC) :</w:t>
      </w:r>
    </w:p>
    <w:p w:rsidR="00A407B0" w:rsidRDefault="00A407B0">
      <w:pPr>
        <w:numPr>
          <w:ilvl w:val="0"/>
          <w:numId w:val="5"/>
        </w:numPr>
        <w:tabs>
          <w:tab w:val="left" w:pos="570"/>
        </w:tabs>
        <w:jc w:val="both"/>
      </w:pPr>
      <w:r>
        <w:t xml:space="preserve">   le CAC est informé de la convention par le président du CS ;</w:t>
      </w:r>
    </w:p>
    <w:p w:rsidR="00A407B0" w:rsidRDefault="00A407B0">
      <w:pPr>
        <w:numPr>
          <w:ilvl w:val="0"/>
          <w:numId w:val="5"/>
        </w:numPr>
        <w:tabs>
          <w:tab w:val="left" w:pos="570"/>
        </w:tabs>
        <w:jc w:val="both"/>
      </w:pPr>
      <w:r>
        <w:t xml:space="preserve">   le CAC présente à l’AG ordinaire un </w:t>
      </w:r>
      <w:r>
        <w:rPr>
          <w:u w:val="single"/>
        </w:rPr>
        <w:t>rapport spécial</w:t>
      </w:r>
      <w:r>
        <w:t xml:space="preserve"> sur les conventions réglementées.</w:t>
      </w:r>
    </w:p>
    <w:p w:rsidR="00A407B0" w:rsidRDefault="00A407B0">
      <w:pPr>
        <w:tabs>
          <w:tab w:val="left" w:pos="570"/>
        </w:tabs>
        <w:ind w:left="360"/>
        <w:jc w:val="both"/>
      </w:pPr>
    </w:p>
    <w:p w:rsidR="00A407B0" w:rsidRDefault="00A407B0">
      <w:pPr>
        <w:numPr>
          <w:ilvl w:val="0"/>
          <w:numId w:val="4"/>
        </w:numPr>
        <w:jc w:val="both"/>
      </w:pPr>
      <w:r>
        <w:t xml:space="preserve">Rôle de </w:t>
      </w:r>
      <w:r>
        <w:rPr>
          <w:u w:val="single"/>
        </w:rPr>
        <w:t>l’assemblée générale</w:t>
      </w:r>
      <w:r>
        <w:t xml:space="preserve"> (AG) :</w:t>
      </w:r>
    </w:p>
    <w:p w:rsidR="00A407B0" w:rsidRDefault="00A407B0">
      <w:pPr>
        <w:numPr>
          <w:ilvl w:val="0"/>
          <w:numId w:val="5"/>
        </w:numPr>
        <w:jc w:val="both"/>
      </w:pPr>
      <w:r>
        <w:t>l’AG prend connaissance du rapport spécial du CAC ;</w:t>
      </w:r>
    </w:p>
    <w:p w:rsidR="00A407B0" w:rsidRDefault="00A407B0">
      <w:pPr>
        <w:numPr>
          <w:ilvl w:val="0"/>
          <w:numId w:val="5"/>
        </w:numPr>
        <w:jc w:val="both"/>
      </w:pPr>
      <w:r>
        <w:t xml:space="preserve">l’AG </w:t>
      </w:r>
      <w:r>
        <w:rPr>
          <w:u w:val="single"/>
        </w:rPr>
        <w:t>statue</w:t>
      </w:r>
      <w:r>
        <w:t xml:space="preserve"> sur les conventions ;</w:t>
      </w:r>
    </w:p>
    <w:p w:rsidR="00A407B0" w:rsidRDefault="00A407B0">
      <w:pPr>
        <w:numPr>
          <w:ilvl w:val="0"/>
          <w:numId w:val="5"/>
        </w:numPr>
        <w:jc w:val="both"/>
      </w:pPr>
      <w:r>
        <w:t xml:space="preserve">le membre du CS, s’il est actionnaire, ne prend pas part au vote. </w:t>
      </w:r>
    </w:p>
    <w:p w:rsidR="00A407B0" w:rsidRDefault="00A407B0">
      <w:pPr>
        <w:jc w:val="both"/>
        <w:rPr>
          <w:b/>
        </w:rPr>
      </w:pPr>
    </w:p>
    <w:p w:rsidR="00C554AD" w:rsidRDefault="00C554AD">
      <w:pPr>
        <w:jc w:val="center"/>
        <w:rPr>
          <w:b/>
          <w:u w:val="single"/>
        </w:rPr>
      </w:pPr>
      <w:r>
        <w:rPr>
          <w:b/>
          <w:u w:val="single"/>
        </w:rPr>
        <w:t xml:space="preserve">DOSSIER 3 </w:t>
      </w:r>
    </w:p>
    <w:p w:rsidR="00C554AD" w:rsidRDefault="00C554AD">
      <w:pPr>
        <w:jc w:val="both"/>
      </w:pPr>
    </w:p>
    <w:p w:rsidR="00A407B0" w:rsidRPr="00A407B0" w:rsidRDefault="00A407B0">
      <w:pPr>
        <w:jc w:val="both"/>
        <w:rPr>
          <w:b/>
          <w:i/>
        </w:rPr>
      </w:pPr>
      <w:r w:rsidRPr="00A407B0">
        <w:rPr>
          <w:b/>
          <w:i/>
        </w:rPr>
        <w:t xml:space="preserve">3.1 Caractéristiques des actions de préférence </w:t>
      </w:r>
    </w:p>
    <w:p w:rsidR="00A407B0" w:rsidRDefault="00A407B0">
      <w:pPr>
        <w:jc w:val="both"/>
        <w:rPr>
          <w:b/>
        </w:rPr>
      </w:pPr>
    </w:p>
    <w:p w:rsidR="00A407B0" w:rsidRDefault="00A407B0">
      <w:pPr>
        <w:jc w:val="both"/>
      </w:pPr>
      <w:r>
        <w:t xml:space="preserve">Lors de la </w:t>
      </w:r>
      <w:r>
        <w:rPr>
          <w:u w:val="single"/>
        </w:rPr>
        <w:t>constitution</w:t>
      </w:r>
      <w:r>
        <w:t xml:space="preserve"> de la société (dans les statuts) ou au cours de son </w:t>
      </w:r>
      <w:r>
        <w:rPr>
          <w:u w:val="single"/>
        </w:rPr>
        <w:t>existence</w:t>
      </w:r>
      <w:r>
        <w:t xml:space="preserve"> (par l’assemblée générale extraordinaire), il peut être créé des actions de préférence, </w:t>
      </w:r>
      <w:r>
        <w:rPr>
          <w:u w:val="single"/>
        </w:rPr>
        <w:t>avec ou sans droit de vote</w:t>
      </w:r>
      <w:r>
        <w:t xml:space="preserve">, assorties de </w:t>
      </w:r>
      <w:r>
        <w:rPr>
          <w:u w:val="single"/>
        </w:rPr>
        <w:t>droits particuliers</w:t>
      </w:r>
      <w:r>
        <w:t xml:space="preserve"> de toute nature par rapport aux autres actions, </w:t>
      </w:r>
      <w:r>
        <w:rPr>
          <w:u w:val="single"/>
        </w:rPr>
        <w:t>à titre temporaire ou permanent</w:t>
      </w:r>
      <w:r>
        <w:t xml:space="preserve">. </w:t>
      </w:r>
    </w:p>
    <w:p w:rsidR="00A407B0" w:rsidRDefault="00A407B0">
      <w:pPr>
        <w:jc w:val="both"/>
        <w:rPr>
          <w:b/>
        </w:rPr>
      </w:pPr>
      <w:r>
        <w:t xml:space="preserve">Ces préférences peuvent être </w:t>
      </w:r>
      <w:r>
        <w:rPr>
          <w:u w:val="single"/>
        </w:rPr>
        <w:t>financières</w:t>
      </w:r>
      <w:r>
        <w:t xml:space="preserve"> ou bien </w:t>
      </w:r>
      <w:r>
        <w:rPr>
          <w:u w:val="single"/>
        </w:rPr>
        <w:t>non financières</w:t>
      </w:r>
      <w:r>
        <w:t>.</w:t>
      </w:r>
    </w:p>
    <w:p w:rsidR="00A407B0" w:rsidRDefault="00A407B0">
      <w:pPr>
        <w:jc w:val="both"/>
      </w:pPr>
    </w:p>
    <w:p w:rsidR="00A407B0" w:rsidRPr="00A407B0" w:rsidRDefault="00A407B0">
      <w:pPr>
        <w:jc w:val="both"/>
        <w:rPr>
          <w:b/>
          <w:i/>
        </w:rPr>
      </w:pPr>
      <w:r w:rsidRPr="00A407B0">
        <w:rPr>
          <w:b/>
          <w:i/>
        </w:rPr>
        <w:t>3.2</w:t>
      </w:r>
      <w:r w:rsidRPr="00A407B0">
        <w:rPr>
          <w:i/>
        </w:rPr>
        <w:t xml:space="preserve">. </w:t>
      </w:r>
      <w:r w:rsidRPr="00A407B0">
        <w:rPr>
          <w:b/>
          <w:i/>
        </w:rPr>
        <w:t>Emission d’actions de préférence</w:t>
      </w:r>
    </w:p>
    <w:p w:rsidR="00A407B0" w:rsidRDefault="00A407B0">
      <w:pPr>
        <w:jc w:val="both"/>
      </w:pPr>
    </w:p>
    <w:p w:rsidR="00A407B0" w:rsidRDefault="00A407B0">
      <w:pPr>
        <w:jc w:val="both"/>
      </w:pPr>
      <w:r>
        <w:t xml:space="preserve">Les dirigeants souhaitent que les actionnaires s’investissent sur le long terme. </w:t>
      </w:r>
    </w:p>
    <w:p w:rsidR="00A407B0" w:rsidRDefault="00A407B0">
      <w:pPr>
        <w:jc w:val="both"/>
      </w:pPr>
      <w:r>
        <w:t xml:space="preserve">A cette fin, et au regard des motivations des actionnaires, certains pourront être intéressés par </w:t>
      </w:r>
      <w:r>
        <w:rPr>
          <w:u w:val="single"/>
        </w:rPr>
        <w:t>davantage de droits politiques</w:t>
      </w:r>
      <w:r>
        <w:t xml:space="preserve"> (ex : droit de vote plural, plus d’informations sur la situation de la société...) ; d’autres préfèreront </w:t>
      </w:r>
      <w:r>
        <w:rPr>
          <w:u w:val="single"/>
        </w:rPr>
        <w:t>davantage de droits pécuniaires</w:t>
      </w:r>
      <w:r>
        <w:t xml:space="preserve"> (ex : attribution d’un dividende prioritaire, droit plus important dans le boni de liquidation). </w:t>
      </w:r>
    </w:p>
    <w:p w:rsidR="00A407B0" w:rsidRDefault="00A407B0">
      <w:pPr>
        <w:jc w:val="both"/>
      </w:pPr>
    </w:p>
    <w:p w:rsidR="00A407B0" w:rsidRPr="00A407B0" w:rsidRDefault="00A407B0">
      <w:pPr>
        <w:jc w:val="both"/>
        <w:rPr>
          <w:b/>
          <w:i/>
        </w:rPr>
      </w:pPr>
      <w:r w:rsidRPr="00A407B0">
        <w:rPr>
          <w:b/>
          <w:i/>
        </w:rPr>
        <w:t xml:space="preserve">3.3 Organe compétent pour décider d’une augmentation de capital. </w:t>
      </w:r>
    </w:p>
    <w:p w:rsidR="00A407B0" w:rsidRDefault="00A407B0">
      <w:pPr>
        <w:jc w:val="both"/>
        <w:rPr>
          <w:b/>
        </w:rPr>
      </w:pPr>
    </w:p>
    <w:p w:rsidR="00A407B0" w:rsidRDefault="00A407B0">
      <w:pPr>
        <w:jc w:val="both"/>
      </w:pPr>
      <w:r>
        <w:t>L’</w:t>
      </w:r>
      <w:r>
        <w:rPr>
          <w:u w:val="single"/>
        </w:rPr>
        <w:t>AGE</w:t>
      </w:r>
      <w:r>
        <w:t xml:space="preserve"> est, en principe l’organe compétent pour décider d’une augmentation de capital.</w:t>
      </w:r>
    </w:p>
    <w:p w:rsidR="00A407B0" w:rsidRDefault="00A407B0">
      <w:pPr>
        <w:jc w:val="both"/>
      </w:pPr>
      <w:r>
        <w:t xml:space="preserve">Par exception, l’AGE peut donner </w:t>
      </w:r>
      <w:r>
        <w:rPr>
          <w:u w:val="single"/>
        </w:rPr>
        <w:t>au directoire</w:t>
      </w:r>
      <w:r>
        <w:t xml:space="preserve"> une </w:t>
      </w:r>
      <w:r>
        <w:rPr>
          <w:u w:val="single"/>
        </w:rPr>
        <w:t>délégation</w:t>
      </w:r>
      <w:r>
        <w:t xml:space="preserve"> pour décider d’une augmentation de capital.</w:t>
      </w:r>
    </w:p>
    <w:p w:rsidR="00A407B0" w:rsidRDefault="00A407B0">
      <w:pPr>
        <w:jc w:val="both"/>
        <w:rPr>
          <w:b/>
        </w:rPr>
      </w:pPr>
    </w:p>
    <w:p w:rsidR="00A407B0" w:rsidRPr="00A407B0" w:rsidRDefault="00A407B0">
      <w:pPr>
        <w:jc w:val="both"/>
        <w:rPr>
          <w:b/>
          <w:i/>
        </w:rPr>
      </w:pPr>
      <w:r w:rsidRPr="00A407B0">
        <w:rPr>
          <w:b/>
          <w:i/>
        </w:rPr>
        <w:t xml:space="preserve">3.4. L’expertise de gestion </w:t>
      </w:r>
    </w:p>
    <w:p w:rsidR="00A407B0" w:rsidRDefault="00A407B0">
      <w:pPr>
        <w:jc w:val="both"/>
        <w:rPr>
          <w:b/>
        </w:rPr>
      </w:pPr>
    </w:p>
    <w:p w:rsidR="00A407B0" w:rsidRDefault="00A407B0">
      <w:pPr>
        <w:jc w:val="both"/>
      </w:pPr>
      <w:r>
        <w:rPr>
          <w:b/>
        </w:rPr>
        <w:t>Principe :</w:t>
      </w:r>
      <w:r>
        <w:t xml:space="preserve"> </w:t>
      </w:r>
    </w:p>
    <w:p w:rsidR="00A407B0" w:rsidRDefault="00A407B0">
      <w:pPr>
        <w:jc w:val="both"/>
      </w:pPr>
      <w:r>
        <w:t xml:space="preserve">Un ou plusieurs actionnaires représentant </w:t>
      </w:r>
      <w:r>
        <w:rPr>
          <w:u w:val="single"/>
        </w:rPr>
        <w:t>au moins 5 % du capital social</w:t>
      </w:r>
      <w:r>
        <w:t xml:space="preserve"> de la SA, peuvent, </w:t>
      </w:r>
      <w:r>
        <w:rPr>
          <w:u w:val="single"/>
        </w:rPr>
        <w:t>soit individuellement, soit en se groupant</w:t>
      </w:r>
      <w:r>
        <w:t xml:space="preserve">, poser par </w:t>
      </w:r>
      <w:r>
        <w:rPr>
          <w:u w:val="single"/>
        </w:rPr>
        <w:t>écrit</w:t>
      </w:r>
      <w:r>
        <w:t xml:space="preserve"> au directoire des questions sur une ou plusieurs </w:t>
      </w:r>
      <w:r>
        <w:rPr>
          <w:u w:val="single"/>
        </w:rPr>
        <w:t>opérations de gestion</w:t>
      </w:r>
      <w:r>
        <w:t xml:space="preserve"> de la société.</w:t>
      </w:r>
    </w:p>
    <w:p w:rsidR="00A407B0" w:rsidRDefault="00A407B0">
      <w:pPr>
        <w:jc w:val="both"/>
      </w:pPr>
      <w:r>
        <w:t xml:space="preserve">La question et la réponse sont communiquées au </w:t>
      </w:r>
      <w:r>
        <w:rPr>
          <w:u w:val="single"/>
        </w:rPr>
        <w:t>commissaire aux comptes</w:t>
      </w:r>
      <w:r>
        <w:t xml:space="preserve">. </w:t>
      </w:r>
    </w:p>
    <w:p w:rsidR="00A407B0" w:rsidRDefault="00A407B0">
      <w:pPr>
        <w:jc w:val="both"/>
      </w:pPr>
    </w:p>
    <w:p w:rsidR="00A407B0" w:rsidRDefault="00A407B0">
      <w:pPr>
        <w:jc w:val="both"/>
      </w:pPr>
      <w:r>
        <w:t xml:space="preserve">Si dans le délai d’un mois, aucune réponse n’est donnée, ou si elle est insuffisante, les actionnaires pourront demander en </w:t>
      </w:r>
      <w:r>
        <w:rPr>
          <w:u w:val="single"/>
        </w:rPr>
        <w:t>référé</w:t>
      </w:r>
      <w:r>
        <w:t xml:space="preserve"> au </w:t>
      </w:r>
      <w:r>
        <w:rPr>
          <w:u w:val="single"/>
        </w:rPr>
        <w:t>président du tribunal de commerce</w:t>
      </w:r>
      <w:r>
        <w:t xml:space="preserve"> la </w:t>
      </w:r>
      <w:r>
        <w:rPr>
          <w:u w:val="single"/>
        </w:rPr>
        <w:t>désignation</w:t>
      </w:r>
      <w:r>
        <w:t xml:space="preserve"> d’un ou plusieurs </w:t>
      </w:r>
      <w:r>
        <w:rPr>
          <w:u w:val="single"/>
        </w:rPr>
        <w:t>experts</w:t>
      </w:r>
      <w:r>
        <w:t xml:space="preserve"> chargés de présenter un rapport sur les opérations de gestion contestées. Ce </w:t>
      </w:r>
      <w:r>
        <w:rPr>
          <w:u w:val="single"/>
        </w:rPr>
        <w:t>rapport</w:t>
      </w:r>
      <w:r>
        <w:t xml:space="preserve"> devra être adressé au(x) demandeur(s).</w:t>
      </w:r>
    </w:p>
    <w:p w:rsidR="00A407B0" w:rsidRDefault="00A407B0">
      <w:pPr>
        <w:jc w:val="both"/>
      </w:pPr>
    </w:p>
    <w:p w:rsidR="00A407B0" w:rsidRDefault="00A407B0">
      <w:pPr>
        <w:jc w:val="both"/>
        <w:rPr>
          <w:b/>
        </w:rPr>
      </w:pPr>
      <w:r>
        <w:rPr>
          <w:b/>
        </w:rPr>
        <w:t xml:space="preserve">Application </w:t>
      </w:r>
    </w:p>
    <w:p w:rsidR="00A407B0" w:rsidRDefault="00A407B0">
      <w:pPr>
        <w:jc w:val="both"/>
      </w:pPr>
      <w:r>
        <w:t xml:space="preserve">Monsieur Dubois détient 7 % du capital. </w:t>
      </w:r>
    </w:p>
    <w:p w:rsidR="00A407B0" w:rsidRDefault="00A407B0">
      <w:pPr>
        <w:jc w:val="both"/>
      </w:pPr>
      <w:r>
        <w:t>L’acquisition du brevet est une opération de gestion. Il peut donc recourir à l’expertise de gestion.</w:t>
      </w:r>
    </w:p>
    <w:p w:rsidR="00A407B0" w:rsidRDefault="00A407B0">
      <w:pPr>
        <w:jc w:val="both"/>
        <w:rPr>
          <w:b/>
        </w:rPr>
      </w:pPr>
    </w:p>
    <w:p w:rsidR="00C554AD" w:rsidRDefault="00C554AD">
      <w:pPr>
        <w:jc w:val="center"/>
        <w:rPr>
          <w:b/>
          <w:u w:val="single"/>
        </w:rPr>
      </w:pPr>
      <w:r>
        <w:rPr>
          <w:b/>
          <w:u w:val="single"/>
        </w:rPr>
        <w:t>DOSSIER 4</w:t>
      </w:r>
    </w:p>
    <w:p w:rsidR="00C554AD" w:rsidRDefault="00C554AD">
      <w:pPr>
        <w:jc w:val="center"/>
        <w:rPr>
          <w:b/>
          <w:u w:val="single"/>
        </w:rPr>
      </w:pPr>
    </w:p>
    <w:p w:rsidR="00A407B0" w:rsidRPr="00A407B0" w:rsidRDefault="00A407B0">
      <w:pPr>
        <w:jc w:val="both"/>
        <w:rPr>
          <w:b/>
          <w:i/>
        </w:rPr>
      </w:pPr>
      <w:r w:rsidRPr="00A407B0">
        <w:rPr>
          <w:b/>
          <w:i/>
        </w:rPr>
        <w:t>4.1. Infractions relevées</w:t>
      </w:r>
    </w:p>
    <w:p w:rsidR="00A407B0" w:rsidRDefault="00A407B0">
      <w:pPr>
        <w:jc w:val="both"/>
        <w:rPr>
          <w:b/>
        </w:rPr>
      </w:pPr>
    </w:p>
    <w:p w:rsidR="00A407B0" w:rsidRDefault="00A407B0">
      <w:pPr>
        <w:jc w:val="both"/>
        <w:rPr>
          <w:b/>
        </w:rPr>
      </w:pPr>
      <w:r>
        <w:rPr>
          <w:b/>
          <w:u w:val="single"/>
        </w:rPr>
        <w:t>Pour la facture relative au voyage à New York</w:t>
      </w:r>
      <w:r>
        <w:rPr>
          <w:b/>
        </w:rPr>
        <w:t> :</w:t>
      </w:r>
    </w:p>
    <w:p w:rsidR="00A407B0" w:rsidRDefault="00A407B0">
      <w:pPr>
        <w:jc w:val="both"/>
        <w:rPr>
          <w:b/>
        </w:rPr>
      </w:pPr>
    </w:p>
    <w:p w:rsidR="00A407B0" w:rsidRDefault="00A407B0">
      <w:pPr>
        <w:jc w:val="both"/>
        <w:rPr>
          <w:b/>
        </w:rPr>
      </w:pPr>
      <w:r>
        <w:rPr>
          <w:b/>
        </w:rPr>
        <w:t>a) délit d’abus de biens sociaux</w:t>
      </w:r>
    </w:p>
    <w:p w:rsidR="00A407B0" w:rsidRDefault="00A407B0">
      <w:pPr>
        <w:jc w:val="both"/>
      </w:pPr>
    </w:p>
    <w:p w:rsidR="00A407B0" w:rsidRDefault="00A407B0">
      <w:pPr>
        <w:jc w:val="both"/>
      </w:pPr>
      <w:r>
        <w:t xml:space="preserve">Il est constitué par : </w:t>
      </w:r>
    </w:p>
    <w:p w:rsidR="00A407B0" w:rsidRDefault="00A407B0">
      <w:pPr>
        <w:numPr>
          <w:ilvl w:val="0"/>
          <w:numId w:val="1"/>
        </w:numPr>
        <w:jc w:val="both"/>
      </w:pPr>
      <w:r>
        <w:t xml:space="preserve">l’élément </w:t>
      </w:r>
      <w:r>
        <w:rPr>
          <w:u w:val="single"/>
        </w:rPr>
        <w:t>légal</w:t>
      </w:r>
      <w:r>
        <w:t> : infraction prévue par l’article L242-30 du code commerce qui prévoit que les membres du conseil de surveillance et les membres du directoire sont punis pénalement s’ils font « de mauvaise foi, des biens ou du crédit de la société, un usage qu’ils savent contraire à l’intérêt de celle-ci, à des fins personnelles ou pour favoriser une autre société ou entreprise dans laquelle ils sont intéressés directement ou indirectement » ;</w:t>
      </w:r>
    </w:p>
    <w:p w:rsidR="00A407B0" w:rsidRDefault="00A407B0">
      <w:pPr>
        <w:ind w:left="360"/>
        <w:jc w:val="both"/>
      </w:pPr>
    </w:p>
    <w:p w:rsidR="00A407B0" w:rsidRDefault="00A407B0">
      <w:pPr>
        <w:numPr>
          <w:ilvl w:val="0"/>
          <w:numId w:val="1"/>
        </w:numPr>
        <w:jc w:val="both"/>
      </w:pPr>
      <w:r>
        <w:t xml:space="preserve">l’élément </w:t>
      </w:r>
      <w:r>
        <w:rPr>
          <w:u w:val="single"/>
        </w:rPr>
        <w:t>matériel</w:t>
      </w:r>
      <w:r>
        <w:t> : usage des biens de la société dans un intérêt contraire à l’intérêt social ;</w:t>
      </w:r>
    </w:p>
    <w:p w:rsidR="00A407B0" w:rsidRDefault="00A407B0">
      <w:pPr>
        <w:jc w:val="both"/>
      </w:pPr>
    </w:p>
    <w:p w:rsidR="00A407B0" w:rsidRDefault="00A407B0">
      <w:pPr>
        <w:numPr>
          <w:ilvl w:val="0"/>
          <w:numId w:val="1"/>
        </w:numPr>
        <w:jc w:val="both"/>
      </w:pPr>
      <w:r>
        <w:t xml:space="preserve">l’élément </w:t>
      </w:r>
      <w:r>
        <w:rPr>
          <w:u w:val="single"/>
        </w:rPr>
        <w:t>moral</w:t>
      </w:r>
      <w:r>
        <w:t> : infraction intentionnelle : les faits sont commis sciemment (de mauvaise foi) à des fins personnelles et dans un intérêt que l’on sait contraire à celui de la société.</w:t>
      </w:r>
    </w:p>
    <w:p w:rsidR="00A407B0" w:rsidRDefault="00A407B0">
      <w:pPr>
        <w:ind w:left="360"/>
        <w:jc w:val="both"/>
      </w:pPr>
    </w:p>
    <w:p w:rsidR="00A407B0" w:rsidRDefault="00A407B0">
      <w:pPr>
        <w:jc w:val="both"/>
        <w:rPr>
          <w:b/>
        </w:rPr>
      </w:pPr>
      <w:r>
        <w:rPr>
          <w:b/>
        </w:rPr>
        <w:t xml:space="preserve">Application </w:t>
      </w:r>
    </w:p>
    <w:p w:rsidR="00A407B0" w:rsidRDefault="00A407B0">
      <w:pPr>
        <w:jc w:val="both"/>
      </w:pPr>
      <w:r>
        <w:t>Monsieur Pilibossian use de son statut et confond sciemment son patrimoine avec le patrimoine de la société : il utilise des biens sociaux pour des dépenses personnelles, ce qui est donc contraire à l’intérêt social (facture au nom de la société pour des dépenses personnelles, en l’occurrence un voyage d’agrément). En tant que dirigeant, il ne peut ignorer son abus ; sa mauvaise foi est donc caractérisée.</w:t>
      </w:r>
    </w:p>
    <w:p w:rsidR="00A407B0" w:rsidRDefault="00A407B0">
      <w:pPr>
        <w:jc w:val="both"/>
        <w:rPr>
          <w:b/>
        </w:rPr>
      </w:pPr>
    </w:p>
    <w:p w:rsidR="00A407B0" w:rsidRDefault="00A407B0">
      <w:pPr>
        <w:jc w:val="both"/>
        <w:rPr>
          <w:b/>
        </w:rPr>
      </w:pPr>
      <w:r>
        <w:rPr>
          <w:b/>
        </w:rPr>
        <w:lastRenderedPageBreak/>
        <w:br w:type="page"/>
      </w:r>
    </w:p>
    <w:p w:rsidR="00A407B0" w:rsidRDefault="00A407B0">
      <w:pPr>
        <w:jc w:val="both"/>
        <w:rPr>
          <w:b/>
        </w:rPr>
      </w:pPr>
      <w:r>
        <w:rPr>
          <w:b/>
        </w:rPr>
        <w:lastRenderedPageBreak/>
        <w:t>b) délit de recel d’abus de biens sociaux</w:t>
      </w:r>
    </w:p>
    <w:p w:rsidR="00A407B0" w:rsidRDefault="00A407B0">
      <w:pPr>
        <w:jc w:val="both"/>
        <w:rPr>
          <w:b/>
        </w:rPr>
      </w:pPr>
    </w:p>
    <w:p w:rsidR="00A407B0" w:rsidRDefault="00A407B0">
      <w:pPr>
        <w:numPr>
          <w:ilvl w:val="0"/>
          <w:numId w:val="1"/>
        </w:numPr>
        <w:jc w:val="both"/>
      </w:pPr>
      <w:r>
        <w:t xml:space="preserve">l’élément </w:t>
      </w:r>
      <w:r>
        <w:rPr>
          <w:u w:val="single"/>
        </w:rPr>
        <w:t>légal</w:t>
      </w:r>
      <w:r>
        <w:t> : infraction prévue par l’article 321-1 du code pénal qui punit celui qui en connaissance de cause, bénéficie par tout moyen, du produit d’un crime ou d’un délit ;</w:t>
      </w:r>
    </w:p>
    <w:p w:rsidR="00A407B0" w:rsidRDefault="00A407B0">
      <w:pPr>
        <w:ind w:left="360"/>
        <w:jc w:val="both"/>
      </w:pPr>
    </w:p>
    <w:p w:rsidR="00A407B0" w:rsidRDefault="00A407B0">
      <w:pPr>
        <w:numPr>
          <w:ilvl w:val="0"/>
          <w:numId w:val="1"/>
        </w:numPr>
        <w:jc w:val="both"/>
      </w:pPr>
      <w:r>
        <w:t xml:space="preserve">l’élément </w:t>
      </w:r>
      <w:r>
        <w:rPr>
          <w:u w:val="single"/>
        </w:rPr>
        <w:t>matériel</w:t>
      </w:r>
      <w:r>
        <w:t> : le receleur bénéficie des fonds provenant de l’abus de biens sociaux (c’est un recel-profit) ;</w:t>
      </w:r>
    </w:p>
    <w:p w:rsidR="00A407B0" w:rsidRDefault="00A407B0">
      <w:pPr>
        <w:jc w:val="both"/>
      </w:pPr>
    </w:p>
    <w:p w:rsidR="00A407B0" w:rsidRDefault="00A407B0">
      <w:pPr>
        <w:numPr>
          <w:ilvl w:val="0"/>
          <w:numId w:val="1"/>
        </w:numPr>
        <w:jc w:val="both"/>
      </w:pPr>
      <w:r>
        <w:t xml:space="preserve">l’élément </w:t>
      </w:r>
      <w:r>
        <w:rPr>
          <w:u w:val="single"/>
        </w:rPr>
        <w:t>moral</w:t>
      </w:r>
      <w:r>
        <w:t> : c’est une infraction intentionnelle : le receleur doit avoir connaissance de l’origine des fonds dont il profite.</w:t>
      </w:r>
    </w:p>
    <w:p w:rsidR="00A407B0" w:rsidRDefault="00A407B0">
      <w:pPr>
        <w:jc w:val="both"/>
        <w:rPr>
          <w:b/>
        </w:rPr>
      </w:pPr>
    </w:p>
    <w:p w:rsidR="00A407B0" w:rsidRDefault="00A407B0">
      <w:pPr>
        <w:jc w:val="both"/>
        <w:rPr>
          <w:b/>
        </w:rPr>
      </w:pPr>
      <w:r>
        <w:rPr>
          <w:b/>
        </w:rPr>
        <w:t xml:space="preserve">Application </w:t>
      </w:r>
    </w:p>
    <w:p w:rsidR="00A407B0" w:rsidRDefault="00A407B0">
      <w:pPr>
        <w:jc w:val="both"/>
      </w:pPr>
      <w:r>
        <w:t>Dans le cadre du voyage d’agrément qu’elle fait avec son mari à New York, Madame Pilibossian profite des fonds provenant de l’abus des biens sociaux commis par son mari. Elle est punissable si elle a connaissance de l’origine délictueuse de ces fonds.</w:t>
      </w:r>
    </w:p>
    <w:p w:rsidR="00A407B0" w:rsidRDefault="00A407B0">
      <w:pPr>
        <w:jc w:val="both"/>
        <w:rPr>
          <w:b/>
        </w:rPr>
      </w:pPr>
    </w:p>
    <w:p w:rsidR="00A407B0" w:rsidRDefault="00A407B0">
      <w:pPr>
        <w:jc w:val="both"/>
        <w:rPr>
          <w:b/>
        </w:rPr>
      </w:pPr>
      <w:r>
        <w:rPr>
          <w:b/>
          <w:u w:val="single"/>
        </w:rPr>
        <w:t>Pour la déclaration de sinistre</w:t>
      </w:r>
      <w:r>
        <w:rPr>
          <w:b/>
        </w:rPr>
        <w:t> :</w:t>
      </w:r>
    </w:p>
    <w:p w:rsidR="00A407B0" w:rsidRDefault="00A407B0">
      <w:pPr>
        <w:jc w:val="both"/>
        <w:rPr>
          <w:b/>
        </w:rPr>
      </w:pPr>
    </w:p>
    <w:p w:rsidR="00A407B0" w:rsidRDefault="00A407B0">
      <w:pPr>
        <w:jc w:val="both"/>
        <w:rPr>
          <w:b/>
        </w:rPr>
      </w:pPr>
      <w:r>
        <w:rPr>
          <w:b/>
        </w:rPr>
        <w:t>Délit de faux et usage de faux</w:t>
      </w:r>
    </w:p>
    <w:p w:rsidR="00A407B0" w:rsidRDefault="00A407B0">
      <w:pPr>
        <w:jc w:val="both"/>
        <w:rPr>
          <w:b/>
        </w:rPr>
      </w:pPr>
    </w:p>
    <w:p w:rsidR="00A407B0" w:rsidRDefault="00A407B0">
      <w:pPr>
        <w:jc w:val="both"/>
      </w:pPr>
      <w:r>
        <w:t xml:space="preserve">Il est constitué par : </w:t>
      </w:r>
    </w:p>
    <w:p w:rsidR="00A407B0" w:rsidRDefault="00A407B0">
      <w:pPr>
        <w:jc w:val="both"/>
      </w:pPr>
      <w:r>
        <w:t xml:space="preserve">-  l’élément </w:t>
      </w:r>
      <w:r>
        <w:rPr>
          <w:u w:val="single"/>
        </w:rPr>
        <w:t>légal</w:t>
      </w:r>
      <w:r>
        <w:t> : infraction prévue par l’article 441-1 du code pénal : aux termes de celui-ci « constitue un faux toute altération frauduleuse de la vérité, de nature à causer un préjudice et accompli par quelque moyen que ce soit dans un écrit ou tout autre support d’expression de la pensée qui a pour objet ou qui peut avoir pour effet d’établir la preuve d’un droit ou d’un fait ayant des conséquences juridiques. » ;</w:t>
      </w:r>
    </w:p>
    <w:p w:rsidR="00A407B0" w:rsidRDefault="00A407B0">
      <w:pPr>
        <w:jc w:val="both"/>
      </w:pPr>
    </w:p>
    <w:p w:rsidR="00A407B0" w:rsidRDefault="00A407B0">
      <w:pPr>
        <w:jc w:val="both"/>
      </w:pPr>
      <w:r>
        <w:t xml:space="preserve">-  l’élément </w:t>
      </w:r>
      <w:r>
        <w:rPr>
          <w:u w:val="single"/>
        </w:rPr>
        <w:t>matériel</w:t>
      </w:r>
      <w:r>
        <w:t xml:space="preserve"> : réalisation d’un faux (ici : fausse déclaration de sinistre) et usage de ce faux ; </w:t>
      </w:r>
    </w:p>
    <w:p w:rsidR="00A407B0" w:rsidRDefault="00A407B0">
      <w:pPr>
        <w:jc w:val="both"/>
      </w:pPr>
    </w:p>
    <w:p w:rsidR="00A407B0" w:rsidRDefault="00A407B0">
      <w:pPr>
        <w:jc w:val="both"/>
      </w:pPr>
      <w:r>
        <w:t xml:space="preserve">- l’élément </w:t>
      </w:r>
      <w:r>
        <w:rPr>
          <w:u w:val="single"/>
        </w:rPr>
        <w:t>moral</w:t>
      </w:r>
      <w:r>
        <w:t> : la fausse déclaration doit être intentionnelle et l’auteur l’a faite sciemment (de mauvaise foi).</w:t>
      </w:r>
    </w:p>
    <w:p w:rsidR="00A407B0" w:rsidRDefault="00A407B0">
      <w:pPr>
        <w:jc w:val="both"/>
      </w:pPr>
    </w:p>
    <w:p w:rsidR="00A407B0" w:rsidRDefault="00A407B0">
      <w:pPr>
        <w:jc w:val="both"/>
        <w:rPr>
          <w:b/>
        </w:rPr>
      </w:pPr>
      <w:r>
        <w:rPr>
          <w:b/>
        </w:rPr>
        <w:t>Application </w:t>
      </w:r>
    </w:p>
    <w:p w:rsidR="00A407B0" w:rsidRDefault="00A407B0">
      <w:pPr>
        <w:jc w:val="both"/>
      </w:pPr>
      <w:r>
        <w:t xml:space="preserve">Monsieur Pilibossian a réalisé un faux, mais il n’en a pas fait usage (il n’a pas envoyé la déclaration à la Compagnie d’assurance). </w:t>
      </w:r>
    </w:p>
    <w:p w:rsidR="00A407B0" w:rsidRDefault="00A407B0">
      <w:pPr>
        <w:jc w:val="both"/>
      </w:pPr>
      <w:r>
        <w:t>Ce faux a pour objet d’établir la preuve de l’existence d’un sinistre afin d’obtenir une indemnisation.</w:t>
      </w:r>
    </w:p>
    <w:p w:rsidR="00A407B0" w:rsidRDefault="00A407B0">
      <w:pPr>
        <w:jc w:val="both"/>
      </w:pPr>
    </w:p>
    <w:p w:rsidR="00A407B0" w:rsidRPr="00A407B0" w:rsidRDefault="00A407B0">
      <w:pPr>
        <w:jc w:val="both"/>
        <w:rPr>
          <w:b/>
          <w:i/>
        </w:rPr>
      </w:pPr>
      <w:r w:rsidRPr="00A407B0">
        <w:rPr>
          <w:b/>
          <w:i/>
        </w:rPr>
        <w:t xml:space="preserve">4.2 Les obligations du commissaire aux comptes </w:t>
      </w:r>
    </w:p>
    <w:p w:rsidR="00A407B0" w:rsidRDefault="00A407B0">
      <w:pPr>
        <w:jc w:val="both"/>
        <w:rPr>
          <w:b/>
        </w:rPr>
      </w:pPr>
    </w:p>
    <w:p w:rsidR="00A407B0" w:rsidRDefault="00A407B0">
      <w:pPr>
        <w:jc w:val="both"/>
      </w:pPr>
      <w:r>
        <w:t xml:space="preserve">Quand il découvre lors de sa mission des </w:t>
      </w:r>
      <w:r>
        <w:rPr>
          <w:u w:val="single"/>
        </w:rPr>
        <w:t>faits délictueux</w:t>
      </w:r>
      <w:r>
        <w:t xml:space="preserve"> qui présentent un caractère délibéré et significatif,  il a l’obligation de les </w:t>
      </w:r>
      <w:r>
        <w:rPr>
          <w:u w:val="single"/>
        </w:rPr>
        <w:t>révéler au procureur de la République</w:t>
      </w:r>
      <w:r>
        <w:t>. La non-révélation des faits délictueux engage sa responsabilité pénale.</w:t>
      </w:r>
    </w:p>
    <w:p w:rsidR="00A407B0" w:rsidRDefault="00A407B0">
      <w:pPr>
        <w:jc w:val="both"/>
      </w:pPr>
    </w:p>
    <w:p w:rsidR="00A407B0" w:rsidRDefault="00A407B0">
      <w:pPr>
        <w:jc w:val="both"/>
      </w:pPr>
      <w:r>
        <w:t xml:space="preserve">Lorsqu’il constate des </w:t>
      </w:r>
      <w:r>
        <w:rPr>
          <w:u w:val="single"/>
        </w:rPr>
        <w:t>irrégularités</w:t>
      </w:r>
      <w:r>
        <w:t xml:space="preserve">, il doit en informer les </w:t>
      </w:r>
      <w:r>
        <w:rPr>
          <w:u w:val="single"/>
        </w:rPr>
        <w:t>membres du conseil de surveillance</w:t>
      </w:r>
      <w:r>
        <w:t>.</w:t>
      </w:r>
    </w:p>
    <w:p w:rsidR="00A407B0" w:rsidRDefault="00D3457B">
      <w:pPr>
        <w:jc w:val="both"/>
        <w:rPr>
          <w:b/>
        </w:rPr>
      </w:pPr>
      <w:r>
        <w:rPr>
          <w:b/>
        </w:rPr>
        <w:br w:type="page"/>
      </w:r>
    </w:p>
    <w:p w:rsidR="00C554AD" w:rsidRDefault="00C554A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DOSSIER 5 </w:t>
      </w:r>
    </w:p>
    <w:p w:rsidR="00C554AD" w:rsidRDefault="00C554AD">
      <w:pPr>
        <w:jc w:val="center"/>
        <w:rPr>
          <w:b/>
          <w:u w:val="single"/>
        </w:rPr>
      </w:pPr>
    </w:p>
    <w:p w:rsidR="00C554AD" w:rsidRDefault="00C554AD">
      <w:pPr>
        <w:jc w:val="center"/>
        <w:rPr>
          <w:b/>
          <w:u w:val="single"/>
        </w:rPr>
      </w:pPr>
    </w:p>
    <w:p w:rsidR="00D3457B" w:rsidRDefault="00D3457B">
      <w:pPr>
        <w:jc w:val="both"/>
        <w:rPr>
          <w:b/>
        </w:rPr>
      </w:pPr>
    </w:p>
    <w:p w:rsidR="00D3457B" w:rsidRDefault="00D3457B">
      <w:pPr>
        <w:jc w:val="both"/>
        <w:rPr>
          <w:b/>
        </w:rPr>
      </w:pPr>
      <w:r>
        <w:rPr>
          <w:b/>
        </w:rPr>
        <w:t>Les conséquences de l’erreur professionnelle</w:t>
      </w:r>
    </w:p>
    <w:p w:rsidR="00D3457B" w:rsidRDefault="00D3457B">
      <w:pPr>
        <w:jc w:val="both"/>
        <w:rPr>
          <w:b/>
        </w:rPr>
      </w:pPr>
    </w:p>
    <w:p w:rsidR="00D3457B" w:rsidRDefault="00D3457B">
      <w:pPr>
        <w:jc w:val="both"/>
        <w:rPr>
          <w:b/>
        </w:rPr>
      </w:pPr>
      <w:r>
        <w:rPr>
          <w:b/>
        </w:rPr>
        <w:t xml:space="preserve">Principe  </w:t>
      </w:r>
    </w:p>
    <w:p w:rsidR="00D3457B" w:rsidRDefault="00D3457B">
      <w:pPr>
        <w:jc w:val="both"/>
      </w:pPr>
      <w:r>
        <w:t xml:space="preserve">Le commissaire aux comptes (CAC) exerce une </w:t>
      </w:r>
      <w:r>
        <w:rPr>
          <w:u w:val="single"/>
        </w:rPr>
        <w:t>profession libérale</w:t>
      </w:r>
      <w:r>
        <w:t xml:space="preserve">. Il peut être associé dans le cadre d’une SELARL. </w:t>
      </w:r>
    </w:p>
    <w:p w:rsidR="00D3457B" w:rsidRDefault="00D3457B">
      <w:pPr>
        <w:jc w:val="both"/>
      </w:pPr>
      <w:r>
        <w:t xml:space="preserve">Il engage sa </w:t>
      </w:r>
      <w:r>
        <w:rPr>
          <w:u w:val="single"/>
        </w:rPr>
        <w:t>responsabilité de manière indéfinie</w:t>
      </w:r>
      <w:r>
        <w:t xml:space="preserve"> sur son patrimoine pour les actes professionnels qu’il effectue.</w:t>
      </w:r>
    </w:p>
    <w:p w:rsidR="00D3457B" w:rsidRDefault="00D3457B">
      <w:pPr>
        <w:jc w:val="both"/>
      </w:pPr>
    </w:p>
    <w:p w:rsidR="00D3457B" w:rsidRDefault="00D3457B">
      <w:pPr>
        <w:jc w:val="both"/>
      </w:pPr>
      <w:r>
        <w:t xml:space="preserve">En tant que membre d’une profession réglementée, le CAC a l’obligation de souscrire une </w:t>
      </w:r>
      <w:r>
        <w:rPr>
          <w:u w:val="single"/>
        </w:rPr>
        <w:t>assurance professionnelle</w:t>
      </w:r>
      <w:r>
        <w:t>.</w:t>
      </w:r>
    </w:p>
    <w:p w:rsidR="00D3457B" w:rsidRDefault="00D3457B">
      <w:pPr>
        <w:jc w:val="both"/>
      </w:pPr>
    </w:p>
    <w:p w:rsidR="00D3457B" w:rsidRDefault="00D3457B">
      <w:pPr>
        <w:jc w:val="both"/>
      </w:pPr>
      <w:r>
        <w:t xml:space="preserve">La </w:t>
      </w:r>
      <w:r>
        <w:rPr>
          <w:u w:val="single"/>
        </w:rPr>
        <w:t>responsabilité solidaire</w:t>
      </w:r>
      <w:r>
        <w:t xml:space="preserve"> de la SEL avec le CAC peut être mise en cause par une </w:t>
      </w:r>
      <w:r>
        <w:rPr>
          <w:u w:val="single"/>
        </w:rPr>
        <w:t>action en justice</w:t>
      </w:r>
      <w:r>
        <w:t>.</w:t>
      </w:r>
    </w:p>
    <w:p w:rsidR="00D3457B" w:rsidRDefault="00D3457B">
      <w:pPr>
        <w:jc w:val="both"/>
      </w:pPr>
    </w:p>
    <w:p w:rsidR="00D3457B" w:rsidRDefault="00D3457B">
      <w:pPr>
        <w:jc w:val="both"/>
      </w:pPr>
    </w:p>
    <w:p w:rsidR="00D3457B" w:rsidRDefault="00D3457B">
      <w:pPr>
        <w:jc w:val="both"/>
        <w:rPr>
          <w:b/>
        </w:rPr>
      </w:pPr>
      <w:r>
        <w:rPr>
          <w:b/>
        </w:rPr>
        <w:t>Application</w:t>
      </w:r>
    </w:p>
    <w:p w:rsidR="00D3457B" w:rsidRDefault="00D3457B">
      <w:pPr>
        <w:jc w:val="both"/>
      </w:pPr>
      <w:r>
        <w:t>M. Revel devra répondre personnellement des conséquences de son erreur professionnelle sur son patrimoine.</w:t>
      </w:r>
    </w:p>
    <w:p w:rsidR="00D3457B" w:rsidRDefault="00D3457B">
      <w:pPr>
        <w:jc w:val="both"/>
      </w:pPr>
      <w:r>
        <w:t>Il pourra faire intervenir son assurance professionnelle.</w:t>
      </w:r>
    </w:p>
    <w:p w:rsidR="00D3457B" w:rsidRDefault="00D3457B">
      <w:pPr>
        <w:jc w:val="both"/>
        <w:rPr>
          <w:b/>
        </w:rPr>
      </w:pPr>
      <w:r>
        <w:t>La SELARL est solidaire avec M. Revel.</w:t>
      </w:r>
    </w:p>
    <w:p w:rsidR="00D3457B" w:rsidRDefault="00D3457B">
      <w:pPr>
        <w:jc w:val="both"/>
        <w:rPr>
          <w:b/>
        </w:rPr>
      </w:pPr>
    </w:p>
    <w:p w:rsidR="00C554AD" w:rsidRDefault="00C554AD">
      <w:pPr>
        <w:jc w:val="both"/>
        <w:rPr>
          <w:b/>
        </w:rPr>
      </w:pPr>
    </w:p>
    <w:p w:rsidR="00C554AD" w:rsidRDefault="00C554AD">
      <w:pPr>
        <w:jc w:val="both"/>
        <w:rPr>
          <w:b/>
        </w:rPr>
      </w:pPr>
    </w:p>
    <w:p w:rsidR="00C554AD" w:rsidRDefault="00C554AD">
      <w:pPr>
        <w:jc w:val="both"/>
        <w:rPr>
          <w:b/>
        </w:rPr>
      </w:pPr>
    </w:p>
    <w:p w:rsidR="00C554AD" w:rsidRDefault="00C554AD">
      <w:pPr>
        <w:jc w:val="both"/>
      </w:pPr>
    </w:p>
    <w:p w:rsidR="00C554AD" w:rsidRDefault="00C554AD">
      <w:pPr>
        <w:jc w:val="both"/>
        <w:rPr>
          <w:b/>
        </w:rPr>
      </w:pPr>
    </w:p>
    <w:p w:rsidR="00C554AD" w:rsidRDefault="00C554AD">
      <w:pPr>
        <w:jc w:val="both"/>
      </w:pPr>
      <w:r>
        <w:t xml:space="preserve"> </w:t>
      </w:r>
    </w:p>
    <w:sectPr w:rsidR="00C554AD">
      <w:headerReference w:type="default" r:id="rId8"/>
      <w:footerReference w:type="default" r:id="rId9"/>
      <w:pgSz w:w="11906" w:h="16838"/>
      <w:pgMar w:top="993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BEF" w:rsidRDefault="00A17BEF">
      <w:r>
        <w:separator/>
      </w:r>
    </w:p>
  </w:endnote>
  <w:endnote w:type="continuationSeparator" w:id="0">
    <w:p w:rsidR="00A17BEF" w:rsidRDefault="00A1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7B0" w:rsidRPr="0031576F" w:rsidRDefault="0031576F" w:rsidP="0031576F">
    <w:pPr>
      <w:pStyle w:val="Pieddepage"/>
      <w:tabs>
        <w:tab w:val="left" w:pos="709"/>
      </w:tabs>
      <w:ind w:right="357"/>
    </w:pPr>
    <w:r w:rsidRPr="0031576F">
      <w:rPr>
        <w:sz w:val="20"/>
      </w:rPr>
      <w:t>©Comptazine – Reproduction interdite</w:t>
    </w:r>
    <w:r w:rsidR="00A407B0" w:rsidRPr="0031576F">
      <w:rPr>
        <w:bCs/>
      </w:rPr>
      <w:tab/>
    </w:r>
    <w:r w:rsidRPr="0031576F">
      <w:rPr>
        <w:bCs/>
      </w:rPr>
      <w:tab/>
    </w:r>
    <w:r w:rsidR="00A407B0" w:rsidRPr="0031576F">
      <w:rPr>
        <w:rStyle w:val="Numrodepage"/>
        <w:bCs/>
      </w:rPr>
      <w:fldChar w:fldCharType="begin"/>
    </w:r>
    <w:r w:rsidR="00A407B0" w:rsidRPr="0031576F">
      <w:rPr>
        <w:rStyle w:val="Numrodepage"/>
        <w:bCs/>
      </w:rPr>
      <w:instrText xml:space="preserve"> PAGE </w:instrText>
    </w:r>
    <w:r w:rsidR="00A407B0" w:rsidRPr="0031576F">
      <w:rPr>
        <w:rStyle w:val="Numrodepage"/>
        <w:bCs/>
      </w:rPr>
      <w:fldChar w:fldCharType="separate"/>
    </w:r>
    <w:r w:rsidR="0048691F">
      <w:rPr>
        <w:rStyle w:val="Numrodepage"/>
        <w:bCs/>
        <w:noProof/>
      </w:rPr>
      <w:t>6</w:t>
    </w:r>
    <w:r w:rsidR="00A407B0" w:rsidRPr="0031576F">
      <w:rPr>
        <w:rStyle w:val="Numrodepage"/>
        <w:bCs/>
      </w:rPr>
      <w:fldChar w:fldCharType="end"/>
    </w:r>
    <w:r w:rsidR="00A407B0" w:rsidRPr="0031576F">
      <w:rPr>
        <w:rStyle w:val="Numrodepage"/>
        <w:bCs/>
      </w:rPr>
      <w:t>/</w:t>
    </w:r>
    <w:r w:rsidR="00D3457B" w:rsidRPr="0031576F">
      <w:rPr>
        <w:rStyle w:val="Numrodepage"/>
        <w:bCs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BEF" w:rsidRDefault="00A17BEF">
      <w:r>
        <w:separator/>
      </w:r>
    </w:p>
  </w:footnote>
  <w:footnote w:type="continuationSeparator" w:id="0">
    <w:p w:rsidR="00A17BEF" w:rsidRDefault="00A17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6F" w:rsidRDefault="00962860" w:rsidP="0031576F">
    <w:pPr>
      <w:pStyle w:val="En-tte"/>
      <w:ind w:left="3252" w:right="849" w:firstLine="3828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5678805</wp:posOffset>
          </wp:positionH>
          <wp:positionV relativeFrom="margin">
            <wp:posOffset>-495300</wp:posOffset>
          </wp:positionV>
          <wp:extent cx="381000" cy="381000"/>
          <wp:effectExtent l="0" t="0" r="0" b="0"/>
          <wp:wrapNone/>
          <wp:docPr id="2" name="Image 6" descr="Description : 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1576F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31576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49" type="#_x0000_t75" style="position:absolute;left:0;text-align:left;margin-left:0;margin-top:0;width:495.9pt;height:495.9pt;z-index:-251657216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C554AD" w:rsidRDefault="00C554AD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518"/>
    <w:multiLevelType w:val="multilevel"/>
    <w:tmpl w:val="7E1C98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372554"/>
    <w:multiLevelType w:val="hybridMultilevel"/>
    <w:tmpl w:val="10F28282"/>
    <w:lvl w:ilvl="0" w:tplc="6C58DC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0F1D5C"/>
    <w:multiLevelType w:val="hybridMultilevel"/>
    <w:tmpl w:val="2B222B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847F69"/>
    <w:multiLevelType w:val="hybridMultilevel"/>
    <w:tmpl w:val="70CCC916"/>
    <w:lvl w:ilvl="0" w:tplc="BAD40E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9A502D"/>
    <w:multiLevelType w:val="hybridMultilevel"/>
    <w:tmpl w:val="D9A2C978"/>
    <w:lvl w:ilvl="0" w:tplc="1A464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B0"/>
    <w:rsid w:val="0031576F"/>
    <w:rsid w:val="0048691F"/>
    <w:rsid w:val="00962860"/>
    <w:rsid w:val="00A17BEF"/>
    <w:rsid w:val="00A407B0"/>
    <w:rsid w:val="00C554AD"/>
    <w:rsid w:val="00D3457B"/>
    <w:rsid w:val="00DA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eastAsia="Arial Unicode MS"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after="200" w:line="276" w:lineRule="auto"/>
      <w:jc w:val="center"/>
      <w:outlineLvl w:val="2"/>
    </w:pPr>
    <w:rPr>
      <w:rFonts w:eastAsia="Calibri"/>
      <w:b/>
      <w:bCs/>
      <w:sz w:val="40"/>
      <w:szCs w:val="22"/>
      <w:lang w:eastAsia="en-US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10077"/>
      </w:tabs>
      <w:suppressAutoHyphens/>
      <w:overflowPunct w:val="0"/>
      <w:autoSpaceDE w:val="0"/>
      <w:autoSpaceDN w:val="0"/>
      <w:adjustRightInd w:val="0"/>
      <w:spacing w:after="200" w:line="276" w:lineRule="auto"/>
      <w:jc w:val="center"/>
      <w:outlineLvl w:val="3"/>
    </w:pPr>
    <w:rPr>
      <w:rFonts w:ascii="Arial" w:hAnsi="Arial" w:cs="Arial"/>
      <w:b/>
      <w:bCs/>
      <w:i/>
      <w:iCs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suppressAutoHyphens/>
      <w:overflowPunct w:val="0"/>
      <w:autoSpaceDE w:val="0"/>
      <w:autoSpaceDN w:val="0"/>
      <w:adjustRightInd w:val="0"/>
      <w:spacing w:after="200" w:line="276" w:lineRule="auto"/>
      <w:ind w:right="-1"/>
      <w:jc w:val="center"/>
    </w:pPr>
    <w:rPr>
      <w:b/>
      <w:bCs/>
      <w:sz w:val="32"/>
    </w:rPr>
  </w:style>
  <w:style w:type="paragraph" w:styleId="Titre">
    <w:name w:val="Title"/>
    <w:basedOn w:val="Normal"/>
    <w:next w:val="Sous-titre"/>
    <w:link w:val="TitreCar"/>
    <w:qFormat/>
    <w:rsid w:val="00A407B0"/>
    <w:pPr>
      <w:widowControl w:val="0"/>
      <w:suppressAutoHyphens/>
      <w:overflowPunct w:val="0"/>
      <w:autoSpaceDE w:val="0"/>
      <w:jc w:val="center"/>
      <w:textAlignment w:val="baseline"/>
    </w:pPr>
    <w:rPr>
      <w:rFonts w:eastAsia="Calibri" w:cs="Calibri"/>
      <w:sz w:val="28"/>
      <w:szCs w:val="28"/>
      <w:lang w:val="fr-FR" w:eastAsia="ar-SA"/>
    </w:rPr>
  </w:style>
  <w:style w:type="character" w:customStyle="1" w:styleId="TitreCar">
    <w:name w:val="Titre Car"/>
    <w:basedOn w:val="Policepardfaut"/>
    <w:link w:val="Titre"/>
    <w:rsid w:val="00A407B0"/>
    <w:rPr>
      <w:rFonts w:eastAsia="Calibri" w:cs="Calibri"/>
      <w:sz w:val="28"/>
      <w:szCs w:val="28"/>
      <w:lang w:val="fr-FR"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07B0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A407B0"/>
    <w:rPr>
      <w:rFonts w:ascii="Cambria" w:eastAsia="Times New Roman" w:hAnsi="Cambria" w:cs="Times New Roman"/>
      <w:sz w:val="24"/>
      <w:szCs w:val="24"/>
    </w:rPr>
  </w:style>
  <w:style w:type="character" w:styleId="Lienhypertexte">
    <w:name w:val="Hyperlink"/>
    <w:basedOn w:val="Policepardfaut"/>
    <w:unhideWhenUsed/>
    <w:rsid w:val="00A407B0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semiHidden/>
    <w:rsid w:val="00A407B0"/>
    <w:rPr>
      <w:sz w:val="24"/>
      <w:szCs w:val="24"/>
    </w:rPr>
  </w:style>
  <w:style w:type="character" w:customStyle="1" w:styleId="En-tteCar">
    <w:name w:val="En-tête Car"/>
    <w:link w:val="En-tte"/>
    <w:rsid w:val="003157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eastAsia="Arial Unicode MS"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after="200" w:line="276" w:lineRule="auto"/>
      <w:jc w:val="center"/>
      <w:outlineLvl w:val="2"/>
    </w:pPr>
    <w:rPr>
      <w:rFonts w:eastAsia="Calibri"/>
      <w:b/>
      <w:bCs/>
      <w:sz w:val="40"/>
      <w:szCs w:val="22"/>
      <w:lang w:eastAsia="en-US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10077"/>
      </w:tabs>
      <w:suppressAutoHyphens/>
      <w:overflowPunct w:val="0"/>
      <w:autoSpaceDE w:val="0"/>
      <w:autoSpaceDN w:val="0"/>
      <w:adjustRightInd w:val="0"/>
      <w:spacing w:after="200" w:line="276" w:lineRule="auto"/>
      <w:jc w:val="center"/>
      <w:outlineLvl w:val="3"/>
    </w:pPr>
    <w:rPr>
      <w:rFonts w:ascii="Arial" w:hAnsi="Arial" w:cs="Arial"/>
      <w:b/>
      <w:bCs/>
      <w:i/>
      <w:iCs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suppressAutoHyphens/>
      <w:overflowPunct w:val="0"/>
      <w:autoSpaceDE w:val="0"/>
      <w:autoSpaceDN w:val="0"/>
      <w:adjustRightInd w:val="0"/>
      <w:spacing w:after="200" w:line="276" w:lineRule="auto"/>
      <w:ind w:right="-1"/>
      <w:jc w:val="center"/>
    </w:pPr>
    <w:rPr>
      <w:b/>
      <w:bCs/>
      <w:sz w:val="32"/>
    </w:rPr>
  </w:style>
  <w:style w:type="paragraph" w:styleId="Titre">
    <w:name w:val="Title"/>
    <w:basedOn w:val="Normal"/>
    <w:next w:val="Sous-titre"/>
    <w:link w:val="TitreCar"/>
    <w:qFormat/>
    <w:rsid w:val="00A407B0"/>
    <w:pPr>
      <w:widowControl w:val="0"/>
      <w:suppressAutoHyphens/>
      <w:overflowPunct w:val="0"/>
      <w:autoSpaceDE w:val="0"/>
      <w:jc w:val="center"/>
      <w:textAlignment w:val="baseline"/>
    </w:pPr>
    <w:rPr>
      <w:rFonts w:eastAsia="Calibri" w:cs="Calibri"/>
      <w:sz w:val="28"/>
      <w:szCs w:val="28"/>
      <w:lang w:val="fr-FR" w:eastAsia="ar-SA"/>
    </w:rPr>
  </w:style>
  <w:style w:type="character" w:customStyle="1" w:styleId="TitreCar">
    <w:name w:val="Titre Car"/>
    <w:basedOn w:val="Policepardfaut"/>
    <w:link w:val="Titre"/>
    <w:rsid w:val="00A407B0"/>
    <w:rPr>
      <w:rFonts w:eastAsia="Calibri" w:cs="Calibri"/>
      <w:sz w:val="28"/>
      <w:szCs w:val="28"/>
      <w:lang w:val="fr-FR"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07B0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A407B0"/>
    <w:rPr>
      <w:rFonts w:ascii="Cambria" w:eastAsia="Times New Roman" w:hAnsi="Cambria" w:cs="Times New Roman"/>
      <w:sz w:val="24"/>
      <w:szCs w:val="24"/>
    </w:rPr>
  </w:style>
  <w:style w:type="character" w:styleId="Lienhypertexte">
    <w:name w:val="Hyperlink"/>
    <w:basedOn w:val="Policepardfaut"/>
    <w:unhideWhenUsed/>
    <w:rsid w:val="00A407B0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semiHidden/>
    <w:rsid w:val="00A407B0"/>
    <w:rPr>
      <w:sz w:val="24"/>
      <w:szCs w:val="24"/>
    </w:rPr>
  </w:style>
  <w:style w:type="character" w:customStyle="1" w:styleId="En-tteCar">
    <w:name w:val="En-tête Car"/>
    <w:link w:val="En-tte"/>
    <w:rsid w:val="003157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1508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3</cp:revision>
  <cp:lastPrinted>2012-09-12T06:43:00Z</cp:lastPrinted>
  <dcterms:created xsi:type="dcterms:W3CDTF">2012-09-12T06:43:00Z</dcterms:created>
  <dcterms:modified xsi:type="dcterms:W3CDTF">2012-09-12T06:44:00Z</dcterms:modified>
</cp:coreProperties>
</file>