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1B" w:rsidRPr="0039691B" w:rsidRDefault="0039691B" w:rsidP="0039691B">
      <w:pPr>
        <w:pStyle w:val="Titre"/>
        <w:pBdr>
          <w:top w:val="single" w:sz="4" w:space="1" w:color="auto"/>
          <w:left w:val="single" w:sz="4" w:space="4" w:color="auto"/>
          <w:bottom w:val="single" w:sz="4" w:space="1" w:color="auto"/>
          <w:right w:val="single" w:sz="4" w:space="4" w:color="auto"/>
        </w:pBdr>
        <w:rPr>
          <w:b/>
          <w:bCs/>
          <w:sz w:val="24"/>
          <w:szCs w:val="24"/>
        </w:rPr>
      </w:pPr>
      <w:r w:rsidRPr="0039691B">
        <w:rPr>
          <w:b/>
          <w:bCs/>
          <w:sz w:val="24"/>
          <w:szCs w:val="24"/>
        </w:rPr>
        <w:t>DCG session 2010</w:t>
      </w:r>
      <w:r w:rsidRPr="0039691B">
        <w:rPr>
          <w:b/>
          <w:bCs/>
          <w:sz w:val="24"/>
          <w:szCs w:val="24"/>
        </w:rPr>
        <w:tab/>
      </w:r>
      <w:r w:rsidRPr="0039691B">
        <w:rPr>
          <w:b/>
          <w:bCs/>
          <w:sz w:val="24"/>
          <w:szCs w:val="24"/>
        </w:rPr>
        <w:tab/>
      </w:r>
      <w:bookmarkStart w:id="0" w:name="_GoBack"/>
      <w:bookmarkEnd w:id="0"/>
      <w:r w:rsidRPr="0039691B">
        <w:rPr>
          <w:b/>
          <w:bCs/>
          <w:sz w:val="24"/>
          <w:szCs w:val="24"/>
        </w:rPr>
        <w:tab/>
        <w:t>UE2 Droit des sociétés</w:t>
      </w:r>
      <w:r w:rsidRPr="0039691B">
        <w:rPr>
          <w:b/>
          <w:bCs/>
          <w:sz w:val="24"/>
          <w:szCs w:val="24"/>
        </w:rPr>
        <w:tab/>
      </w:r>
      <w:r w:rsidRPr="0039691B">
        <w:rPr>
          <w:b/>
          <w:bCs/>
          <w:sz w:val="24"/>
          <w:szCs w:val="24"/>
        </w:rPr>
        <w:tab/>
      </w:r>
      <w:r w:rsidRPr="0039691B">
        <w:rPr>
          <w:b/>
          <w:bCs/>
          <w:sz w:val="24"/>
          <w:szCs w:val="24"/>
        </w:rPr>
        <w:tab/>
        <w:t>Corrigé indicatif</w:t>
      </w:r>
    </w:p>
    <w:p w:rsidR="0045000F" w:rsidRPr="0039691B" w:rsidRDefault="0045000F">
      <w:pPr>
        <w:rPr>
          <w:sz w:val="22"/>
          <w:szCs w:val="22"/>
        </w:rPr>
      </w:pPr>
    </w:p>
    <w:p w:rsidR="0039691B"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p>
    <w:p w:rsidR="0045000F"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rPr>
      </w:pPr>
      <w:r w:rsidRPr="0039691B">
        <w:rPr>
          <w:b/>
          <w:bCs/>
        </w:rPr>
        <w:t>I ETUDE DE SITUATIONS JURIDIQUES</w:t>
      </w:r>
    </w:p>
    <w:p w:rsidR="0039691B"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p>
    <w:p w:rsidR="0045000F" w:rsidRPr="0039691B" w:rsidRDefault="0045000F">
      <w:pPr>
        <w:rPr>
          <w:sz w:val="22"/>
          <w:szCs w:val="22"/>
        </w:rPr>
      </w:pPr>
    </w:p>
    <w:p w:rsidR="0039691B" w:rsidRPr="0039691B" w:rsidRDefault="0039691B" w:rsidP="0039691B">
      <w:pPr>
        <w:rPr>
          <w:b/>
          <w:sz w:val="22"/>
          <w:szCs w:val="22"/>
        </w:rPr>
      </w:pPr>
      <w:r w:rsidRPr="0039691B">
        <w:rPr>
          <w:b/>
          <w:sz w:val="22"/>
          <w:szCs w:val="22"/>
        </w:rPr>
        <w:t>DOSSIER 1</w:t>
      </w:r>
    </w:p>
    <w:p w:rsidR="0039691B" w:rsidRPr="0039691B" w:rsidRDefault="0039691B" w:rsidP="006B0C34">
      <w:pPr>
        <w:jc w:val="both"/>
        <w:rPr>
          <w:sz w:val="22"/>
          <w:szCs w:val="22"/>
        </w:rPr>
      </w:pPr>
    </w:p>
    <w:p w:rsidR="0039691B" w:rsidRPr="0039691B" w:rsidRDefault="0039691B" w:rsidP="006B0C34">
      <w:pPr>
        <w:jc w:val="both"/>
        <w:rPr>
          <w:b/>
          <w:sz w:val="22"/>
          <w:szCs w:val="22"/>
        </w:rPr>
      </w:pPr>
      <w:r w:rsidRPr="0039691B">
        <w:rPr>
          <w:b/>
          <w:sz w:val="22"/>
          <w:szCs w:val="22"/>
        </w:rPr>
        <w:t>1.1. L'intervention du commissaire aux apports</w:t>
      </w:r>
    </w:p>
    <w:p w:rsidR="0039691B" w:rsidRPr="0039691B" w:rsidRDefault="0039691B" w:rsidP="006B0C34">
      <w:pPr>
        <w:jc w:val="both"/>
        <w:rPr>
          <w:b/>
          <w:sz w:val="22"/>
          <w:szCs w:val="22"/>
        </w:rPr>
      </w:pPr>
    </w:p>
    <w:p w:rsidR="0039691B" w:rsidRPr="0039691B" w:rsidRDefault="0039691B" w:rsidP="006B0C34">
      <w:pPr>
        <w:jc w:val="both"/>
        <w:rPr>
          <w:sz w:val="22"/>
          <w:szCs w:val="22"/>
        </w:rPr>
      </w:pPr>
      <w:r w:rsidRPr="0039691B">
        <w:rPr>
          <w:sz w:val="22"/>
          <w:szCs w:val="22"/>
        </w:rPr>
        <w:t xml:space="preserve">A la constitution d'une SARL, en cas d'apport en nature, le recours à un commissaire aux apports est obligatoire. </w:t>
      </w:r>
    </w:p>
    <w:p w:rsidR="0039691B" w:rsidRPr="0039691B" w:rsidRDefault="0039691B" w:rsidP="006B0C34">
      <w:pPr>
        <w:jc w:val="both"/>
        <w:rPr>
          <w:sz w:val="22"/>
          <w:szCs w:val="22"/>
        </w:rPr>
      </w:pPr>
      <w:r w:rsidRPr="0039691B">
        <w:rPr>
          <w:sz w:val="22"/>
          <w:szCs w:val="22"/>
        </w:rPr>
        <w:t xml:space="preserve">Par exception, sa nomination est facultative si les conditions suivantes sont respectées : aucun apport en nature n'a une valeur supérieure à 7500 euros et la valeur totale de l'ensemble des apports en nature n'excède pas la moitié du capital social. </w:t>
      </w:r>
    </w:p>
    <w:p w:rsidR="0039691B" w:rsidRPr="0039691B" w:rsidRDefault="0039691B" w:rsidP="006B0C34">
      <w:pPr>
        <w:jc w:val="both"/>
        <w:rPr>
          <w:sz w:val="22"/>
          <w:szCs w:val="22"/>
        </w:rPr>
      </w:pPr>
    </w:p>
    <w:p w:rsidR="0039691B" w:rsidRPr="0039691B" w:rsidRDefault="0039691B" w:rsidP="006B0C34">
      <w:pPr>
        <w:jc w:val="both"/>
        <w:rPr>
          <w:sz w:val="22"/>
          <w:szCs w:val="22"/>
        </w:rPr>
      </w:pPr>
      <w:r w:rsidRPr="0039691B">
        <w:rPr>
          <w:sz w:val="22"/>
          <w:szCs w:val="22"/>
        </w:rPr>
        <w:t xml:space="preserve">Enfin, la décision de ne pas recourir au commissaire aux apports est décidée à l'unanimité des associés. </w:t>
      </w:r>
    </w:p>
    <w:p w:rsidR="0039691B" w:rsidRPr="0039691B" w:rsidRDefault="0039691B" w:rsidP="006B0C34">
      <w:pPr>
        <w:jc w:val="both"/>
        <w:rPr>
          <w:sz w:val="22"/>
          <w:szCs w:val="22"/>
        </w:rPr>
      </w:pPr>
    </w:p>
    <w:p w:rsidR="0039691B" w:rsidRPr="0039691B" w:rsidRDefault="0039691B" w:rsidP="006B0C34">
      <w:pPr>
        <w:jc w:val="both"/>
        <w:rPr>
          <w:sz w:val="22"/>
          <w:szCs w:val="22"/>
        </w:rPr>
      </w:pPr>
      <w:r w:rsidRPr="0039691B">
        <w:rPr>
          <w:sz w:val="22"/>
          <w:szCs w:val="22"/>
        </w:rPr>
        <w:t xml:space="preserve">Au cas d'espèce, Yves Lemaire a fait un apport en nature. La valeur de son apport est de 10 000 euros. La nomination du commissaire aux apports est donc nécessaire. </w:t>
      </w:r>
    </w:p>
    <w:p w:rsidR="0039691B" w:rsidRPr="0039691B" w:rsidRDefault="0039691B" w:rsidP="006B0C34">
      <w:pPr>
        <w:rPr>
          <w:sz w:val="22"/>
          <w:szCs w:val="22"/>
        </w:rPr>
      </w:pPr>
    </w:p>
    <w:p w:rsidR="0039691B" w:rsidRPr="0039691B" w:rsidRDefault="0039691B" w:rsidP="002432D9">
      <w:pPr>
        <w:jc w:val="both"/>
        <w:rPr>
          <w:b/>
          <w:sz w:val="22"/>
          <w:szCs w:val="22"/>
        </w:rPr>
      </w:pPr>
      <w:r w:rsidRPr="0039691B">
        <w:rPr>
          <w:b/>
          <w:sz w:val="22"/>
          <w:szCs w:val="22"/>
        </w:rPr>
        <w:t>1.2. Le cumul d'un mandat social et d'un contrat de travail</w:t>
      </w:r>
    </w:p>
    <w:p w:rsidR="0039691B" w:rsidRPr="0039691B" w:rsidRDefault="0039691B" w:rsidP="002432D9">
      <w:pPr>
        <w:jc w:val="both"/>
        <w:rPr>
          <w:b/>
          <w:sz w:val="22"/>
          <w:szCs w:val="22"/>
        </w:rPr>
      </w:pPr>
    </w:p>
    <w:p w:rsidR="0039691B" w:rsidRPr="0039691B" w:rsidRDefault="0039691B" w:rsidP="002432D9">
      <w:pPr>
        <w:jc w:val="both"/>
        <w:rPr>
          <w:sz w:val="22"/>
          <w:szCs w:val="22"/>
        </w:rPr>
      </w:pPr>
      <w:r w:rsidRPr="0039691B">
        <w:rPr>
          <w:sz w:val="22"/>
          <w:szCs w:val="22"/>
        </w:rPr>
        <w:t xml:space="preserve">Un associé gérant de SARL peut cumuler un mandat social avec un contrat de travail si les conditions suivantes sont réunies. D'abord, la personne doit exercer un travail effectif. </w:t>
      </w:r>
    </w:p>
    <w:p w:rsidR="0039691B" w:rsidRPr="0039691B" w:rsidRDefault="0039691B" w:rsidP="002432D9">
      <w:pPr>
        <w:jc w:val="both"/>
        <w:rPr>
          <w:sz w:val="22"/>
          <w:szCs w:val="22"/>
        </w:rPr>
      </w:pPr>
      <w:r w:rsidRPr="0039691B">
        <w:rPr>
          <w:sz w:val="22"/>
          <w:szCs w:val="22"/>
        </w:rPr>
        <w:t xml:space="preserve">Ensuite,  les fonctions de gérant et de salarié doivent être distinctes. </w:t>
      </w:r>
    </w:p>
    <w:p w:rsidR="0039691B" w:rsidRPr="0039691B" w:rsidRDefault="0039691B" w:rsidP="002432D9">
      <w:pPr>
        <w:jc w:val="both"/>
        <w:rPr>
          <w:sz w:val="22"/>
          <w:szCs w:val="22"/>
        </w:rPr>
      </w:pPr>
      <w:r w:rsidRPr="0039691B">
        <w:rPr>
          <w:sz w:val="22"/>
          <w:szCs w:val="22"/>
        </w:rPr>
        <w:t xml:space="preserve">Enfin, le gérant doit être placé dans un état de subordination juridique. </w:t>
      </w:r>
    </w:p>
    <w:p w:rsidR="0039691B" w:rsidRPr="0039691B" w:rsidRDefault="0039691B" w:rsidP="002432D9">
      <w:pPr>
        <w:jc w:val="both"/>
        <w:rPr>
          <w:sz w:val="22"/>
          <w:szCs w:val="22"/>
        </w:rPr>
      </w:pPr>
      <w:r w:rsidRPr="0039691B">
        <w:rPr>
          <w:sz w:val="22"/>
          <w:szCs w:val="22"/>
        </w:rPr>
        <w:t xml:space="preserve">La validation de cette condition suppose que le gérant associé soit minoritaire. </w:t>
      </w:r>
    </w:p>
    <w:p w:rsidR="0039691B" w:rsidRPr="0039691B" w:rsidRDefault="0039691B" w:rsidP="002432D9">
      <w:pPr>
        <w:jc w:val="both"/>
        <w:rPr>
          <w:sz w:val="22"/>
          <w:szCs w:val="22"/>
        </w:rPr>
      </w:pPr>
    </w:p>
    <w:p w:rsidR="0039691B" w:rsidRPr="0039691B" w:rsidRDefault="0039691B" w:rsidP="002432D9">
      <w:pPr>
        <w:jc w:val="both"/>
        <w:rPr>
          <w:sz w:val="22"/>
          <w:szCs w:val="22"/>
        </w:rPr>
      </w:pPr>
      <w:r w:rsidRPr="0039691B">
        <w:rPr>
          <w:sz w:val="22"/>
          <w:szCs w:val="22"/>
        </w:rPr>
        <w:t xml:space="preserve">Au cas d'espèce, Axel </w:t>
      </w:r>
      <w:proofErr w:type="spellStart"/>
      <w:r w:rsidRPr="0039691B">
        <w:rPr>
          <w:sz w:val="22"/>
          <w:szCs w:val="22"/>
        </w:rPr>
        <w:t>Dorin</w:t>
      </w:r>
      <w:proofErr w:type="spellEnd"/>
      <w:r w:rsidRPr="0039691B">
        <w:rPr>
          <w:sz w:val="22"/>
          <w:szCs w:val="22"/>
        </w:rPr>
        <w:t xml:space="preserve"> est chargé de la production des produits de l'entreprise. Il exerce un travail effectif et distinct des tâches qu'il effectue en tant que gérant.  Par ailleurs, il est propriétaire de 300 parts sociales sur 1000 : il est associé minoritaire et placé dans un état de subordination juridique par rapport à la société. </w:t>
      </w:r>
    </w:p>
    <w:p w:rsidR="0039691B" w:rsidRPr="0039691B" w:rsidRDefault="0039691B" w:rsidP="002432D9">
      <w:pPr>
        <w:jc w:val="both"/>
        <w:rPr>
          <w:sz w:val="22"/>
          <w:szCs w:val="22"/>
        </w:rPr>
      </w:pPr>
      <w:r w:rsidRPr="0039691B">
        <w:rPr>
          <w:sz w:val="22"/>
          <w:szCs w:val="22"/>
        </w:rPr>
        <w:t xml:space="preserve">En conséquence, il peut être gérant et salarié de </w:t>
      </w:r>
      <w:smartTag w:uri="urn:schemas-microsoft-com:office:smarttags" w:element="PersonName">
        <w:smartTagPr>
          <w:attr w:name="ProductID" w:val="la SARL."/>
        </w:smartTagPr>
        <w:r w:rsidRPr="0039691B">
          <w:rPr>
            <w:sz w:val="22"/>
            <w:szCs w:val="22"/>
          </w:rPr>
          <w:t>la SARL.</w:t>
        </w:r>
      </w:smartTag>
    </w:p>
    <w:p w:rsidR="0039691B" w:rsidRPr="0039691B" w:rsidRDefault="0039691B" w:rsidP="006B0C34">
      <w:pPr>
        <w:rPr>
          <w:sz w:val="22"/>
          <w:szCs w:val="22"/>
        </w:rPr>
      </w:pPr>
    </w:p>
    <w:p w:rsidR="0039691B" w:rsidRPr="0039691B" w:rsidRDefault="0039691B" w:rsidP="0039691B">
      <w:pPr>
        <w:rPr>
          <w:b/>
          <w:sz w:val="22"/>
          <w:szCs w:val="22"/>
        </w:rPr>
      </w:pPr>
      <w:r w:rsidRPr="0039691B">
        <w:rPr>
          <w:b/>
          <w:sz w:val="22"/>
          <w:szCs w:val="22"/>
        </w:rPr>
        <w:t>DOSSIER 2</w:t>
      </w:r>
    </w:p>
    <w:p w:rsidR="0039691B" w:rsidRPr="0039691B" w:rsidRDefault="0039691B" w:rsidP="00FE1049">
      <w:pPr>
        <w:rPr>
          <w:b/>
          <w:sz w:val="22"/>
          <w:szCs w:val="22"/>
        </w:rPr>
      </w:pPr>
    </w:p>
    <w:p w:rsidR="0039691B" w:rsidRPr="0039691B" w:rsidRDefault="0039691B" w:rsidP="00FE1049">
      <w:pPr>
        <w:rPr>
          <w:b/>
          <w:sz w:val="22"/>
          <w:szCs w:val="22"/>
        </w:rPr>
      </w:pPr>
      <w:r w:rsidRPr="0039691B">
        <w:rPr>
          <w:b/>
          <w:sz w:val="22"/>
          <w:szCs w:val="22"/>
        </w:rPr>
        <w:t>2.1. La passation de la commande</w:t>
      </w:r>
    </w:p>
    <w:p w:rsidR="0039691B" w:rsidRPr="0039691B" w:rsidRDefault="0039691B" w:rsidP="00FE1049">
      <w:pPr>
        <w:rPr>
          <w:b/>
          <w:sz w:val="22"/>
          <w:szCs w:val="22"/>
        </w:rPr>
      </w:pPr>
    </w:p>
    <w:p w:rsidR="0039691B" w:rsidRPr="0039691B" w:rsidRDefault="0039691B" w:rsidP="00FE1049">
      <w:pPr>
        <w:rPr>
          <w:b/>
          <w:sz w:val="22"/>
          <w:szCs w:val="22"/>
        </w:rPr>
      </w:pPr>
      <w:r w:rsidRPr="0039691B">
        <w:rPr>
          <w:b/>
          <w:sz w:val="22"/>
          <w:szCs w:val="22"/>
        </w:rPr>
        <w:t>1</w:t>
      </w:r>
      <w:r w:rsidRPr="0039691B">
        <w:rPr>
          <w:b/>
          <w:sz w:val="22"/>
          <w:szCs w:val="22"/>
          <w:vertAlign w:val="superscript"/>
        </w:rPr>
        <w:t>ère</w:t>
      </w:r>
      <w:r w:rsidRPr="0039691B">
        <w:rPr>
          <w:b/>
          <w:sz w:val="22"/>
          <w:szCs w:val="22"/>
        </w:rPr>
        <w:t xml:space="preserve"> solution</w:t>
      </w:r>
    </w:p>
    <w:p w:rsidR="0039691B" w:rsidRPr="0039691B" w:rsidRDefault="0039691B" w:rsidP="00FE1049">
      <w:pPr>
        <w:rPr>
          <w:sz w:val="22"/>
          <w:szCs w:val="22"/>
        </w:rPr>
      </w:pPr>
    </w:p>
    <w:p w:rsidR="0039691B" w:rsidRPr="0039691B" w:rsidRDefault="0039691B" w:rsidP="00FE1049">
      <w:pPr>
        <w:jc w:val="both"/>
        <w:rPr>
          <w:sz w:val="22"/>
          <w:szCs w:val="22"/>
        </w:rPr>
      </w:pPr>
      <w:r w:rsidRPr="0039691B">
        <w:rPr>
          <w:sz w:val="22"/>
          <w:szCs w:val="22"/>
        </w:rPr>
        <w:t xml:space="preserve">L’art. L 223 - </w:t>
      </w:r>
      <w:smartTag w:uri="urn:schemas-microsoft-com:office:smarttags" w:element="metricconverter">
        <w:smartTagPr>
          <w:attr w:name="ProductID" w:val="19 C"/>
        </w:smartTagPr>
        <w:r w:rsidRPr="0039691B">
          <w:rPr>
            <w:sz w:val="22"/>
            <w:szCs w:val="22"/>
          </w:rPr>
          <w:t>19 C</w:t>
        </w:r>
      </w:smartTag>
      <w:r w:rsidRPr="0039691B">
        <w:rPr>
          <w:sz w:val="22"/>
          <w:szCs w:val="22"/>
        </w:rPr>
        <w:t xml:space="preserve">. com. définit le régime des conventions réglementées dans une SARL. Il s’agit d’un contrat conclu directement ou par personne interposée entre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et l’un de ses gérants ou associés, ou entre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et une autre société si le gérant ou un associé de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est simultanément, dans la société co-contractante, associé indéfiniment responsable, gérant, administrateur, directeur général, membre du directoire ou du conseil de surveillance. Dans ce cas, la convention est soumise à une procédure particulière comportant notamment une approbation de la collectivité des associés.</w:t>
      </w:r>
    </w:p>
    <w:p w:rsidR="0039691B" w:rsidRPr="0039691B" w:rsidRDefault="0039691B" w:rsidP="00FE1049">
      <w:pPr>
        <w:jc w:val="both"/>
        <w:rPr>
          <w:sz w:val="22"/>
          <w:szCs w:val="22"/>
        </w:rPr>
      </w:pPr>
    </w:p>
    <w:p w:rsidR="0039691B" w:rsidRPr="0039691B" w:rsidRDefault="0039691B" w:rsidP="00FE1049">
      <w:pPr>
        <w:jc w:val="both"/>
        <w:rPr>
          <w:sz w:val="22"/>
          <w:szCs w:val="22"/>
        </w:rPr>
      </w:pPr>
      <w:r w:rsidRPr="0039691B">
        <w:rPr>
          <w:sz w:val="22"/>
          <w:szCs w:val="22"/>
        </w:rPr>
        <w:t>Toutefois, lorsque le contrat porte sur une opération courante conclue à des conditions normales, il s’agit d’une convention libre non soumise à la procédure des conventions réglementées.</w:t>
      </w:r>
    </w:p>
    <w:p w:rsidR="0039691B" w:rsidRPr="0039691B" w:rsidRDefault="0039691B" w:rsidP="00FE1049">
      <w:pPr>
        <w:jc w:val="both"/>
        <w:rPr>
          <w:sz w:val="22"/>
          <w:szCs w:val="22"/>
        </w:rPr>
      </w:pPr>
    </w:p>
    <w:p w:rsidR="0039691B" w:rsidRPr="0039691B" w:rsidRDefault="0039691B" w:rsidP="00FE1049">
      <w:pPr>
        <w:jc w:val="both"/>
        <w:rPr>
          <w:sz w:val="22"/>
          <w:szCs w:val="22"/>
        </w:rPr>
      </w:pPr>
      <w:r w:rsidRPr="0039691B">
        <w:rPr>
          <w:sz w:val="22"/>
          <w:szCs w:val="22"/>
        </w:rPr>
        <w:t xml:space="preserve">Au cas d'espèce, le contrat d’achat de fruits est conclu entre </w:t>
      </w:r>
      <w:smartTag w:uri="urn:schemas-microsoft-com:office:smarttags" w:element="PersonName">
        <w:smartTagPr>
          <w:attr w:name="ProductID" w:val="la SARL Confi-Fruits"/>
        </w:smartTagPr>
        <w:r w:rsidRPr="0039691B">
          <w:rPr>
            <w:sz w:val="22"/>
            <w:szCs w:val="22"/>
          </w:rPr>
          <w:t>la SARL Confi-Fruits</w:t>
        </w:r>
      </w:smartTag>
      <w:r w:rsidRPr="0039691B">
        <w:rPr>
          <w:sz w:val="22"/>
          <w:szCs w:val="22"/>
        </w:rPr>
        <w:t xml:space="preserve"> et une société civile (Les Fruitiers). Or l’un des associés de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Mr Lemaire, est simultanément associé de la société cocontractante. Cette opération entre dans le champ des conventions réglementées. Toutefois, pour une entreprise qui fabrique et commercialise notamment des fruits confits, l'acquisition d'abricots est une opération courante si le contrat est conclu à des conditions normales. Dans notre cas, le prix est légèrement supérieur à celui du marché. Ce prix se justifie par une meilleure qualité du produit. </w:t>
      </w:r>
    </w:p>
    <w:p w:rsidR="0039691B" w:rsidRPr="0039691B" w:rsidRDefault="0039691B" w:rsidP="00FE1049">
      <w:pPr>
        <w:jc w:val="both"/>
        <w:rPr>
          <w:sz w:val="22"/>
          <w:szCs w:val="22"/>
        </w:rPr>
      </w:pPr>
      <w:r w:rsidRPr="0039691B">
        <w:rPr>
          <w:sz w:val="22"/>
          <w:szCs w:val="22"/>
        </w:rPr>
        <w:t xml:space="preserve">En conséquence, il est possible de considérer que le contrat a été passé à des conditions normales. </w:t>
      </w:r>
    </w:p>
    <w:p w:rsidR="0039691B" w:rsidRPr="0039691B" w:rsidRDefault="0039691B" w:rsidP="0039691B">
      <w:pPr>
        <w:jc w:val="both"/>
        <w:rPr>
          <w:b/>
          <w:sz w:val="22"/>
          <w:szCs w:val="22"/>
        </w:rPr>
      </w:pPr>
      <w:r>
        <w:rPr>
          <w:sz w:val="22"/>
          <w:szCs w:val="22"/>
        </w:rPr>
        <w:br w:type="page"/>
      </w:r>
      <w:r w:rsidRPr="0039691B">
        <w:rPr>
          <w:b/>
          <w:sz w:val="22"/>
          <w:szCs w:val="22"/>
        </w:rPr>
        <w:lastRenderedPageBreak/>
        <w:t>2</w:t>
      </w:r>
      <w:r w:rsidRPr="0039691B">
        <w:rPr>
          <w:b/>
          <w:sz w:val="22"/>
          <w:szCs w:val="22"/>
          <w:vertAlign w:val="superscript"/>
        </w:rPr>
        <w:t>ème</w:t>
      </w:r>
      <w:r w:rsidRPr="0039691B">
        <w:rPr>
          <w:b/>
          <w:sz w:val="22"/>
          <w:szCs w:val="22"/>
        </w:rPr>
        <w:t xml:space="preserve"> solution :</w:t>
      </w:r>
    </w:p>
    <w:p w:rsidR="0039691B" w:rsidRPr="0039691B" w:rsidRDefault="0039691B" w:rsidP="0039691B">
      <w:pPr>
        <w:jc w:val="both"/>
        <w:rPr>
          <w:sz w:val="22"/>
          <w:szCs w:val="22"/>
        </w:rPr>
      </w:pPr>
    </w:p>
    <w:p w:rsidR="0039691B" w:rsidRPr="0039691B" w:rsidRDefault="0039691B" w:rsidP="0039691B">
      <w:pPr>
        <w:jc w:val="both"/>
        <w:rPr>
          <w:sz w:val="22"/>
          <w:szCs w:val="22"/>
        </w:rPr>
      </w:pPr>
      <w:r w:rsidRPr="0039691B">
        <w:rPr>
          <w:sz w:val="22"/>
          <w:szCs w:val="22"/>
        </w:rPr>
        <w:t>Dans les relations avec les tiers, le gérant d’une SARL est investi des pouvoirs les plus étendus pour agir en toute circonstance au nom de la société.</w:t>
      </w:r>
    </w:p>
    <w:p w:rsidR="0039691B" w:rsidRPr="0039691B" w:rsidRDefault="0039691B" w:rsidP="0039691B">
      <w:pPr>
        <w:jc w:val="both"/>
        <w:rPr>
          <w:sz w:val="22"/>
          <w:szCs w:val="22"/>
        </w:rPr>
      </w:pPr>
      <w:r w:rsidRPr="0039691B">
        <w:rPr>
          <w:sz w:val="22"/>
          <w:szCs w:val="22"/>
        </w:rPr>
        <w:t>La société est engagée même si les actes accomplis par le gérant n’entrent pas dans l’objet social, à moins que les tiers soient de mauvaise foi.</w:t>
      </w:r>
    </w:p>
    <w:p w:rsidR="0039691B" w:rsidRPr="0039691B" w:rsidRDefault="0039691B" w:rsidP="0039691B">
      <w:pPr>
        <w:jc w:val="both"/>
        <w:rPr>
          <w:sz w:val="22"/>
          <w:szCs w:val="22"/>
        </w:rPr>
      </w:pPr>
    </w:p>
    <w:p w:rsidR="0039691B" w:rsidRPr="0039691B" w:rsidRDefault="0039691B" w:rsidP="0039691B">
      <w:pPr>
        <w:jc w:val="both"/>
        <w:rPr>
          <w:sz w:val="22"/>
          <w:szCs w:val="22"/>
        </w:rPr>
      </w:pPr>
      <w:r w:rsidRPr="0039691B">
        <w:rPr>
          <w:sz w:val="22"/>
          <w:szCs w:val="22"/>
        </w:rPr>
        <w:t xml:space="preserve">Au cas d’espèce, le contrat d’achat de fruits entre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Confi-Fruits</w:t>
        </w:r>
      </w:smartTag>
      <w:r w:rsidRPr="0039691B">
        <w:rPr>
          <w:sz w:val="22"/>
          <w:szCs w:val="22"/>
        </w:rPr>
        <w:t xml:space="preserve"> et la société civile Les Fruitiers entre dans l’objet social.</w:t>
      </w:r>
    </w:p>
    <w:p w:rsidR="0039691B" w:rsidRPr="0039691B" w:rsidRDefault="0039691B" w:rsidP="0039691B">
      <w:pPr>
        <w:jc w:val="both"/>
        <w:rPr>
          <w:sz w:val="22"/>
          <w:szCs w:val="22"/>
        </w:rPr>
      </w:pPr>
      <w:r w:rsidRPr="0039691B">
        <w:rPr>
          <w:sz w:val="22"/>
          <w:szCs w:val="22"/>
        </w:rPr>
        <w:t>Le gérant a donc la liberté de passer ce contrat.</w:t>
      </w:r>
    </w:p>
    <w:p w:rsidR="0039691B" w:rsidRPr="0039691B" w:rsidRDefault="0039691B" w:rsidP="006B0C34">
      <w:pPr>
        <w:rPr>
          <w:sz w:val="22"/>
          <w:szCs w:val="22"/>
        </w:rPr>
      </w:pPr>
    </w:p>
    <w:p w:rsidR="0039691B" w:rsidRPr="0039691B" w:rsidRDefault="0039691B" w:rsidP="00F959BC">
      <w:pPr>
        <w:jc w:val="both"/>
        <w:rPr>
          <w:b/>
          <w:sz w:val="22"/>
          <w:szCs w:val="22"/>
        </w:rPr>
      </w:pPr>
      <w:r w:rsidRPr="0039691B">
        <w:rPr>
          <w:b/>
          <w:sz w:val="22"/>
          <w:szCs w:val="22"/>
        </w:rPr>
        <w:t xml:space="preserve">2.2. Expertise de gestion </w:t>
      </w:r>
    </w:p>
    <w:p w:rsidR="0039691B" w:rsidRPr="0039691B" w:rsidRDefault="0039691B" w:rsidP="00F959BC">
      <w:pPr>
        <w:jc w:val="both"/>
        <w:rPr>
          <w:b/>
          <w:sz w:val="22"/>
          <w:szCs w:val="22"/>
        </w:rPr>
      </w:pPr>
    </w:p>
    <w:p w:rsidR="0039691B" w:rsidRPr="0039691B" w:rsidRDefault="0039691B" w:rsidP="0039691B">
      <w:pPr>
        <w:jc w:val="both"/>
        <w:rPr>
          <w:sz w:val="22"/>
          <w:szCs w:val="22"/>
        </w:rPr>
      </w:pPr>
      <w:r w:rsidRPr="0039691B">
        <w:rPr>
          <w:sz w:val="22"/>
          <w:szCs w:val="22"/>
        </w:rPr>
        <w:t xml:space="preserve">Quand un associé conteste une opération de gestion, il peut mettre en œuvre l'expertise de gestion. </w:t>
      </w:r>
    </w:p>
    <w:p w:rsidR="0039691B" w:rsidRPr="0039691B" w:rsidRDefault="0039691B" w:rsidP="0039691B">
      <w:pPr>
        <w:jc w:val="both"/>
        <w:rPr>
          <w:sz w:val="22"/>
          <w:szCs w:val="22"/>
        </w:rPr>
      </w:pPr>
      <w:r w:rsidRPr="0039691B">
        <w:rPr>
          <w:sz w:val="22"/>
          <w:szCs w:val="22"/>
        </w:rPr>
        <w:t xml:space="preserve">Aux termes de la loi, un ou plusieurs associés représentant au moins le dixième du capital social peuvent, soit individuellement, soit en se groupant sous quelque forme que ce soit, demander au président du tribunal de commerce  la désignation d'un ou plusieurs experts chargés de représenter un rapport sur une ou plusieurs opérations de gestion. </w:t>
      </w:r>
    </w:p>
    <w:p w:rsidR="0039691B" w:rsidRPr="0039691B" w:rsidRDefault="0039691B" w:rsidP="00F959BC">
      <w:pPr>
        <w:rPr>
          <w:sz w:val="22"/>
          <w:szCs w:val="22"/>
        </w:rPr>
      </w:pPr>
    </w:p>
    <w:p w:rsidR="0039691B" w:rsidRPr="0039691B" w:rsidRDefault="0039691B" w:rsidP="00F959BC">
      <w:pPr>
        <w:jc w:val="both"/>
        <w:rPr>
          <w:sz w:val="22"/>
          <w:szCs w:val="22"/>
        </w:rPr>
      </w:pPr>
      <w:r w:rsidRPr="0039691B">
        <w:rPr>
          <w:sz w:val="22"/>
          <w:szCs w:val="22"/>
        </w:rPr>
        <w:t xml:space="preserve">Au cas d'espèce, </w:t>
      </w:r>
      <w:proofErr w:type="spellStart"/>
      <w:r w:rsidRPr="0039691B">
        <w:rPr>
          <w:sz w:val="22"/>
          <w:szCs w:val="22"/>
        </w:rPr>
        <w:t>Isaline</w:t>
      </w:r>
      <w:proofErr w:type="spellEnd"/>
      <w:r w:rsidRPr="0039691B">
        <w:rPr>
          <w:sz w:val="22"/>
          <w:szCs w:val="22"/>
        </w:rPr>
        <w:t xml:space="preserve"> Portal possède 150 parts sociales sur 100</w:t>
      </w:r>
      <w:r>
        <w:rPr>
          <w:sz w:val="22"/>
          <w:szCs w:val="22"/>
        </w:rPr>
        <w:t xml:space="preserve">0. Elle dépasse donc le seuil </w:t>
      </w:r>
      <w:r w:rsidRPr="0039691B">
        <w:rPr>
          <w:sz w:val="22"/>
          <w:szCs w:val="22"/>
        </w:rPr>
        <w:t xml:space="preserve">de 10 %. Par ailleurs, une expertise de gestion peut porter sur le contrat. </w:t>
      </w:r>
    </w:p>
    <w:p w:rsidR="0039691B" w:rsidRPr="0039691B" w:rsidRDefault="0039691B" w:rsidP="00F959BC">
      <w:pPr>
        <w:jc w:val="both"/>
        <w:rPr>
          <w:sz w:val="22"/>
          <w:szCs w:val="22"/>
        </w:rPr>
      </w:pPr>
      <w:r w:rsidRPr="0039691B">
        <w:rPr>
          <w:sz w:val="22"/>
          <w:szCs w:val="22"/>
        </w:rPr>
        <w:t xml:space="preserve">En conséquence, la demande de Mme Portal est recevable à condition que l'action soit portée devant le président du tribunal de commerce.  </w:t>
      </w:r>
    </w:p>
    <w:p w:rsidR="0039691B" w:rsidRPr="0039691B" w:rsidRDefault="0039691B" w:rsidP="006B0C34">
      <w:pPr>
        <w:rPr>
          <w:sz w:val="22"/>
          <w:szCs w:val="22"/>
        </w:rPr>
      </w:pPr>
    </w:p>
    <w:p w:rsidR="0039691B" w:rsidRPr="0039691B" w:rsidRDefault="0039691B" w:rsidP="006F77D2">
      <w:pPr>
        <w:jc w:val="both"/>
        <w:rPr>
          <w:b/>
          <w:sz w:val="22"/>
          <w:szCs w:val="22"/>
        </w:rPr>
      </w:pPr>
      <w:r w:rsidRPr="0039691B">
        <w:rPr>
          <w:b/>
          <w:sz w:val="22"/>
          <w:szCs w:val="22"/>
        </w:rPr>
        <w:t>2.3. L'emprunt obligataire</w:t>
      </w:r>
    </w:p>
    <w:p w:rsidR="0039691B" w:rsidRPr="0039691B" w:rsidRDefault="0039691B" w:rsidP="006F77D2">
      <w:pPr>
        <w:jc w:val="both"/>
        <w:rPr>
          <w:b/>
          <w:sz w:val="22"/>
          <w:szCs w:val="22"/>
        </w:rPr>
      </w:pPr>
    </w:p>
    <w:p w:rsidR="0039691B" w:rsidRPr="0039691B" w:rsidRDefault="0039691B" w:rsidP="006F77D2">
      <w:pPr>
        <w:jc w:val="both"/>
        <w:rPr>
          <w:sz w:val="22"/>
          <w:szCs w:val="22"/>
        </w:rPr>
      </w:pPr>
      <w:r w:rsidRPr="0039691B">
        <w:rPr>
          <w:sz w:val="22"/>
          <w:szCs w:val="22"/>
        </w:rPr>
        <w:t>L’article L 223-</w:t>
      </w:r>
      <w:smartTag w:uri="urn:schemas-microsoft-com:office:smarttags" w:element="metricconverter">
        <w:smartTagPr>
          <w:attr w:name="ProductID" w:val="11 C"/>
        </w:smartTagPr>
        <w:r w:rsidRPr="0039691B">
          <w:rPr>
            <w:sz w:val="22"/>
            <w:szCs w:val="22"/>
          </w:rPr>
          <w:t>11 C</w:t>
        </w:r>
      </w:smartTag>
      <w:r w:rsidRPr="0039691B">
        <w:rPr>
          <w:sz w:val="22"/>
          <w:szCs w:val="22"/>
        </w:rPr>
        <w:t>. com. définit à quelles conditions une SARL peut émettre un emprunt obligataire :</w:t>
      </w:r>
    </w:p>
    <w:p w:rsidR="0039691B" w:rsidRPr="0039691B" w:rsidRDefault="0039691B" w:rsidP="006F77D2">
      <w:pPr>
        <w:jc w:val="both"/>
        <w:rPr>
          <w:sz w:val="22"/>
          <w:szCs w:val="22"/>
        </w:rPr>
      </w:pPr>
      <w:r w:rsidRPr="0039691B">
        <w:rPr>
          <w:sz w:val="22"/>
          <w:szCs w:val="22"/>
        </w:rPr>
        <w:t xml:space="preserv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doit être tenue de désigner un commissaire aux comptes ;</w:t>
      </w:r>
    </w:p>
    <w:p w:rsidR="0039691B" w:rsidRPr="0039691B" w:rsidRDefault="0039691B" w:rsidP="006F77D2">
      <w:pPr>
        <w:jc w:val="both"/>
        <w:rPr>
          <w:sz w:val="22"/>
          <w:szCs w:val="22"/>
        </w:rPr>
      </w:pPr>
      <w:r w:rsidRPr="0039691B">
        <w:rPr>
          <w:sz w:val="22"/>
          <w:szCs w:val="22"/>
        </w:rPr>
        <w:t>- les comptes de ses trois derniers exercices de 12 mois doivent avoir été régulièrement approuvés ;</w:t>
      </w:r>
    </w:p>
    <w:p w:rsidR="0039691B" w:rsidRPr="0039691B" w:rsidRDefault="0039691B" w:rsidP="006F77D2">
      <w:pPr>
        <w:jc w:val="both"/>
        <w:rPr>
          <w:sz w:val="22"/>
          <w:szCs w:val="22"/>
        </w:rPr>
      </w:pPr>
      <w:r w:rsidRPr="0039691B">
        <w:rPr>
          <w:sz w:val="22"/>
          <w:szCs w:val="22"/>
        </w:rPr>
        <w:t>- l’émission doit porter sur des obligations nominatives ;</w:t>
      </w:r>
    </w:p>
    <w:p w:rsidR="0039691B" w:rsidRPr="0039691B" w:rsidRDefault="0039691B" w:rsidP="006F77D2">
      <w:pPr>
        <w:jc w:val="both"/>
        <w:rPr>
          <w:sz w:val="22"/>
          <w:szCs w:val="22"/>
        </w:rPr>
      </w:pPr>
      <w:r w:rsidRPr="0039691B">
        <w:rPr>
          <w:sz w:val="22"/>
          <w:szCs w:val="22"/>
        </w:rPr>
        <w:t>- l’émission doit être réalisée sans offre au public ;</w:t>
      </w:r>
    </w:p>
    <w:p w:rsidR="0039691B" w:rsidRPr="0039691B" w:rsidRDefault="0039691B" w:rsidP="006F77D2">
      <w:pPr>
        <w:jc w:val="both"/>
        <w:rPr>
          <w:sz w:val="22"/>
          <w:szCs w:val="22"/>
        </w:rPr>
      </w:pPr>
      <w:r w:rsidRPr="0039691B">
        <w:rPr>
          <w:sz w:val="22"/>
          <w:szCs w:val="22"/>
        </w:rPr>
        <w:t>- l’émission doit être décidée par une assemblée des associés.</w:t>
      </w:r>
    </w:p>
    <w:p w:rsidR="0039691B" w:rsidRPr="0039691B" w:rsidRDefault="0039691B" w:rsidP="006F77D2">
      <w:pPr>
        <w:jc w:val="both"/>
        <w:rPr>
          <w:sz w:val="22"/>
          <w:szCs w:val="22"/>
        </w:rPr>
      </w:pPr>
    </w:p>
    <w:p w:rsidR="0039691B" w:rsidRPr="0039691B" w:rsidRDefault="0039691B" w:rsidP="006F77D2">
      <w:pPr>
        <w:jc w:val="both"/>
        <w:rPr>
          <w:sz w:val="22"/>
          <w:szCs w:val="22"/>
        </w:rPr>
      </w:pPr>
      <w:r w:rsidRPr="0039691B">
        <w:rPr>
          <w:sz w:val="22"/>
          <w:szCs w:val="22"/>
        </w:rPr>
        <w:t xml:space="preserve">Au cas d'espèce, à la fin de 2009,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Confi-Fruits</w:t>
        </w:r>
      </w:smartTag>
      <w:r w:rsidRPr="0039691B">
        <w:rPr>
          <w:sz w:val="22"/>
          <w:szCs w:val="22"/>
        </w:rPr>
        <w:t xml:space="preserve"> n’a pas fait approuver régulièrement ses 3 derniers exercices de 12 mois ; elle terminait seulement son troisième exercice de 12 mois puisqu’elle a été créée en avril 2008. De plus,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Confi-Fruits</w:t>
        </w:r>
      </w:smartTag>
      <w:r w:rsidRPr="0039691B">
        <w:rPr>
          <w:sz w:val="22"/>
          <w:szCs w:val="22"/>
        </w:rPr>
        <w:t xml:space="preserve"> n’a pas de CAC.</w:t>
      </w:r>
    </w:p>
    <w:p w:rsidR="0039691B" w:rsidRPr="0039691B" w:rsidRDefault="0039691B" w:rsidP="006F77D2">
      <w:pPr>
        <w:jc w:val="both"/>
        <w:rPr>
          <w:sz w:val="22"/>
          <w:szCs w:val="22"/>
        </w:rPr>
      </w:pPr>
      <w:r w:rsidRPr="0039691B">
        <w:rPr>
          <w:sz w:val="22"/>
          <w:szCs w:val="22"/>
        </w:rPr>
        <w:t xml:space="preserve">En conséquence, les conditions légales du lancement d'un emprunt obligataire ne sont pas réunies. </w:t>
      </w:r>
    </w:p>
    <w:p w:rsidR="0039691B" w:rsidRPr="0039691B" w:rsidRDefault="0039691B" w:rsidP="006B0C34">
      <w:pPr>
        <w:rPr>
          <w:sz w:val="22"/>
          <w:szCs w:val="22"/>
        </w:rPr>
      </w:pPr>
    </w:p>
    <w:p w:rsidR="0039691B" w:rsidRPr="0039691B" w:rsidRDefault="0039691B" w:rsidP="0039691B">
      <w:pPr>
        <w:rPr>
          <w:b/>
          <w:sz w:val="22"/>
          <w:szCs w:val="22"/>
        </w:rPr>
      </w:pPr>
      <w:r w:rsidRPr="0039691B">
        <w:rPr>
          <w:b/>
          <w:sz w:val="22"/>
          <w:szCs w:val="22"/>
        </w:rPr>
        <w:t>DOSSIER 3</w:t>
      </w:r>
    </w:p>
    <w:p w:rsidR="0039691B" w:rsidRPr="0039691B" w:rsidRDefault="0039691B" w:rsidP="006F77D2">
      <w:pPr>
        <w:jc w:val="both"/>
        <w:rPr>
          <w:sz w:val="22"/>
          <w:szCs w:val="22"/>
        </w:rPr>
      </w:pPr>
    </w:p>
    <w:p w:rsidR="0039691B" w:rsidRPr="0039691B" w:rsidRDefault="0039691B" w:rsidP="006F77D2">
      <w:pPr>
        <w:jc w:val="both"/>
        <w:rPr>
          <w:b/>
          <w:sz w:val="22"/>
          <w:szCs w:val="22"/>
        </w:rPr>
      </w:pPr>
      <w:r w:rsidRPr="0039691B">
        <w:rPr>
          <w:b/>
          <w:sz w:val="22"/>
          <w:szCs w:val="22"/>
        </w:rPr>
        <w:t xml:space="preserve">3.1. La plainte avec constitution de partie civile </w:t>
      </w:r>
    </w:p>
    <w:p w:rsidR="0039691B" w:rsidRPr="0039691B" w:rsidRDefault="0039691B" w:rsidP="006B0C34">
      <w:pPr>
        <w:rPr>
          <w:sz w:val="22"/>
          <w:szCs w:val="22"/>
        </w:rPr>
      </w:pPr>
    </w:p>
    <w:p w:rsidR="0039691B" w:rsidRPr="0039691B" w:rsidRDefault="0039691B" w:rsidP="0039691B">
      <w:pPr>
        <w:jc w:val="both"/>
        <w:rPr>
          <w:sz w:val="22"/>
          <w:szCs w:val="22"/>
        </w:rPr>
      </w:pPr>
      <w:r w:rsidRPr="0039691B">
        <w:rPr>
          <w:sz w:val="22"/>
          <w:szCs w:val="22"/>
        </w:rPr>
        <w:t>C’est l’acte par lequel la victime d’une infraction saisit soit une juridiction d’instruction (le juge d’instruction), soit une juridiction de jugement (exemple : tribunal correctionnel) afin d’obtenir réparation de son préjudice.</w:t>
      </w:r>
    </w:p>
    <w:p w:rsidR="0039691B" w:rsidRPr="0039691B" w:rsidRDefault="0039691B" w:rsidP="0039691B">
      <w:pPr>
        <w:jc w:val="both"/>
        <w:rPr>
          <w:sz w:val="22"/>
          <w:szCs w:val="22"/>
        </w:rPr>
      </w:pPr>
    </w:p>
    <w:p w:rsidR="0039691B" w:rsidRPr="0039691B" w:rsidRDefault="0039691B" w:rsidP="0039691B">
      <w:pPr>
        <w:jc w:val="both"/>
        <w:rPr>
          <w:sz w:val="22"/>
          <w:szCs w:val="22"/>
        </w:rPr>
      </w:pPr>
      <w:r w:rsidRPr="0039691B">
        <w:rPr>
          <w:sz w:val="22"/>
          <w:szCs w:val="22"/>
        </w:rPr>
        <w:t>En conséquence, la juridiction pénale saisie de l’infraction devra également statuer sur la demande de dommages intérêts de la victime.</w:t>
      </w:r>
    </w:p>
    <w:p w:rsidR="0039691B" w:rsidRPr="0039691B" w:rsidRDefault="0039691B" w:rsidP="006B0C34">
      <w:pPr>
        <w:rPr>
          <w:sz w:val="22"/>
          <w:szCs w:val="22"/>
        </w:rPr>
      </w:pPr>
    </w:p>
    <w:p w:rsidR="0039691B" w:rsidRPr="0039691B" w:rsidRDefault="0039691B" w:rsidP="006233CB">
      <w:pPr>
        <w:jc w:val="both"/>
        <w:rPr>
          <w:b/>
          <w:sz w:val="22"/>
          <w:szCs w:val="22"/>
        </w:rPr>
      </w:pPr>
      <w:r w:rsidRPr="0039691B">
        <w:rPr>
          <w:b/>
          <w:sz w:val="22"/>
          <w:szCs w:val="22"/>
        </w:rPr>
        <w:t>3.2 Conditions de mise en jeu de la responsabilité pénale de la société</w:t>
      </w:r>
    </w:p>
    <w:p w:rsidR="0039691B" w:rsidRPr="0039691B" w:rsidRDefault="0039691B" w:rsidP="006233CB">
      <w:pPr>
        <w:jc w:val="both"/>
        <w:rPr>
          <w:sz w:val="22"/>
          <w:szCs w:val="22"/>
        </w:rPr>
      </w:pPr>
    </w:p>
    <w:p w:rsidR="0039691B" w:rsidRPr="0039691B" w:rsidRDefault="0039691B" w:rsidP="006233CB">
      <w:pPr>
        <w:jc w:val="both"/>
        <w:rPr>
          <w:sz w:val="22"/>
          <w:szCs w:val="22"/>
        </w:rPr>
      </w:pPr>
      <w:r w:rsidRPr="0039691B">
        <w:rPr>
          <w:sz w:val="22"/>
          <w:szCs w:val="22"/>
        </w:rPr>
        <w:t xml:space="preserve">Les personnes morales sont responsables pénalement des infractions commises </w:t>
      </w:r>
      <w:r w:rsidRPr="0039691B">
        <w:rPr>
          <w:sz w:val="22"/>
          <w:szCs w:val="22"/>
          <w:u w:val="single"/>
        </w:rPr>
        <w:t>pour leur compte</w:t>
      </w:r>
      <w:r w:rsidRPr="0039691B">
        <w:rPr>
          <w:sz w:val="22"/>
          <w:szCs w:val="22"/>
        </w:rPr>
        <w:t xml:space="preserve"> (ce qui implique que la société en ait tiré un intérêt direct ou indirect) </w:t>
      </w:r>
      <w:r w:rsidRPr="0039691B">
        <w:rPr>
          <w:sz w:val="22"/>
          <w:szCs w:val="22"/>
          <w:u w:val="single"/>
        </w:rPr>
        <w:t>par leurs organes ou représentants</w:t>
      </w:r>
      <w:r w:rsidRPr="0039691B">
        <w:rPr>
          <w:sz w:val="22"/>
          <w:szCs w:val="22"/>
        </w:rPr>
        <w:t xml:space="preserve"> (c'est-à-dire le gérant, le directeur général, le PCA, l’administrateur… ou toute personne qui aurait reçu délégation de pouvoir pour agir à la place du représentant légal de la société).</w:t>
      </w:r>
    </w:p>
    <w:p w:rsidR="0039691B" w:rsidRPr="0039691B" w:rsidRDefault="0039691B" w:rsidP="006233CB">
      <w:pPr>
        <w:jc w:val="both"/>
        <w:rPr>
          <w:sz w:val="22"/>
          <w:szCs w:val="22"/>
        </w:rPr>
      </w:pPr>
    </w:p>
    <w:p w:rsidR="0039691B" w:rsidRPr="0039691B" w:rsidRDefault="0039691B" w:rsidP="006233CB">
      <w:pPr>
        <w:jc w:val="both"/>
        <w:rPr>
          <w:sz w:val="22"/>
          <w:szCs w:val="22"/>
        </w:rPr>
      </w:pPr>
      <w:r w:rsidRPr="0039691B">
        <w:rPr>
          <w:sz w:val="22"/>
          <w:szCs w:val="22"/>
        </w:rPr>
        <w:t xml:space="preserve">Au cas d'espèce, la société est dotée de la personnalité morale : elle a été immatriculée au RCS en 2008. </w:t>
      </w:r>
    </w:p>
    <w:p w:rsidR="0039691B" w:rsidRPr="0039691B" w:rsidRDefault="0039691B" w:rsidP="006233CB">
      <w:pPr>
        <w:jc w:val="both"/>
        <w:rPr>
          <w:sz w:val="22"/>
          <w:szCs w:val="22"/>
        </w:rPr>
      </w:pPr>
      <w:r w:rsidRPr="0039691B">
        <w:rPr>
          <w:sz w:val="22"/>
          <w:szCs w:val="22"/>
        </w:rPr>
        <w:t>Le salarié a commis une infraction. Or un salarié n’est pas considéré comme un organe ou un représentant de la société ; de plus, le</w:t>
      </w:r>
      <w:r>
        <w:rPr>
          <w:sz w:val="22"/>
          <w:szCs w:val="22"/>
        </w:rPr>
        <w:t xml:space="preserve"> salarié n'a pas de délégation.</w:t>
      </w:r>
    </w:p>
    <w:p w:rsidR="0039691B" w:rsidRPr="0039691B" w:rsidRDefault="0039691B" w:rsidP="006233CB">
      <w:pPr>
        <w:jc w:val="both"/>
        <w:rPr>
          <w:sz w:val="22"/>
          <w:szCs w:val="22"/>
        </w:rPr>
      </w:pPr>
    </w:p>
    <w:p w:rsidR="0039691B" w:rsidRPr="0039691B" w:rsidRDefault="0039691B" w:rsidP="006233CB">
      <w:pPr>
        <w:jc w:val="both"/>
        <w:rPr>
          <w:sz w:val="22"/>
          <w:szCs w:val="22"/>
        </w:rPr>
      </w:pPr>
      <w:r w:rsidRPr="0039691B">
        <w:rPr>
          <w:sz w:val="22"/>
          <w:szCs w:val="22"/>
        </w:rPr>
        <w:t xml:space="preserve">Par conséquent, l’une des conditions de mise en jeu de la responsabilité pénale de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Confi-Fruits</w:t>
        </w:r>
      </w:smartTag>
      <w:r w:rsidRPr="0039691B">
        <w:rPr>
          <w:sz w:val="22"/>
          <w:szCs w:val="22"/>
        </w:rPr>
        <w:t xml:space="preserve"> n’étant pas présente, la responsabilité de </w:t>
      </w:r>
      <w:smartTag w:uri="urn:schemas-microsoft-com:office:smarttags" w:element="PersonName">
        <w:smartTagPr>
          <w:attr w:name="ProductID" w:val="la SARL"/>
        </w:smartTagPr>
        <w:r w:rsidRPr="0039691B">
          <w:rPr>
            <w:sz w:val="22"/>
            <w:szCs w:val="22"/>
          </w:rPr>
          <w:t>la SARL</w:t>
        </w:r>
      </w:smartTag>
      <w:r w:rsidRPr="0039691B">
        <w:rPr>
          <w:sz w:val="22"/>
          <w:szCs w:val="22"/>
        </w:rPr>
        <w:t xml:space="preserve"> ne peut être engagée.</w:t>
      </w:r>
    </w:p>
    <w:p w:rsidR="0039691B" w:rsidRPr="0039691B" w:rsidRDefault="0039691B" w:rsidP="006B0C34">
      <w:pPr>
        <w:rPr>
          <w:sz w:val="22"/>
          <w:szCs w:val="22"/>
        </w:rPr>
      </w:pPr>
    </w:p>
    <w:p w:rsidR="0039691B" w:rsidRPr="0039691B" w:rsidRDefault="0039691B" w:rsidP="00283C6F">
      <w:pPr>
        <w:jc w:val="both"/>
        <w:rPr>
          <w:b/>
          <w:sz w:val="22"/>
          <w:szCs w:val="22"/>
        </w:rPr>
      </w:pPr>
      <w:r w:rsidRPr="0039691B">
        <w:rPr>
          <w:b/>
          <w:sz w:val="22"/>
          <w:szCs w:val="22"/>
        </w:rPr>
        <w:t xml:space="preserve">3.3. La révocation du gérant de </w:t>
      </w:r>
      <w:smartTag w:uri="urn:schemas-microsoft-com:office:smarttags" w:element="PersonName">
        <w:smartTagPr>
          <w:attr w:name="ProductID" w:val="la SARL"/>
        </w:smartTagPr>
        <w:r w:rsidRPr="0039691B">
          <w:rPr>
            <w:b/>
            <w:sz w:val="22"/>
            <w:szCs w:val="22"/>
          </w:rPr>
          <w:t>la SARL</w:t>
        </w:r>
      </w:smartTag>
    </w:p>
    <w:p w:rsidR="0039691B" w:rsidRPr="0039691B" w:rsidRDefault="0039691B" w:rsidP="00283C6F">
      <w:pPr>
        <w:jc w:val="both"/>
        <w:rPr>
          <w:sz w:val="22"/>
          <w:szCs w:val="22"/>
        </w:rPr>
      </w:pPr>
    </w:p>
    <w:p w:rsidR="0039691B" w:rsidRPr="0039691B" w:rsidRDefault="0039691B" w:rsidP="00283C6F">
      <w:pPr>
        <w:jc w:val="both"/>
        <w:rPr>
          <w:sz w:val="22"/>
          <w:szCs w:val="22"/>
        </w:rPr>
      </w:pPr>
      <w:r w:rsidRPr="0039691B">
        <w:rPr>
          <w:sz w:val="22"/>
          <w:szCs w:val="22"/>
        </w:rPr>
        <w:t xml:space="preserve">Le gérant de SARL est révocable par des associés représentant plus de  la moitié des parts sociales. </w:t>
      </w:r>
    </w:p>
    <w:p w:rsidR="0039691B" w:rsidRPr="0039691B" w:rsidRDefault="0039691B" w:rsidP="00283C6F">
      <w:pPr>
        <w:jc w:val="both"/>
        <w:rPr>
          <w:sz w:val="22"/>
          <w:szCs w:val="22"/>
        </w:rPr>
      </w:pPr>
      <w:r w:rsidRPr="0039691B">
        <w:rPr>
          <w:sz w:val="22"/>
          <w:szCs w:val="22"/>
        </w:rPr>
        <w:t xml:space="preserve">Si le gérant est révoqué sans juste motif ou dans des conditions abusives, il peut demander des dommages intérêts. </w:t>
      </w:r>
    </w:p>
    <w:p w:rsidR="0039691B" w:rsidRPr="0039691B" w:rsidRDefault="0039691B" w:rsidP="00283C6F">
      <w:pPr>
        <w:jc w:val="both"/>
        <w:rPr>
          <w:sz w:val="22"/>
          <w:szCs w:val="22"/>
        </w:rPr>
      </w:pPr>
      <w:r w:rsidRPr="0039691B">
        <w:rPr>
          <w:sz w:val="22"/>
          <w:szCs w:val="22"/>
        </w:rPr>
        <w:t>La révocation du gérant peut être décidée au cours d’une assemblée d’associés.</w:t>
      </w:r>
    </w:p>
    <w:p w:rsidR="0039691B" w:rsidRPr="0039691B" w:rsidRDefault="0039691B" w:rsidP="00283C6F">
      <w:pPr>
        <w:jc w:val="both"/>
        <w:rPr>
          <w:sz w:val="22"/>
          <w:szCs w:val="22"/>
        </w:rPr>
      </w:pPr>
    </w:p>
    <w:p w:rsidR="0039691B" w:rsidRPr="0039691B" w:rsidRDefault="0039691B" w:rsidP="00283C6F">
      <w:pPr>
        <w:jc w:val="both"/>
        <w:rPr>
          <w:sz w:val="22"/>
          <w:szCs w:val="22"/>
        </w:rPr>
      </w:pPr>
      <w:r w:rsidRPr="0039691B">
        <w:rPr>
          <w:sz w:val="22"/>
          <w:szCs w:val="22"/>
        </w:rPr>
        <w:t xml:space="preserve">Au cas d'espèce, Axel </w:t>
      </w:r>
      <w:proofErr w:type="spellStart"/>
      <w:r w:rsidRPr="0039691B">
        <w:rPr>
          <w:sz w:val="22"/>
          <w:szCs w:val="22"/>
        </w:rPr>
        <w:t>Dorin</w:t>
      </w:r>
      <w:proofErr w:type="spellEnd"/>
      <w:r w:rsidRPr="0039691B">
        <w:rPr>
          <w:sz w:val="22"/>
          <w:szCs w:val="22"/>
        </w:rPr>
        <w:t xml:space="preserve"> peut être révoqué au cours d’une assemblée pour défaut de surveillance du salarié Justin </w:t>
      </w:r>
      <w:proofErr w:type="spellStart"/>
      <w:r w:rsidRPr="0039691B">
        <w:rPr>
          <w:sz w:val="22"/>
          <w:szCs w:val="22"/>
        </w:rPr>
        <w:t>Sadou</w:t>
      </w:r>
      <w:proofErr w:type="spellEnd"/>
      <w:r w:rsidRPr="0039691B">
        <w:rPr>
          <w:sz w:val="22"/>
          <w:szCs w:val="22"/>
        </w:rPr>
        <w:t xml:space="preserve">. </w:t>
      </w:r>
    </w:p>
    <w:p w:rsidR="0039691B" w:rsidRDefault="0039691B" w:rsidP="006B0C34">
      <w:pPr>
        <w:rPr>
          <w:b/>
        </w:rPr>
      </w:pPr>
    </w:p>
    <w:p w:rsidR="0039691B"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39691B"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rPr>
      </w:pPr>
      <w:r w:rsidRPr="0039691B">
        <w:rPr>
          <w:b/>
          <w:bCs/>
        </w:rPr>
        <w:t>II QUESTION DE COURS</w:t>
      </w:r>
    </w:p>
    <w:p w:rsidR="0039691B" w:rsidRPr="0039691B" w:rsidRDefault="0039691B" w:rsidP="0039691B">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39691B" w:rsidRPr="0039691B" w:rsidRDefault="0039691B" w:rsidP="009F5C14">
      <w:pPr>
        <w:rPr>
          <w:sz w:val="22"/>
          <w:szCs w:val="22"/>
        </w:rPr>
      </w:pPr>
    </w:p>
    <w:p w:rsidR="0039691B" w:rsidRPr="0039691B" w:rsidRDefault="0039691B" w:rsidP="009F5C14">
      <w:pPr>
        <w:jc w:val="both"/>
        <w:rPr>
          <w:sz w:val="22"/>
          <w:szCs w:val="22"/>
        </w:rPr>
      </w:pPr>
      <w:r w:rsidRPr="0039691B">
        <w:rPr>
          <w:sz w:val="22"/>
          <w:szCs w:val="22"/>
        </w:rPr>
        <w:t>1° Sociétés tenues d'avoir un commissaire aux comptes (SA, SE, SCA) ;</w:t>
      </w:r>
    </w:p>
    <w:p w:rsidR="0039691B" w:rsidRPr="0039691B" w:rsidRDefault="0039691B" w:rsidP="009F5C14">
      <w:pPr>
        <w:jc w:val="both"/>
        <w:rPr>
          <w:sz w:val="22"/>
          <w:szCs w:val="22"/>
        </w:rPr>
      </w:pPr>
    </w:p>
    <w:p w:rsidR="0039691B" w:rsidRPr="0039691B" w:rsidRDefault="0039691B" w:rsidP="009F5C14">
      <w:pPr>
        <w:jc w:val="both"/>
        <w:rPr>
          <w:sz w:val="22"/>
          <w:szCs w:val="22"/>
        </w:rPr>
      </w:pPr>
      <w:r w:rsidRPr="0039691B">
        <w:rPr>
          <w:sz w:val="22"/>
          <w:szCs w:val="22"/>
        </w:rPr>
        <w:t>2° Sociétés tenues d'avoir un commissaire aux comptes sous conditions :</w:t>
      </w:r>
    </w:p>
    <w:p w:rsidR="0039691B" w:rsidRPr="0039691B" w:rsidRDefault="0039691B" w:rsidP="009F5C14">
      <w:pPr>
        <w:jc w:val="both"/>
        <w:rPr>
          <w:sz w:val="22"/>
          <w:szCs w:val="22"/>
        </w:rPr>
      </w:pPr>
      <w:r w:rsidRPr="0039691B">
        <w:rPr>
          <w:sz w:val="22"/>
          <w:szCs w:val="22"/>
        </w:rPr>
        <w:t>- 2 des 3 seuils suivants doivent être dépassés par les SNC et les SARL : 3 100 000 € pour le chiffre d’affaires hors taxes, 1 550 000 € pour le total du bilan et 50 pour l’effectif moyen des salariés ;</w:t>
      </w:r>
    </w:p>
    <w:p w:rsidR="0039691B" w:rsidRPr="0039691B" w:rsidRDefault="0039691B" w:rsidP="000B69D1">
      <w:pPr>
        <w:jc w:val="both"/>
        <w:rPr>
          <w:sz w:val="22"/>
          <w:szCs w:val="22"/>
        </w:rPr>
      </w:pPr>
      <w:r w:rsidRPr="0039691B">
        <w:rPr>
          <w:sz w:val="22"/>
          <w:szCs w:val="22"/>
        </w:rPr>
        <w:t>- 2 des 3 seuils suivants doivent être dépassés par les SAS : 2 000 000 € pour le chiffre d’affaires hors taxes, 1 000 000 € pour le total du bilan et 20 pour l’effectif moyen des salariés.</w:t>
      </w:r>
    </w:p>
    <w:p w:rsidR="009F5C14" w:rsidRPr="0039691B" w:rsidRDefault="009F5C14" w:rsidP="00826875">
      <w:pPr>
        <w:jc w:val="both"/>
        <w:rPr>
          <w:sz w:val="22"/>
          <w:szCs w:val="22"/>
        </w:rPr>
      </w:pPr>
    </w:p>
    <w:p w:rsidR="005D1AF6" w:rsidRDefault="005D1AF6" w:rsidP="005D1AF6">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791522" w:rsidRDefault="005D1AF6" w:rsidP="005D1AF6">
      <w:pPr>
        <w:pBdr>
          <w:top w:val="single" w:sz="4" w:space="1" w:color="auto"/>
          <w:left w:val="single" w:sz="4" w:space="4" w:color="auto"/>
          <w:bottom w:val="single" w:sz="4" w:space="1" w:color="auto"/>
          <w:right w:val="single" w:sz="4" w:space="4" w:color="auto"/>
        </w:pBdr>
        <w:shd w:val="clear" w:color="auto" w:fill="E0E0E0"/>
        <w:ind w:right="85"/>
        <w:jc w:val="center"/>
        <w:rPr>
          <w:b/>
          <w:bCs/>
        </w:rPr>
      </w:pPr>
      <w:r>
        <w:rPr>
          <w:b/>
          <w:bCs/>
        </w:rPr>
        <w:t xml:space="preserve">III </w:t>
      </w:r>
      <w:r w:rsidRPr="005D1AF6">
        <w:rPr>
          <w:b/>
          <w:bCs/>
        </w:rPr>
        <w:t>ETUDE D'UN DOCUMENT</w:t>
      </w:r>
    </w:p>
    <w:p w:rsidR="005D1AF6" w:rsidRPr="005D1AF6" w:rsidRDefault="005D1AF6" w:rsidP="005D1AF6">
      <w:pPr>
        <w:pBdr>
          <w:top w:val="single" w:sz="4" w:space="1" w:color="auto"/>
          <w:left w:val="single" w:sz="4" w:space="4" w:color="auto"/>
          <w:bottom w:val="single" w:sz="4" w:space="1" w:color="auto"/>
          <w:right w:val="single" w:sz="4" w:space="4" w:color="auto"/>
        </w:pBdr>
        <w:shd w:val="clear" w:color="auto" w:fill="E0E0E0"/>
        <w:ind w:right="85"/>
        <w:jc w:val="center"/>
        <w:rPr>
          <w:b/>
          <w:bCs/>
        </w:rPr>
      </w:pPr>
    </w:p>
    <w:p w:rsidR="005D1AF6" w:rsidRPr="0039691B" w:rsidRDefault="005D1AF6" w:rsidP="00017249">
      <w:pPr>
        <w:rPr>
          <w:sz w:val="22"/>
          <w:szCs w:val="22"/>
        </w:rPr>
      </w:pPr>
    </w:p>
    <w:p w:rsidR="005D1AF6" w:rsidRPr="0039691B" w:rsidRDefault="005D1AF6" w:rsidP="00017249">
      <w:pPr>
        <w:jc w:val="both"/>
        <w:rPr>
          <w:sz w:val="22"/>
          <w:szCs w:val="22"/>
        </w:rPr>
      </w:pPr>
      <w:r w:rsidRPr="0039691B">
        <w:rPr>
          <w:b/>
          <w:sz w:val="22"/>
          <w:szCs w:val="22"/>
        </w:rPr>
        <w:t>Art. 5</w:t>
      </w:r>
      <w:r w:rsidRPr="0039691B">
        <w:rPr>
          <w:sz w:val="22"/>
          <w:szCs w:val="22"/>
        </w:rPr>
        <w:t> : La dissolution anticipée d’une SNC ne peut jamais être décidée par le gérant. Cette décision appartient aux associés.</w:t>
      </w:r>
    </w:p>
    <w:p w:rsidR="005D1AF6" w:rsidRPr="0039691B" w:rsidRDefault="005D1AF6" w:rsidP="00017249">
      <w:pPr>
        <w:jc w:val="both"/>
        <w:rPr>
          <w:sz w:val="22"/>
          <w:szCs w:val="22"/>
        </w:rPr>
      </w:pPr>
    </w:p>
    <w:p w:rsidR="005D1AF6" w:rsidRPr="0039691B" w:rsidRDefault="005D1AF6" w:rsidP="00017249">
      <w:pPr>
        <w:jc w:val="both"/>
        <w:rPr>
          <w:sz w:val="22"/>
          <w:szCs w:val="22"/>
        </w:rPr>
      </w:pPr>
      <w:r w:rsidRPr="0039691B">
        <w:rPr>
          <w:b/>
          <w:sz w:val="22"/>
          <w:szCs w:val="22"/>
        </w:rPr>
        <w:t>Art. 11</w:t>
      </w:r>
      <w:r w:rsidRPr="0039691B">
        <w:rPr>
          <w:sz w:val="22"/>
          <w:szCs w:val="22"/>
        </w:rPr>
        <w:t> : Les parts sociales ne peuvent pas être cédées librement dans une SNC, ni même avec le consentement de la majorité des ¾ des parts sociales. L’agrément doit, quel que soit le cessionnaire, être donné à l’unanimité des associés.</w:t>
      </w:r>
    </w:p>
    <w:p w:rsidR="005D1AF6" w:rsidRPr="0039691B" w:rsidRDefault="005D1AF6" w:rsidP="00017249">
      <w:pPr>
        <w:jc w:val="both"/>
        <w:rPr>
          <w:sz w:val="22"/>
          <w:szCs w:val="22"/>
        </w:rPr>
      </w:pPr>
    </w:p>
    <w:p w:rsidR="005D1AF6" w:rsidRPr="0039691B" w:rsidRDefault="005D1AF6" w:rsidP="00017249">
      <w:pPr>
        <w:jc w:val="both"/>
        <w:rPr>
          <w:sz w:val="22"/>
          <w:szCs w:val="22"/>
        </w:rPr>
      </w:pPr>
      <w:r w:rsidRPr="0039691B">
        <w:rPr>
          <w:b/>
          <w:sz w:val="22"/>
          <w:szCs w:val="22"/>
        </w:rPr>
        <w:t>Art. 12</w:t>
      </w:r>
      <w:r w:rsidRPr="0039691B">
        <w:rPr>
          <w:sz w:val="22"/>
          <w:szCs w:val="22"/>
        </w:rPr>
        <w:t> : Lorsqu’à la suite du décès d’un associé la société rachète ses parts sociales, le ou les héritiers de l’associé décédés doivent être indemnisés.</w:t>
      </w:r>
    </w:p>
    <w:p w:rsidR="005D1AF6" w:rsidRPr="0039691B" w:rsidRDefault="005D1AF6" w:rsidP="00017249">
      <w:pPr>
        <w:jc w:val="both"/>
        <w:rPr>
          <w:sz w:val="22"/>
          <w:szCs w:val="22"/>
        </w:rPr>
      </w:pPr>
    </w:p>
    <w:p w:rsidR="005D1AF6" w:rsidRPr="0039691B" w:rsidRDefault="005D1AF6" w:rsidP="00017249">
      <w:pPr>
        <w:jc w:val="both"/>
        <w:rPr>
          <w:sz w:val="22"/>
          <w:szCs w:val="22"/>
        </w:rPr>
      </w:pPr>
      <w:r w:rsidRPr="0039691B">
        <w:rPr>
          <w:b/>
          <w:sz w:val="22"/>
          <w:szCs w:val="22"/>
        </w:rPr>
        <w:t>Art. 18</w:t>
      </w:r>
      <w:r w:rsidRPr="0039691B">
        <w:rPr>
          <w:sz w:val="22"/>
          <w:szCs w:val="22"/>
        </w:rPr>
        <w:t> : Les associés répondent des dettes sociales vis-à-vis des créanciers sociaux. Toutefois, leur responsabilité n’existe que si la dette est sociale : c’est-à-dire qu’elle entre dans l’objet social. Ils n’assument pas les engagements pris par le gérant en dehors de l’objet social.</w:t>
      </w:r>
    </w:p>
    <w:p w:rsidR="005D1AF6" w:rsidRPr="0039691B" w:rsidRDefault="005D1AF6" w:rsidP="00017249">
      <w:pPr>
        <w:jc w:val="both"/>
        <w:rPr>
          <w:sz w:val="22"/>
          <w:szCs w:val="22"/>
        </w:rPr>
      </w:pPr>
    </w:p>
    <w:p w:rsidR="005D1AF6" w:rsidRPr="0039691B" w:rsidRDefault="005D1AF6" w:rsidP="00017249">
      <w:pPr>
        <w:jc w:val="both"/>
        <w:rPr>
          <w:sz w:val="22"/>
          <w:szCs w:val="22"/>
        </w:rPr>
      </w:pPr>
      <w:r w:rsidRPr="0039691B">
        <w:rPr>
          <w:b/>
          <w:sz w:val="22"/>
          <w:szCs w:val="22"/>
        </w:rPr>
        <w:t>Art. 25</w:t>
      </w:r>
      <w:r w:rsidRPr="0039691B">
        <w:rPr>
          <w:sz w:val="22"/>
          <w:szCs w:val="22"/>
        </w:rPr>
        <w:t> : Le gérant n’est pas révocable à l’unanimité des associés quand il est lui-même associé. Il est révocable à l’unanimité des autres associés (il ne participe pas au vote).</w:t>
      </w:r>
    </w:p>
    <w:p w:rsidR="005D1AF6" w:rsidRPr="0039691B" w:rsidRDefault="005D1AF6" w:rsidP="00017249">
      <w:pPr>
        <w:rPr>
          <w:sz w:val="22"/>
          <w:szCs w:val="22"/>
        </w:rPr>
      </w:pPr>
    </w:p>
    <w:sectPr w:rsidR="005D1AF6" w:rsidRPr="0039691B" w:rsidSect="0045000F">
      <w:headerReference w:type="default" r:id="rId8"/>
      <w:footerReference w:type="even" r:id="rId9"/>
      <w:footerReference w:type="default" r:id="rId10"/>
      <w:pgSz w:w="11906" w:h="16838" w:code="9"/>
      <w:pgMar w:top="851" w:right="1134" w:bottom="567"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20" w:rsidRDefault="00310720">
      <w:r>
        <w:separator/>
      </w:r>
    </w:p>
  </w:endnote>
  <w:endnote w:type="continuationSeparator" w:id="0">
    <w:p w:rsidR="00310720" w:rsidRDefault="0031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B" w:rsidRDefault="00DD224B" w:rsidP="0005665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D224B" w:rsidRDefault="00DD224B" w:rsidP="00DD224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B" w:rsidRPr="009143D0" w:rsidRDefault="009143D0" w:rsidP="009143D0">
    <w:pPr>
      <w:pStyle w:val="Pieddepage"/>
      <w:tabs>
        <w:tab w:val="left" w:pos="709"/>
      </w:tabs>
      <w:ind w:right="357"/>
      <w:rPr>
        <w:sz w:val="20"/>
        <w:szCs w:val="20"/>
      </w:rPr>
    </w:pPr>
    <w:r w:rsidRPr="009143D0">
      <w:rPr>
        <w:sz w:val="20"/>
      </w:rPr>
      <w:t>©Comptazine – Reproduction interdite</w:t>
    </w:r>
    <w:r w:rsidR="0039691B" w:rsidRPr="009143D0">
      <w:rPr>
        <w:bCs/>
        <w:sz w:val="22"/>
        <w:szCs w:val="22"/>
      </w:rPr>
      <w:tab/>
    </w:r>
    <w:r>
      <w:rPr>
        <w:bCs/>
        <w:sz w:val="22"/>
        <w:szCs w:val="22"/>
      </w:rPr>
      <w:tab/>
    </w:r>
    <w:r w:rsidR="0039691B" w:rsidRPr="009143D0">
      <w:rPr>
        <w:rStyle w:val="Numrodepage"/>
        <w:bCs/>
        <w:sz w:val="22"/>
        <w:szCs w:val="22"/>
      </w:rPr>
      <w:fldChar w:fldCharType="begin"/>
    </w:r>
    <w:r w:rsidR="0039691B" w:rsidRPr="009143D0">
      <w:rPr>
        <w:rStyle w:val="Numrodepage"/>
        <w:bCs/>
        <w:sz w:val="22"/>
        <w:szCs w:val="22"/>
      </w:rPr>
      <w:instrText xml:space="preserve"> PAGE </w:instrText>
    </w:r>
    <w:r w:rsidR="0039691B" w:rsidRPr="009143D0">
      <w:rPr>
        <w:rStyle w:val="Numrodepage"/>
        <w:bCs/>
        <w:sz w:val="22"/>
        <w:szCs w:val="22"/>
      </w:rPr>
      <w:fldChar w:fldCharType="separate"/>
    </w:r>
    <w:r w:rsidR="0004417D">
      <w:rPr>
        <w:rStyle w:val="Numrodepage"/>
        <w:bCs/>
        <w:noProof/>
        <w:sz w:val="22"/>
        <w:szCs w:val="22"/>
      </w:rPr>
      <w:t>3</w:t>
    </w:r>
    <w:r w:rsidR="0039691B" w:rsidRPr="009143D0">
      <w:rPr>
        <w:rStyle w:val="Numrodepage"/>
        <w:bCs/>
        <w:sz w:val="22"/>
        <w:szCs w:val="22"/>
      </w:rPr>
      <w:fldChar w:fldCharType="end"/>
    </w:r>
    <w:r w:rsidR="0039691B" w:rsidRPr="009143D0">
      <w:rPr>
        <w:rStyle w:val="Numrodepage"/>
        <w:bCs/>
        <w:sz w:val="22"/>
        <w:szCs w:val="22"/>
      </w:rPr>
      <w:t>/</w:t>
    </w:r>
    <w:r w:rsidR="0039691B" w:rsidRPr="009143D0">
      <w:rPr>
        <w:rStyle w:val="Numrodepage"/>
        <w:bCs/>
        <w:sz w:val="22"/>
        <w:szCs w:val="22"/>
      </w:rPr>
      <w:fldChar w:fldCharType="begin"/>
    </w:r>
    <w:r w:rsidR="0039691B" w:rsidRPr="009143D0">
      <w:rPr>
        <w:rStyle w:val="Numrodepage"/>
        <w:bCs/>
        <w:sz w:val="22"/>
        <w:szCs w:val="22"/>
      </w:rPr>
      <w:instrText xml:space="preserve">  NUMPAGES</w:instrText>
    </w:r>
    <w:r w:rsidR="0039691B" w:rsidRPr="009143D0">
      <w:rPr>
        <w:rStyle w:val="Numrodepage"/>
        <w:bCs/>
        <w:sz w:val="22"/>
        <w:szCs w:val="22"/>
      </w:rPr>
      <w:fldChar w:fldCharType="separate"/>
    </w:r>
    <w:r w:rsidR="0004417D">
      <w:rPr>
        <w:rStyle w:val="Numrodepage"/>
        <w:bCs/>
        <w:noProof/>
        <w:sz w:val="22"/>
        <w:szCs w:val="22"/>
      </w:rPr>
      <w:t>3</w:t>
    </w:r>
    <w:r w:rsidR="0039691B" w:rsidRPr="009143D0">
      <w:rPr>
        <w:rStyle w:val="Numrodepage"/>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20" w:rsidRDefault="00310720">
      <w:r>
        <w:separator/>
      </w:r>
    </w:p>
  </w:footnote>
  <w:footnote w:type="continuationSeparator" w:id="0">
    <w:p w:rsidR="00310720" w:rsidRDefault="0031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D0" w:rsidRDefault="00093270" w:rsidP="009143D0">
    <w:pPr>
      <w:pStyle w:val="En-tte"/>
      <w:ind w:right="849"/>
      <w:jc w:val="right"/>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3D0" w:rsidRDefault="009143D0" w:rsidP="009143D0">
    <w:pPr>
      <w:pStyle w:val="En-tte"/>
      <w:ind w:right="849"/>
      <w:jc w:val="right"/>
    </w:pPr>
    <w:hyperlink r:id="rId2" w:history="1">
      <w:r>
        <w:rPr>
          <w:rStyle w:val="Lienhypertexte"/>
          <w:rFonts w:ascii="Calibri" w:hAnsi="Calibri" w:cs="Calibri"/>
          <w:color w:val="E36C0A"/>
          <w:sz w:val="18"/>
        </w:rPr>
        <w:t>www.comptazine.fr</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9143D0" w:rsidRDefault="009143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2BFF"/>
    <w:multiLevelType w:val="multilevel"/>
    <w:tmpl w:val="1B3C1B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73C47E0"/>
    <w:multiLevelType w:val="multilevel"/>
    <w:tmpl w:val="63AE89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02"/>
    <w:rsid w:val="000038FC"/>
    <w:rsid w:val="00012209"/>
    <w:rsid w:val="000169FA"/>
    <w:rsid w:val="00017249"/>
    <w:rsid w:val="0004417D"/>
    <w:rsid w:val="00056650"/>
    <w:rsid w:val="0005771C"/>
    <w:rsid w:val="00093270"/>
    <w:rsid w:val="000B69D1"/>
    <w:rsid w:val="000C381F"/>
    <w:rsid w:val="000C3A64"/>
    <w:rsid w:val="000C7CCA"/>
    <w:rsid w:val="00102999"/>
    <w:rsid w:val="0010553B"/>
    <w:rsid w:val="00105F9A"/>
    <w:rsid w:val="0011601A"/>
    <w:rsid w:val="00133073"/>
    <w:rsid w:val="00193434"/>
    <w:rsid w:val="001B1EBF"/>
    <w:rsid w:val="001E4858"/>
    <w:rsid w:val="002432D9"/>
    <w:rsid w:val="00247641"/>
    <w:rsid w:val="002707D7"/>
    <w:rsid w:val="00283C6F"/>
    <w:rsid w:val="0028476D"/>
    <w:rsid w:val="002B0267"/>
    <w:rsid w:val="002C1E2B"/>
    <w:rsid w:val="002C5EEF"/>
    <w:rsid w:val="002F7A53"/>
    <w:rsid w:val="00310720"/>
    <w:rsid w:val="00332BCE"/>
    <w:rsid w:val="003537A4"/>
    <w:rsid w:val="00362EA5"/>
    <w:rsid w:val="00387DAF"/>
    <w:rsid w:val="0039691B"/>
    <w:rsid w:val="003B5DDB"/>
    <w:rsid w:val="003E1412"/>
    <w:rsid w:val="004118F3"/>
    <w:rsid w:val="00445949"/>
    <w:rsid w:val="0045000F"/>
    <w:rsid w:val="00453026"/>
    <w:rsid w:val="00455107"/>
    <w:rsid w:val="0048438E"/>
    <w:rsid w:val="00494082"/>
    <w:rsid w:val="004B4DC7"/>
    <w:rsid w:val="004C1192"/>
    <w:rsid w:val="004D6AF0"/>
    <w:rsid w:val="004E5D92"/>
    <w:rsid w:val="004F42E7"/>
    <w:rsid w:val="005164D9"/>
    <w:rsid w:val="00562E31"/>
    <w:rsid w:val="00574CCF"/>
    <w:rsid w:val="005A0D3C"/>
    <w:rsid w:val="005B38C4"/>
    <w:rsid w:val="005D1AF6"/>
    <w:rsid w:val="005D5F88"/>
    <w:rsid w:val="005F32AC"/>
    <w:rsid w:val="006233CB"/>
    <w:rsid w:val="00675641"/>
    <w:rsid w:val="006B0C34"/>
    <w:rsid w:val="006B3390"/>
    <w:rsid w:val="006C0643"/>
    <w:rsid w:val="006C3EFF"/>
    <w:rsid w:val="006F77D2"/>
    <w:rsid w:val="007024AC"/>
    <w:rsid w:val="00706912"/>
    <w:rsid w:val="00717502"/>
    <w:rsid w:val="007348B3"/>
    <w:rsid w:val="00766E17"/>
    <w:rsid w:val="0078200F"/>
    <w:rsid w:val="00785B61"/>
    <w:rsid w:val="00791522"/>
    <w:rsid w:val="007D4557"/>
    <w:rsid w:val="007D4801"/>
    <w:rsid w:val="00805600"/>
    <w:rsid w:val="00826875"/>
    <w:rsid w:val="00857A9C"/>
    <w:rsid w:val="00870609"/>
    <w:rsid w:val="00893D4E"/>
    <w:rsid w:val="00896413"/>
    <w:rsid w:val="008C0ED0"/>
    <w:rsid w:val="008E463B"/>
    <w:rsid w:val="009143D0"/>
    <w:rsid w:val="00942C39"/>
    <w:rsid w:val="0095082E"/>
    <w:rsid w:val="00957A9B"/>
    <w:rsid w:val="00957E3A"/>
    <w:rsid w:val="009B16CF"/>
    <w:rsid w:val="009D32FB"/>
    <w:rsid w:val="009F5C14"/>
    <w:rsid w:val="00A12027"/>
    <w:rsid w:val="00A17970"/>
    <w:rsid w:val="00A52C20"/>
    <w:rsid w:val="00A75159"/>
    <w:rsid w:val="00A8062D"/>
    <w:rsid w:val="00A830C1"/>
    <w:rsid w:val="00AB0DFD"/>
    <w:rsid w:val="00AB7914"/>
    <w:rsid w:val="00AD6079"/>
    <w:rsid w:val="00AE29CF"/>
    <w:rsid w:val="00B315FF"/>
    <w:rsid w:val="00BB13F5"/>
    <w:rsid w:val="00C22A5B"/>
    <w:rsid w:val="00C567F1"/>
    <w:rsid w:val="00C6040D"/>
    <w:rsid w:val="00CC7D25"/>
    <w:rsid w:val="00D075C7"/>
    <w:rsid w:val="00D100BF"/>
    <w:rsid w:val="00D351EB"/>
    <w:rsid w:val="00D516DA"/>
    <w:rsid w:val="00D76DE8"/>
    <w:rsid w:val="00DA0863"/>
    <w:rsid w:val="00DA64FF"/>
    <w:rsid w:val="00DA6981"/>
    <w:rsid w:val="00DC4B03"/>
    <w:rsid w:val="00DD1E17"/>
    <w:rsid w:val="00DD224B"/>
    <w:rsid w:val="00DE62BE"/>
    <w:rsid w:val="00DF4F32"/>
    <w:rsid w:val="00E24217"/>
    <w:rsid w:val="00E33C30"/>
    <w:rsid w:val="00E36E3A"/>
    <w:rsid w:val="00E61245"/>
    <w:rsid w:val="00E80284"/>
    <w:rsid w:val="00E85AE9"/>
    <w:rsid w:val="00E87608"/>
    <w:rsid w:val="00EA15A9"/>
    <w:rsid w:val="00F0500B"/>
    <w:rsid w:val="00F307D1"/>
    <w:rsid w:val="00F4286E"/>
    <w:rsid w:val="00F56FED"/>
    <w:rsid w:val="00F92EE7"/>
    <w:rsid w:val="00F959BC"/>
    <w:rsid w:val="00FA269E"/>
    <w:rsid w:val="00FE1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1E4858"/>
    <w:pPr>
      <w:keepNext/>
      <w:jc w:val="both"/>
      <w:outlineLvl w:val="0"/>
    </w:pPr>
    <w:rPr>
      <w:b/>
      <w:bCs/>
      <w:sz w:val="36"/>
      <w:szCs w:val="36"/>
    </w:rPr>
  </w:style>
  <w:style w:type="paragraph" w:styleId="Titre3">
    <w:name w:val="heading 3"/>
    <w:basedOn w:val="Normal"/>
    <w:next w:val="Normal"/>
    <w:qFormat/>
    <w:rsid w:val="001E4858"/>
    <w:pPr>
      <w:keepNext/>
      <w:spacing w:line="259"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DD224B"/>
    <w:pPr>
      <w:tabs>
        <w:tab w:val="center" w:pos="4536"/>
        <w:tab w:val="right" w:pos="9072"/>
      </w:tabs>
    </w:pPr>
  </w:style>
  <w:style w:type="paragraph" w:styleId="Pieddepage">
    <w:name w:val="footer"/>
    <w:basedOn w:val="Normal"/>
    <w:link w:val="PieddepageCar"/>
    <w:rsid w:val="00DD224B"/>
    <w:pPr>
      <w:tabs>
        <w:tab w:val="center" w:pos="4536"/>
        <w:tab w:val="right" w:pos="9072"/>
      </w:tabs>
    </w:pPr>
  </w:style>
  <w:style w:type="character" w:styleId="Numrodepage">
    <w:name w:val="page number"/>
    <w:basedOn w:val="Policepardfaut"/>
    <w:rsid w:val="00DD224B"/>
  </w:style>
  <w:style w:type="paragraph" w:styleId="Titre">
    <w:name w:val="Title"/>
    <w:basedOn w:val="Normal"/>
    <w:link w:val="TitreCar"/>
    <w:qFormat/>
    <w:rsid w:val="001E4858"/>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1E4858"/>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1E4858"/>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table" w:styleId="Grilledutableau">
    <w:name w:val="Table Grid"/>
    <w:basedOn w:val="TableauNormal"/>
    <w:rsid w:val="002432D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basedOn w:val="Policepardfaut"/>
    <w:link w:val="Titre"/>
    <w:rsid w:val="0039691B"/>
    <w:rPr>
      <w:noProof/>
      <w:sz w:val="28"/>
      <w:szCs w:val="28"/>
    </w:rPr>
  </w:style>
  <w:style w:type="character" w:styleId="Lienhypertexte">
    <w:name w:val="Hyperlink"/>
    <w:basedOn w:val="Policepardfaut"/>
    <w:unhideWhenUsed/>
    <w:rsid w:val="0039691B"/>
    <w:rPr>
      <w:color w:val="0000FF"/>
      <w:u w:val="single"/>
    </w:rPr>
  </w:style>
  <w:style w:type="character" w:customStyle="1" w:styleId="PieddepageCar">
    <w:name w:val="Pied de page Car"/>
    <w:basedOn w:val="Policepardfaut"/>
    <w:link w:val="Pieddepage"/>
    <w:rsid w:val="0039691B"/>
    <w:rPr>
      <w:sz w:val="24"/>
      <w:szCs w:val="24"/>
    </w:rPr>
  </w:style>
  <w:style w:type="character" w:customStyle="1" w:styleId="En-tteCar">
    <w:name w:val="En-tête Car"/>
    <w:link w:val="En-tte"/>
    <w:rsid w:val="009143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1E4858"/>
    <w:pPr>
      <w:keepNext/>
      <w:jc w:val="both"/>
      <w:outlineLvl w:val="0"/>
    </w:pPr>
    <w:rPr>
      <w:b/>
      <w:bCs/>
      <w:sz w:val="36"/>
      <w:szCs w:val="36"/>
    </w:rPr>
  </w:style>
  <w:style w:type="paragraph" w:styleId="Titre3">
    <w:name w:val="heading 3"/>
    <w:basedOn w:val="Normal"/>
    <w:next w:val="Normal"/>
    <w:qFormat/>
    <w:rsid w:val="001E4858"/>
    <w:pPr>
      <w:keepNext/>
      <w:spacing w:line="259"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DD224B"/>
    <w:pPr>
      <w:tabs>
        <w:tab w:val="center" w:pos="4536"/>
        <w:tab w:val="right" w:pos="9072"/>
      </w:tabs>
    </w:pPr>
  </w:style>
  <w:style w:type="paragraph" w:styleId="Pieddepage">
    <w:name w:val="footer"/>
    <w:basedOn w:val="Normal"/>
    <w:link w:val="PieddepageCar"/>
    <w:rsid w:val="00DD224B"/>
    <w:pPr>
      <w:tabs>
        <w:tab w:val="center" w:pos="4536"/>
        <w:tab w:val="right" w:pos="9072"/>
      </w:tabs>
    </w:pPr>
  </w:style>
  <w:style w:type="character" w:styleId="Numrodepage">
    <w:name w:val="page number"/>
    <w:basedOn w:val="Policepardfaut"/>
    <w:rsid w:val="00DD224B"/>
  </w:style>
  <w:style w:type="paragraph" w:styleId="Titre">
    <w:name w:val="Title"/>
    <w:basedOn w:val="Normal"/>
    <w:link w:val="TitreCar"/>
    <w:qFormat/>
    <w:rsid w:val="001E4858"/>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1E4858"/>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1E4858"/>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table" w:styleId="Grilledutableau">
    <w:name w:val="Table Grid"/>
    <w:basedOn w:val="TableauNormal"/>
    <w:rsid w:val="002432D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basedOn w:val="Policepardfaut"/>
    <w:link w:val="Titre"/>
    <w:rsid w:val="0039691B"/>
    <w:rPr>
      <w:noProof/>
      <w:sz w:val="28"/>
      <w:szCs w:val="28"/>
    </w:rPr>
  </w:style>
  <w:style w:type="character" w:styleId="Lienhypertexte">
    <w:name w:val="Hyperlink"/>
    <w:basedOn w:val="Policepardfaut"/>
    <w:unhideWhenUsed/>
    <w:rsid w:val="0039691B"/>
    <w:rPr>
      <w:color w:val="0000FF"/>
      <w:u w:val="single"/>
    </w:rPr>
  </w:style>
  <w:style w:type="character" w:customStyle="1" w:styleId="PieddepageCar">
    <w:name w:val="Pied de page Car"/>
    <w:basedOn w:val="Policepardfaut"/>
    <w:link w:val="Pieddepage"/>
    <w:rsid w:val="0039691B"/>
    <w:rPr>
      <w:sz w:val="24"/>
      <w:szCs w:val="24"/>
    </w:rPr>
  </w:style>
  <w:style w:type="character" w:customStyle="1" w:styleId="En-tteCar">
    <w:name w:val="En-tête Car"/>
    <w:link w:val="En-tte"/>
    <w:rsid w:val="00914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2012-09-12T06:44:00Z</cp:lastPrinted>
  <dcterms:created xsi:type="dcterms:W3CDTF">2012-09-12T06:44:00Z</dcterms:created>
  <dcterms:modified xsi:type="dcterms:W3CDTF">2012-09-12T06:44:00Z</dcterms:modified>
</cp:coreProperties>
</file>