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D7" w:rsidRPr="007C72D7" w:rsidRDefault="00DC48BC" w:rsidP="007C72D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szCs w:val="22"/>
        </w:rPr>
      </w:pPr>
      <w:bookmarkStart w:id="0" w:name="_GoBack"/>
      <w:bookmarkEnd w:id="0"/>
      <w:r>
        <w:rPr>
          <w:b/>
          <w:bCs/>
          <w:noProof/>
          <w:sz w:val="22"/>
          <w:szCs w:val="22"/>
        </w:rPr>
        <w:t>DCG session 2013</w:t>
      </w:r>
      <w:r>
        <w:rPr>
          <w:b/>
          <w:bCs/>
          <w:noProof/>
          <w:sz w:val="22"/>
          <w:szCs w:val="22"/>
        </w:rPr>
        <w:tab/>
      </w:r>
      <w:r>
        <w:rPr>
          <w:b/>
          <w:bCs/>
          <w:noProof/>
          <w:sz w:val="22"/>
          <w:szCs w:val="22"/>
        </w:rPr>
        <w:tab/>
      </w:r>
      <w:r>
        <w:rPr>
          <w:b/>
          <w:bCs/>
          <w:noProof/>
          <w:sz w:val="22"/>
          <w:szCs w:val="22"/>
        </w:rPr>
        <w:tab/>
        <w:t>UE5</w:t>
      </w:r>
      <w:r w:rsidR="007C72D7" w:rsidRPr="007C72D7">
        <w:rPr>
          <w:b/>
          <w:bCs/>
          <w:noProof/>
          <w:sz w:val="22"/>
          <w:szCs w:val="22"/>
        </w:rPr>
        <w:t xml:space="preserve"> </w:t>
      </w:r>
      <w:r>
        <w:rPr>
          <w:b/>
          <w:bCs/>
          <w:noProof/>
          <w:sz w:val="22"/>
          <w:szCs w:val="22"/>
        </w:rPr>
        <w:t>Economie</w:t>
      </w:r>
      <w:r w:rsidR="007C72D7" w:rsidRPr="007C72D7">
        <w:rPr>
          <w:b/>
          <w:bCs/>
          <w:noProof/>
          <w:sz w:val="22"/>
          <w:szCs w:val="22"/>
        </w:rPr>
        <w:tab/>
      </w:r>
      <w:r>
        <w:rPr>
          <w:b/>
          <w:bCs/>
          <w:noProof/>
          <w:sz w:val="22"/>
          <w:szCs w:val="22"/>
        </w:rPr>
        <w:tab/>
      </w:r>
      <w:r>
        <w:rPr>
          <w:b/>
          <w:bCs/>
          <w:noProof/>
          <w:sz w:val="22"/>
          <w:szCs w:val="22"/>
        </w:rPr>
        <w:tab/>
      </w:r>
      <w:r w:rsidR="007C72D7" w:rsidRPr="007C72D7">
        <w:rPr>
          <w:b/>
          <w:bCs/>
          <w:noProof/>
          <w:sz w:val="22"/>
          <w:szCs w:val="22"/>
        </w:rPr>
        <w:tab/>
        <w:t>Corrigé indicatif</w:t>
      </w:r>
    </w:p>
    <w:p w:rsidR="007C72D7" w:rsidRDefault="007C72D7" w:rsidP="003E64CA">
      <w:pPr>
        <w:pStyle w:val="Titre"/>
        <w:tabs>
          <w:tab w:val="left" w:pos="9540"/>
        </w:tabs>
        <w:ind w:right="203"/>
        <w:jc w:val="left"/>
        <w:rPr>
          <w:b/>
        </w:rPr>
      </w:pPr>
    </w:p>
    <w:p w:rsidR="00C00F44" w:rsidRDefault="00C00F44" w:rsidP="003E64CA">
      <w:pPr>
        <w:pStyle w:val="Titre"/>
        <w:tabs>
          <w:tab w:val="left" w:pos="9540"/>
        </w:tabs>
        <w:ind w:right="203"/>
        <w:jc w:val="left"/>
        <w:rPr>
          <w:b/>
        </w:rPr>
      </w:pPr>
      <w:r>
        <w:rPr>
          <w:b/>
        </w:rPr>
        <w:t>I – DISSERTATION</w:t>
      </w:r>
    </w:p>
    <w:p w:rsidR="0097112C" w:rsidRDefault="0097112C" w:rsidP="003E64CA">
      <w:pPr>
        <w:pStyle w:val="Titre"/>
        <w:tabs>
          <w:tab w:val="left" w:pos="9540"/>
        </w:tabs>
        <w:ind w:right="203"/>
        <w:jc w:val="left"/>
        <w:rPr>
          <w:b/>
        </w:rPr>
      </w:pPr>
    </w:p>
    <w:p w:rsidR="00C00F44" w:rsidRPr="00672580" w:rsidRDefault="00C00F44" w:rsidP="0097112C">
      <w:pPr>
        <w:pStyle w:val="Commentaire"/>
        <w:tabs>
          <w:tab w:val="left" w:pos="284"/>
          <w:tab w:val="left" w:pos="9356"/>
        </w:tabs>
        <w:jc w:val="center"/>
        <w:rPr>
          <w:rFonts w:ascii="Times New Roman" w:hAnsi="Times New Roman" w:cs="Times New Roman"/>
          <w:sz w:val="24"/>
          <w:szCs w:val="24"/>
        </w:rPr>
      </w:pPr>
      <w:r>
        <w:rPr>
          <w:rFonts w:ascii="Times New Roman" w:hAnsi="Times New Roman" w:cs="Times New Roman"/>
          <w:sz w:val="24"/>
          <w:szCs w:val="24"/>
        </w:rPr>
        <w:t>Doit-on s’attendre à un retour du protectionnisme</w:t>
      </w:r>
      <w:r w:rsidRPr="00672580">
        <w:rPr>
          <w:rFonts w:ascii="Times New Roman" w:hAnsi="Times New Roman" w:cs="Times New Roman"/>
          <w:sz w:val="24"/>
          <w:szCs w:val="24"/>
        </w:rPr>
        <w:t> ?</w:t>
      </w:r>
    </w:p>
    <w:p w:rsidR="00EF7A64" w:rsidRDefault="00EF7A64" w:rsidP="0097112C">
      <w:pPr>
        <w:jc w:val="center"/>
        <w:rPr>
          <w:b/>
          <w:sz w:val="22"/>
        </w:rPr>
      </w:pPr>
    </w:p>
    <w:p w:rsidR="00CC1D59" w:rsidRPr="007D6193" w:rsidRDefault="00873205" w:rsidP="00B912F4">
      <w:pPr>
        <w:spacing w:after="120"/>
        <w:jc w:val="both"/>
        <w:rPr>
          <w:b/>
          <w:i/>
          <w:sz w:val="22"/>
        </w:rPr>
      </w:pPr>
      <w:r w:rsidRPr="007D6193">
        <w:rPr>
          <w:b/>
          <w:i/>
          <w:sz w:val="22"/>
        </w:rPr>
        <w:t>Introduction :</w:t>
      </w:r>
    </w:p>
    <w:p w:rsidR="00AB3FD6" w:rsidRDefault="00AB3FD6" w:rsidP="007D6193">
      <w:pPr>
        <w:ind w:firstLine="142"/>
        <w:jc w:val="both"/>
      </w:pPr>
    </w:p>
    <w:p w:rsidR="007D6193" w:rsidRDefault="005B5FB0" w:rsidP="00AB3FD6">
      <w:pPr>
        <w:jc w:val="both"/>
        <w:rPr>
          <w:b/>
          <w:sz w:val="22"/>
        </w:rPr>
      </w:pPr>
      <w:r>
        <w:t>Nicolas Sarkozy, ex</w:t>
      </w:r>
      <w:r w:rsidRPr="005B5FB0">
        <w:t xml:space="preserve"> Président de la République française</w:t>
      </w:r>
      <w:r>
        <w:t>,</w:t>
      </w:r>
      <w:r w:rsidRPr="005B5FB0">
        <w:t xml:space="preserve"> défendait en 2012 l’introduction d’une législation donnant la préférence aux entreprises produisant en Europe pour les contrats publics</w:t>
      </w:r>
      <w:r w:rsidR="00A3748C">
        <w:t xml:space="preserve">. </w:t>
      </w:r>
      <w:r w:rsidRPr="005B5FB0">
        <w:t xml:space="preserve">M. Montebourg, </w:t>
      </w:r>
      <w:r>
        <w:t xml:space="preserve">actuel </w:t>
      </w:r>
      <w:r w:rsidRPr="005B5FB0">
        <w:t>ministre du redressement productif, vant</w:t>
      </w:r>
      <w:r>
        <w:t>ai</w:t>
      </w:r>
      <w:r w:rsidRPr="005B5FB0">
        <w:t>t les mérites du « made in France » en couverture d’un magasine</w:t>
      </w:r>
      <w:r>
        <w:t xml:space="preserve"> en octobre dernier</w:t>
      </w:r>
      <w:r w:rsidR="00A3748C">
        <w:t xml:space="preserve"> et</w:t>
      </w:r>
      <w:r w:rsidRPr="005B5FB0">
        <w:t xml:space="preserve"> Apple annon</w:t>
      </w:r>
      <w:r w:rsidR="00A3748C">
        <w:t>çait</w:t>
      </w:r>
      <w:r w:rsidRPr="005B5FB0">
        <w:t xml:space="preserve"> </w:t>
      </w:r>
      <w:r>
        <w:t xml:space="preserve">pour 2013 </w:t>
      </w:r>
      <w:r w:rsidRPr="005B5FB0">
        <w:t>la relocalisation de la production de cert</w:t>
      </w:r>
      <w:r>
        <w:t xml:space="preserve">ains ordinateurs aux Etats-Unis. </w:t>
      </w:r>
      <w:r w:rsidR="00A40FDE">
        <w:t xml:space="preserve">Ce sont autant d’exemples de ce que l’on désigne de plus </w:t>
      </w:r>
      <w:r w:rsidR="00A3748C">
        <w:t xml:space="preserve">en plus </w:t>
      </w:r>
      <w:r w:rsidR="00A40FDE">
        <w:t xml:space="preserve">comme du patriotisme économique. </w:t>
      </w:r>
      <w:r w:rsidR="009A59D6" w:rsidRPr="009A59D6">
        <w:rPr>
          <w:i/>
        </w:rPr>
        <w:t>[</w:t>
      </w:r>
      <w:r w:rsidR="009A59D6" w:rsidRPr="009A59D6">
        <w:rPr>
          <w:b/>
          <w:i/>
          <w:sz w:val="22"/>
        </w:rPr>
        <w:t>Accroche</w:t>
      </w:r>
      <w:r w:rsidR="00E81AF2">
        <w:rPr>
          <w:b/>
          <w:i/>
          <w:sz w:val="22"/>
        </w:rPr>
        <w:t>(s)</w:t>
      </w:r>
      <w:r w:rsidR="009A59D6" w:rsidRPr="009A59D6">
        <w:rPr>
          <w:b/>
          <w:i/>
          <w:sz w:val="22"/>
        </w:rPr>
        <w:t>]</w:t>
      </w:r>
    </w:p>
    <w:p w:rsidR="00CC1D59" w:rsidRDefault="00A40FDE" w:rsidP="007D6193">
      <w:pPr>
        <w:ind w:firstLine="142"/>
        <w:jc w:val="both"/>
      </w:pPr>
      <w:r>
        <w:t>Mais n</w:t>
      </w:r>
      <w:r w:rsidR="005B5FB0">
        <w:t xml:space="preserve">e </w:t>
      </w:r>
      <w:r>
        <w:t>devrait</w:t>
      </w:r>
      <w:r w:rsidR="005B5FB0">
        <w:t xml:space="preserve">-on </w:t>
      </w:r>
      <w:r>
        <w:t xml:space="preserve">pas plutôt y </w:t>
      </w:r>
      <w:r w:rsidR="005B5FB0">
        <w:t>voir</w:t>
      </w:r>
      <w:r>
        <w:t xml:space="preserve"> des</w:t>
      </w:r>
      <w:r w:rsidR="005B5FB0">
        <w:t xml:space="preserve"> forme</w:t>
      </w:r>
      <w:r>
        <w:t>s</w:t>
      </w:r>
      <w:r w:rsidR="005B5FB0">
        <w:t xml:space="preserve"> de protectionnisme, autrement dit</w:t>
      </w:r>
      <w:r>
        <w:t xml:space="preserve"> des mesures visant à protéger la production d’un pays contre la concurrence étrangère ?</w:t>
      </w:r>
      <w:r w:rsidR="009A59D6" w:rsidRPr="009A59D6">
        <w:rPr>
          <w:i/>
        </w:rPr>
        <w:t xml:space="preserve"> [</w:t>
      </w:r>
      <w:r w:rsidR="009A59D6">
        <w:rPr>
          <w:b/>
          <w:i/>
          <w:sz w:val="22"/>
        </w:rPr>
        <w:t>Définition</w:t>
      </w:r>
      <w:r w:rsidR="009A59D6" w:rsidRPr="009A59D6">
        <w:rPr>
          <w:b/>
          <w:i/>
          <w:sz w:val="22"/>
        </w:rPr>
        <w:t>]</w:t>
      </w:r>
    </w:p>
    <w:p w:rsidR="009A59D6" w:rsidRDefault="009A59D6" w:rsidP="007D6193">
      <w:pPr>
        <w:spacing w:after="120"/>
        <w:ind w:firstLine="142"/>
        <w:jc w:val="both"/>
      </w:pPr>
      <w:r>
        <w:t>Peut-on en conclure que nous sommes en train d’assister à une montée en puissance du protectionnisme ? Et si oui, quelles en sont les raisons ? Est-il pour autant possible et souhaitable de renoncer, au moins pour partie, au libre-échange ?</w:t>
      </w:r>
      <w:r w:rsidRPr="009A59D6">
        <w:rPr>
          <w:i/>
        </w:rPr>
        <w:t xml:space="preserve"> [</w:t>
      </w:r>
      <w:r w:rsidR="00597209">
        <w:rPr>
          <w:b/>
          <w:i/>
          <w:sz w:val="22"/>
        </w:rPr>
        <w:t>Problématique</w:t>
      </w:r>
      <w:r w:rsidRPr="009A59D6">
        <w:rPr>
          <w:b/>
          <w:i/>
          <w:sz w:val="22"/>
        </w:rPr>
        <w:t>]</w:t>
      </w:r>
    </w:p>
    <w:p w:rsidR="009A59D6" w:rsidRDefault="00597209" w:rsidP="00CC1D59">
      <w:pPr>
        <w:spacing w:after="120"/>
        <w:jc w:val="both"/>
      </w:pPr>
      <w:r w:rsidRPr="009A59D6">
        <w:rPr>
          <w:i/>
        </w:rPr>
        <w:t>[</w:t>
      </w:r>
      <w:r>
        <w:rPr>
          <w:b/>
          <w:i/>
          <w:sz w:val="22"/>
        </w:rPr>
        <w:t>Plan</w:t>
      </w:r>
      <w:r w:rsidRPr="009A59D6">
        <w:rPr>
          <w:b/>
          <w:i/>
          <w:sz w:val="22"/>
        </w:rPr>
        <w:t>]</w:t>
      </w:r>
    </w:p>
    <w:p w:rsidR="00597209" w:rsidRDefault="0014056C" w:rsidP="007D6193">
      <w:pPr>
        <w:jc w:val="both"/>
        <w:rPr>
          <w:b/>
        </w:rPr>
      </w:pPr>
      <w:r w:rsidRPr="0014056C">
        <w:rPr>
          <w:b/>
        </w:rPr>
        <w:t>I – Les raisons d’un retour au protectionnisme</w:t>
      </w:r>
    </w:p>
    <w:p w:rsidR="007C72D7" w:rsidRPr="0014056C" w:rsidRDefault="007C72D7" w:rsidP="007D6193">
      <w:pPr>
        <w:jc w:val="both"/>
        <w:rPr>
          <w:b/>
        </w:rPr>
      </w:pPr>
    </w:p>
    <w:p w:rsidR="0014056C" w:rsidRPr="0014056C" w:rsidRDefault="0014056C" w:rsidP="00CC1D59">
      <w:pPr>
        <w:spacing w:after="120"/>
        <w:jc w:val="both"/>
        <w:rPr>
          <w:b/>
        </w:rPr>
      </w:pPr>
      <w:r w:rsidRPr="0014056C">
        <w:rPr>
          <w:b/>
        </w:rPr>
        <w:t>II – L’impossible renoncement au libre-échange</w:t>
      </w:r>
    </w:p>
    <w:p w:rsidR="0014056C" w:rsidRPr="007D6193" w:rsidRDefault="0014056C" w:rsidP="0014056C">
      <w:pPr>
        <w:spacing w:before="240" w:after="120"/>
        <w:jc w:val="both"/>
        <w:rPr>
          <w:b/>
          <w:i/>
          <w:sz w:val="22"/>
        </w:rPr>
      </w:pPr>
      <w:r w:rsidRPr="007D6193">
        <w:rPr>
          <w:b/>
          <w:i/>
          <w:sz w:val="22"/>
        </w:rPr>
        <w:t>Développement :</w:t>
      </w:r>
    </w:p>
    <w:p w:rsidR="0014056C" w:rsidRPr="0014056C" w:rsidRDefault="0014056C" w:rsidP="00CC1D59">
      <w:pPr>
        <w:spacing w:after="120"/>
        <w:jc w:val="both"/>
        <w:rPr>
          <w:b/>
        </w:rPr>
      </w:pPr>
      <w:r w:rsidRPr="0014056C">
        <w:rPr>
          <w:b/>
        </w:rPr>
        <w:t>I – Les raisons d’un retour au protectionnisme</w:t>
      </w:r>
    </w:p>
    <w:p w:rsidR="0014056C" w:rsidRPr="0014056C" w:rsidRDefault="0014056C" w:rsidP="0076456A">
      <w:pPr>
        <w:spacing w:after="120"/>
        <w:ind w:left="709"/>
        <w:rPr>
          <w:b/>
        </w:rPr>
      </w:pPr>
      <w:r w:rsidRPr="0014056C">
        <w:rPr>
          <w:b/>
        </w:rPr>
        <w:t>I.1 Raisons conjoncturelles : le contexte actuel de crise</w:t>
      </w:r>
    </w:p>
    <w:p w:rsidR="008A53A9" w:rsidRDefault="0014056C" w:rsidP="007D6193">
      <w:pPr>
        <w:numPr>
          <w:ilvl w:val="0"/>
          <w:numId w:val="16"/>
        </w:numPr>
        <w:ind w:left="0" w:firstLine="567"/>
        <w:jc w:val="both"/>
      </w:pPr>
      <w:r>
        <w:t xml:space="preserve">Les crises s’accompagnent souvent d’une contraction du commerce mondial et d’une </w:t>
      </w:r>
      <w:r w:rsidRPr="00E81AF2">
        <w:rPr>
          <w:b/>
        </w:rPr>
        <w:t xml:space="preserve">tentation du </w:t>
      </w:r>
      <w:r w:rsidR="008A53A9" w:rsidRPr="00E81AF2">
        <w:rPr>
          <w:b/>
        </w:rPr>
        <w:t>repli sur soi</w:t>
      </w:r>
      <w:r w:rsidR="006931E6">
        <w:rPr>
          <w:b/>
        </w:rPr>
        <w:t>.</w:t>
      </w:r>
    </w:p>
    <w:p w:rsidR="0014056C" w:rsidRDefault="0014056C" w:rsidP="00CC1D59">
      <w:pPr>
        <w:spacing w:after="120"/>
        <w:jc w:val="both"/>
      </w:pPr>
      <w:r>
        <w:t xml:space="preserve">=&gt; </w:t>
      </w:r>
      <w:r w:rsidR="008A53A9">
        <w:t>R</w:t>
      </w:r>
      <w:r>
        <w:t>éférence à la crise de 1929 et aux années qui ont suivi</w:t>
      </w:r>
      <w:r w:rsidR="00EA212D">
        <w:t>es</w:t>
      </w:r>
      <w:r>
        <w:t>, même si la contraction du commerce de l’époque n’</w:t>
      </w:r>
      <w:r w:rsidR="006931E6">
        <w:t>était</w:t>
      </w:r>
      <w:r>
        <w:t xml:space="preserve"> pas tant liée à des mesures protectionnistes qu’à la contraction du crédit aux Etats-Unis.</w:t>
      </w:r>
    </w:p>
    <w:p w:rsidR="008A53A9" w:rsidRDefault="0014056C" w:rsidP="007D6193">
      <w:pPr>
        <w:numPr>
          <w:ilvl w:val="0"/>
          <w:numId w:val="17"/>
        </w:numPr>
        <w:ind w:left="0" w:firstLine="567"/>
        <w:jc w:val="both"/>
      </w:pPr>
      <w:r>
        <w:t>Les difficultés induites par la crise actuelle sont centrées sur la compétitivité des entreprises (en France notamment) et les problèmes liés à l’emploi (montée du ch</w:t>
      </w:r>
      <w:r w:rsidR="008A53A9">
        <w:t>ômage)</w:t>
      </w:r>
    </w:p>
    <w:p w:rsidR="0014056C" w:rsidRDefault="0014056C" w:rsidP="00CC1D59">
      <w:pPr>
        <w:spacing w:after="120"/>
        <w:jc w:val="both"/>
      </w:pPr>
      <w:r>
        <w:t xml:space="preserve">=&gt; </w:t>
      </w:r>
      <w:r w:rsidR="008A53A9">
        <w:t>S</w:t>
      </w:r>
      <w:r>
        <w:t xml:space="preserve">e protéger de la concurrence extérieure peut être un moyen </w:t>
      </w:r>
      <w:r w:rsidR="008D70BA">
        <w:t>de</w:t>
      </w:r>
      <w:r>
        <w:t xml:space="preserve"> </w:t>
      </w:r>
      <w:r w:rsidRPr="00E81AF2">
        <w:rPr>
          <w:b/>
        </w:rPr>
        <w:t>soutenir et maintenir l’emploi national</w:t>
      </w:r>
      <w:r>
        <w:t xml:space="preserve">, de donner </w:t>
      </w:r>
      <w:r w:rsidR="008A53A9">
        <w:t>du</w:t>
      </w:r>
      <w:r>
        <w:t xml:space="preserve"> temps aux entreprises pour </w:t>
      </w:r>
      <w:r w:rsidRPr="00E81AF2">
        <w:rPr>
          <w:b/>
        </w:rPr>
        <w:t>se restructurer</w:t>
      </w:r>
      <w:r w:rsidR="008A53A9">
        <w:t xml:space="preserve">, à celles appartenant à des secteurs « vieillissants » de </w:t>
      </w:r>
      <w:r w:rsidR="008A53A9" w:rsidRPr="00E81AF2">
        <w:rPr>
          <w:b/>
        </w:rPr>
        <w:t xml:space="preserve">se </w:t>
      </w:r>
      <w:r w:rsidR="00E81AF2" w:rsidRPr="00E81AF2">
        <w:rPr>
          <w:b/>
        </w:rPr>
        <w:t>reconvertir</w:t>
      </w:r>
      <w:r w:rsidR="008A53A9">
        <w:t xml:space="preserve"> et aux industries naissantes donc fragiles</w:t>
      </w:r>
      <w:r>
        <w:t xml:space="preserve"> </w:t>
      </w:r>
      <w:r w:rsidR="008A53A9" w:rsidRPr="00E81AF2">
        <w:rPr>
          <w:b/>
        </w:rPr>
        <w:t>d’atteindre la taille critique</w:t>
      </w:r>
      <w:r w:rsidR="008A53A9">
        <w:t xml:space="preserve"> (protectionnisme éducateur de </w:t>
      </w:r>
      <w:r w:rsidR="008A53A9" w:rsidRPr="008A53A9">
        <w:rPr>
          <w:i/>
        </w:rPr>
        <w:t>F. List</w:t>
      </w:r>
      <w:r w:rsidR="008A53A9">
        <w:t>).</w:t>
      </w:r>
    </w:p>
    <w:p w:rsidR="008A53A9" w:rsidRDefault="008A53A9" w:rsidP="007D6193">
      <w:pPr>
        <w:numPr>
          <w:ilvl w:val="0"/>
          <w:numId w:val="17"/>
        </w:numPr>
        <w:ind w:left="0" w:firstLine="567"/>
        <w:jc w:val="both"/>
      </w:pPr>
      <w:r>
        <w:t xml:space="preserve">Le comportement de certains pays est jugé déloyal, comme dans le cas de la Chine à qui on reproche de maintenir </w:t>
      </w:r>
      <w:r w:rsidR="008A2419">
        <w:t xml:space="preserve">le cours de </w:t>
      </w:r>
      <w:r>
        <w:t>sa monnaie, le yuan, à des niveaux artificiellement bas.</w:t>
      </w:r>
    </w:p>
    <w:p w:rsidR="008A53A9" w:rsidRDefault="008A53A9" w:rsidP="00CC1D59">
      <w:pPr>
        <w:spacing w:after="120"/>
        <w:jc w:val="both"/>
      </w:pPr>
      <w:r>
        <w:t xml:space="preserve">=&gt; Les mesures protectionnistes prises à son encontre sont présentées comme </w:t>
      </w:r>
      <w:r w:rsidRPr="00E81AF2">
        <w:rPr>
          <w:b/>
        </w:rPr>
        <w:t>défensives</w:t>
      </w:r>
      <w:r>
        <w:t xml:space="preserve">, ou comme des </w:t>
      </w:r>
      <w:r w:rsidRPr="00E81AF2">
        <w:rPr>
          <w:b/>
        </w:rPr>
        <w:t>mesures de rétorsion</w:t>
      </w:r>
      <w:r>
        <w:t xml:space="preserve"> face à des pratiques jugées elles-mêmes protectionnistes.</w:t>
      </w:r>
    </w:p>
    <w:p w:rsidR="008A53A9" w:rsidRPr="0014056C" w:rsidRDefault="00B912F4" w:rsidP="0076456A">
      <w:pPr>
        <w:spacing w:before="240" w:after="120"/>
        <w:ind w:firstLine="709"/>
        <w:rPr>
          <w:b/>
        </w:rPr>
      </w:pPr>
      <w:r>
        <w:rPr>
          <w:b/>
        </w:rPr>
        <w:br w:type="page"/>
      </w:r>
      <w:r w:rsidR="008A53A9" w:rsidRPr="0014056C">
        <w:rPr>
          <w:b/>
        </w:rPr>
        <w:lastRenderedPageBreak/>
        <w:t>I.</w:t>
      </w:r>
      <w:r w:rsidR="008A53A9">
        <w:rPr>
          <w:b/>
        </w:rPr>
        <w:t>2</w:t>
      </w:r>
      <w:r w:rsidR="008A53A9" w:rsidRPr="0014056C">
        <w:rPr>
          <w:b/>
        </w:rPr>
        <w:t xml:space="preserve"> Raisons </w:t>
      </w:r>
      <w:r w:rsidR="008A53A9">
        <w:rPr>
          <w:b/>
        </w:rPr>
        <w:t>stru</w:t>
      </w:r>
      <w:r w:rsidR="008A53A9" w:rsidRPr="0014056C">
        <w:rPr>
          <w:b/>
        </w:rPr>
        <w:t>cturelles</w:t>
      </w:r>
    </w:p>
    <w:p w:rsidR="008A53A9" w:rsidRDefault="00E81AF2" w:rsidP="007D6193">
      <w:pPr>
        <w:numPr>
          <w:ilvl w:val="0"/>
          <w:numId w:val="18"/>
        </w:numPr>
        <w:ind w:left="0" w:firstLine="567"/>
        <w:jc w:val="both"/>
      </w:pPr>
      <w:r>
        <w:t xml:space="preserve">D’une manière plus générale, la configuration du commerce mondial a changé ces dernières années : </w:t>
      </w:r>
      <w:r w:rsidRPr="004E77F6">
        <w:rPr>
          <w:b/>
        </w:rPr>
        <w:t>montée en puissance des pays émergents</w:t>
      </w:r>
      <w:r>
        <w:t>, comme la Chine en particulier, mais aussi l’Inde ou le Brésil (BRIC).</w:t>
      </w:r>
    </w:p>
    <w:p w:rsidR="00E81AF2" w:rsidRDefault="00E81AF2" w:rsidP="00CC1D59">
      <w:pPr>
        <w:spacing w:after="120"/>
        <w:jc w:val="both"/>
      </w:pPr>
      <w:r>
        <w:t xml:space="preserve">=&gt; Concurrencent </w:t>
      </w:r>
      <w:r w:rsidR="004E77F6">
        <w:t xml:space="preserve">de plus en plus </w:t>
      </w:r>
      <w:r>
        <w:t xml:space="preserve">les pays industrialisés </w:t>
      </w:r>
      <w:r w:rsidR="004E77F6">
        <w:t>dans</w:t>
      </w:r>
      <w:r>
        <w:t xml:space="preserve"> leur</w:t>
      </w:r>
      <w:r w:rsidR="004E77F6">
        <w:t>s domaines de spécialisation traditionnel</w:t>
      </w:r>
      <w:r w:rsidR="00E52123">
        <w:t>s</w:t>
      </w:r>
      <w:r w:rsidR="004E77F6">
        <w:t xml:space="preserve"> ce qui peut justifier des mesures protectionnistes destinées à leur donner le temps de </w:t>
      </w:r>
      <w:r w:rsidR="004E77F6" w:rsidRPr="004E77F6">
        <w:rPr>
          <w:b/>
        </w:rPr>
        <w:t>se construire de nouveaux avantages compétitifs</w:t>
      </w:r>
      <w:r w:rsidR="004E77F6">
        <w:t>.</w:t>
      </w:r>
    </w:p>
    <w:p w:rsidR="004E77F6" w:rsidRDefault="004E77F6" w:rsidP="004E77F6">
      <w:pPr>
        <w:numPr>
          <w:ilvl w:val="0"/>
          <w:numId w:val="18"/>
        </w:numPr>
        <w:spacing w:after="120"/>
        <w:ind w:left="0" w:firstLine="567"/>
        <w:jc w:val="both"/>
      </w:pPr>
      <w:r>
        <w:t>On évoque également de plus en plus les effets négatifs du libre-échange</w:t>
      </w:r>
      <w:r w:rsidR="006931E6">
        <w:t xml:space="preserve"> (libre circulation des biens, services et capitaux)</w:t>
      </w:r>
      <w:r>
        <w:t xml:space="preserve"> qui, contrairement à ce qui était défendu par les théories traditionnelles du commerce international (notamment </w:t>
      </w:r>
      <w:r w:rsidRPr="006931E6">
        <w:rPr>
          <w:i/>
        </w:rPr>
        <w:t>Ricardo</w:t>
      </w:r>
      <w:r>
        <w:t xml:space="preserve">), n’est pas un jeu « gagnant-gagnant », mais </w:t>
      </w:r>
      <w:r w:rsidR="006931E6">
        <w:t>à l’origine</w:t>
      </w:r>
      <w:r>
        <w:t xml:space="preserve"> de </w:t>
      </w:r>
      <w:r w:rsidRPr="004E77F6">
        <w:rPr>
          <w:b/>
        </w:rPr>
        <w:t>conséquence</w:t>
      </w:r>
      <w:r w:rsidR="00E52123">
        <w:rPr>
          <w:b/>
        </w:rPr>
        <w:t>s</w:t>
      </w:r>
      <w:r w:rsidRPr="004E77F6">
        <w:rPr>
          <w:b/>
        </w:rPr>
        <w:t xml:space="preserve"> néfastes tant sur le plan social qu’environnemental</w:t>
      </w:r>
      <w:r>
        <w:t>.</w:t>
      </w:r>
    </w:p>
    <w:p w:rsidR="004E77F6" w:rsidRDefault="004E77F6" w:rsidP="004E77F6">
      <w:pPr>
        <w:numPr>
          <w:ilvl w:val="0"/>
          <w:numId w:val="18"/>
        </w:numPr>
        <w:spacing w:after="120"/>
        <w:ind w:left="0" w:firstLine="567"/>
        <w:jc w:val="both"/>
      </w:pPr>
      <w:r>
        <w:t>La remise en cause du libre-échange</w:t>
      </w:r>
      <w:r w:rsidR="00B81D4A">
        <w:t xml:space="preserve"> </w:t>
      </w:r>
      <w:r>
        <w:t xml:space="preserve">se joue également sur le terrain de la théorie : les « nouvelles théories du commerce international » justifient une certaine dose de protectionnisme du fait de l’existence </w:t>
      </w:r>
      <w:r w:rsidRPr="004E77F6">
        <w:rPr>
          <w:b/>
        </w:rPr>
        <w:t>d’</w:t>
      </w:r>
      <w:r>
        <w:rPr>
          <w:b/>
        </w:rPr>
        <w:t>imperfections de marchés et</w:t>
      </w:r>
      <w:r w:rsidRPr="004E77F6">
        <w:rPr>
          <w:b/>
        </w:rPr>
        <w:t xml:space="preserve"> de rendements croissants</w:t>
      </w:r>
      <w:r>
        <w:t xml:space="preserve"> (</w:t>
      </w:r>
      <w:r w:rsidR="00E52123">
        <w:t xml:space="preserve">eux-mêmes </w:t>
      </w:r>
      <w:r>
        <w:t>liés notamment à l’effet d’expérience)</w:t>
      </w:r>
      <w:r w:rsidR="008D70BA">
        <w:t xml:space="preserve"> (</w:t>
      </w:r>
      <w:r w:rsidR="008D70BA" w:rsidRPr="008D70BA">
        <w:rPr>
          <w:i/>
        </w:rPr>
        <w:t>Paul Krugman</w:t>
      </w:r>
      <w:r w:rsidR="008D70BA">
        <w:t>)</w:t>
      </w:r>
      <w:r>
        <w:t>.</w:t>
      </w:r>
    </w:p>
    <w:p w:rsidR="00B81D4A" w:rsidRPr="0014056C" w:rsidRDefault="00B81D4A" w:rsidP="00B81D4A">
      <w:pPr>
        <w:spacing w:before="240" w:after="120"/>
        <w:jc w:val="both"/>
        <w:rPr>
          <w:b/>
        </w:rPr>
      </w:pPr>
      <w:r w:rsidRPr="0014056C">
        <w:rPr>
          <w:b/>
        </w:rPr>
        <w:t>I</w:t>
      </w:r>
      <w:r>
        <w:rPr>
          <w:b/>
        </w:rPr>
        <w:t>I</w:t>
      </w:r>
      <w:r w:rsidRPr="0014056C">
        <w:rPr>
          <w:b/>
        </w:rPr>
        <w:t xml:space="preserve"> – </w:t>
      </w:r>
      <w:r>
        <w:rPr>
          <w:b/>
        </w:rPr>
        <w:t>L’impossible renoncement au libre-échange</w:t>
      </w:r>
    </w:p>
    <w:p w:rsidR="00B81D4A" w:rsidRPr="0014056C" w:rsidRDefault="00B81D4A" w:rsidP="0076456A">
      <w:pPr>
        <w:spacing w:after="120"/>
        <w:ind w:firstLine="709"/>
        <w:rPr>
          <w:b/>
        </w:rPr>
      </w:pPr>
      <w:r w:rsidRPr="0014056C">
        <w:rPr>
          <w:b/>
        </w:rPr>
        <w:t>I</w:t>
      </w:r>
      <w:r w:rsidR="0076456A">
        <w:rPr>
          <w:b/>
        </w:rPr>
        <w:t>I</w:t>
      </w:r>
      <w:r w:rsidRPr="0014056C">
        <w:rPr>
          <w:b/>
        </w:rPr>
        <w:t xml:space="preserve">.1 </w:t>
      </w:r>
      <w:r>
        <w:rPr>
          <w:b/>
        </w:rPr>
        <w:t>Des échanges internationaux moteurs pour la croissance</w:t>
      </w:r>
    </w:p>
    <w:p w:rsidR="00B81D4A" w:rsidRDefault="00B81D4A" w:rsidP="007D6193">
      <w:pPr>
        <w:numPr>
          <w:ilvl w:val="0"/>
          <w:numId w:val="16"/>
        </w:numPr>
        <w:ind w:left="0" w:firstLine="567"/>
        <w:jc w:val="both"/>
      </w:pPr>
      <w:r>
        <w:t xml:space="preserve">Même si elle ne peut pas être posée comme une règle intangible, la </w:t>
      </w:r>
      <w:r w:rsidRPr="00182CA9">
        <w:rPr>
          <w:b/>
        </w:rPr>
        <w:t>corrélation entre la croissance économique et les échanges internationaux</w:t>
      </w:r>
      <w:r>
        <w:t xml:space="preserve"> est indéniable</w:t>
      </w:r>
      <w:r w:rsidR="00182CA9">
        <w:t>.</w:t>
      </w:r>
    </w:p>
    <w:p w:rsidR="00B81D4A" w:rsidRDefault="00B81D4A" w:rsidP="00B81D4A">
      <w:pPr>
        <w:spacing w:after="120"/>
        <w:jc w:val="both"/>
      </w:pPr>
      <w:r>
        <w:t xml:space="preserve">=&gt; Les statistiques montrent que non seulement les deux phénomènes sont corrélés mais que le commerce croit même plus rapidement que le PIB. Ce lien entre croissance et échanges commerciaux va dans le sens des théories de </w:t>
      </w:r>
      <w:r w:rsidRPr="006931E6">
        <w:rPr>
          <w:i/>
        </w:rPr>
        <w:t>Smith et Ricardo</w:t>
      </w:r>
      <w:r>
        <w:t xml:space="preserve"> (avantages absolus et relatifs) qui montraient </w:t>
      </w:r>
      <w:r w:rsidRPr="00182CA9">
        <w:rPr>
          <w:b/>
        </w:rPr>
        <w:t>l’intérêt de la libéralisation des échanges.</w:t>
      </w:r>
    </w:p>
    <w:p w:rsidR="004E77F6" w:rsidRDefault="00182CA9" w:rsidP="007D6193">
      <w:pPr>
        <w:numPr>
          <w:ilvl w:val="0"/>
          <w:numId w:val="16"/>
        </w:numPr>
        <w:ind w:left="0" w:firstLine="567"/>
        <w:jc w:val="both"/>
      </w:pPr>
      <w:r>
        <w:t xml:space="preserve">L’ouverture des échanges a indéniablement été bénéfique pour </w:t>
      </w:r>
      <w:r w:rsidRPr="00182CA9">
        <w:rPr>
          <w:b/>
        </w:rPr>
        <w:t>la croissance et le développement</w:t>
      </w:r>
      <w:r>
        <w:t xml:space="preserve"> de nombreux pays.</w:t>
      </w:r>
    </w:p>
    <w:p w:rsidR="00182CA9" w:rsidRDefault="00182CA9" w:rsidP="00CC1D59">
      <w:pPr>
        <w:spacing w:after="120"/>
        <w:jc w:val="both"/>
      </w:pPr>
      <w:r>
        <w:t>=&gt; Clientèle internationale pour écouler les productions nationales, investissements souvent accompagnés de transferts de technologie sont autant de facteurs de croissance</w:t>
      </w:r>
      <w:r w:rsidR="0076456A">
        <w:t xml:space="preserve"> (</w:t>
      </w:r>
      <w:r w:rsidR="0076456A" w:rsidRPr="0076456A">
        <w:rPr>
          <w:i/>
        </w:rPr>
        <w:t>théorie de la croissance endogène</w:t>
      </w:r>
      <w:r w:rsidR="0076456A">
        <w:t>)</w:t>
      </w:r>
      <w:r>
        <w:t>.</w:t>
      </w:r>
    </w:p>
    <w:p w:rsidR="00182CA9" w:rsidRDefault="00182CA9" w:rsidP="007D6193">
      <w:pPr>
        <w:numPr>
          <w:ilvl w:val="0"/>
          <w:numId w:val="16"/>
        </w:numPr>
        <w:ind w:left="0" w:firstLine="567"/>
        <w:jc w:val="both"/>
      </w:pPr>
      <w:r>
        <w:t>L’intérêt se manifeste aussi pour les consommateurs.</w:t>
      </w:r>
    </w:p>
    <w:p w:rsidR="00182CA9" w:rsidRDefault="00182CA9" w:rsidP="00CC1D59">
      <w:pPr>
        <w:spacing w:after="120"/>
        <w:jc w:val="both"/>
      </w:pPr>
      <w:r>
        <w:t>=&gt; L’importance du commerce intra-branche</w:t>
      </w:r>
      <w:r w:rsidR="006931E6">
        <w:t>s</w:t>
      </w:r>
      <w:r>
        <w:t xml:space="preserve"> s’explique en partie par la demande de variété des consommateurs (référence à la demande de différence de </w:t>
      </w:r>
      <w:proofErr w:type="spellStart"/>
      <w:r w:rsidRPr="006931E6">
        <w:rPr>
          <w:i/>
        </w:rPr>
        <w:t>Lassudrie</w:t>
      </w:r>
      <w:proofErr w:type="spellEnd"/>
      <w:r w:rsidRPr="006931E6">
        <w:rPr>
          <w:i/>
        </w:rPr>
        <w:t>-Duchêne</w:t>
      </w:r>
      <w:r>
        <w:t xml:space="preserve">) et se traduit par </w:t>
      </w:r>
      <w:r w:rsidRPr="00182CA9">
        <w:rPr>
          <w:b/>
        </w:rPr>
        <w:t>une offre de produits large et diversifiée</w:t>
      </w:r>
      <w:r>
        <w:t>.</w:t>
      </w:r>
    </w:p>
    <w:p w:rsidR="00182CA9" w:rsidRPr="0014056C" w:rsidRDefault="0076456A" w:rsidP="0076456A">
      <w:pPr>
        <w:spacing w:before="240" w:after="120"/>
        <w:ind w:firstLine="709"/>
        <w:rPr>
          <w:b/>
        </w:rPr>
      </w:pPr>
      <w:r>
        <w:rPr>
          <w:b/>
        </w:rPr>
        <w:t>I</w:t>
      </w:r>
      <w:r w:rsidR="00182CA9" w:rsidRPr="0014056C">
        <w:rPr>
          <w:b/>
        </w:rPr>
        <w:t>I.</w:t>
      </w:r>
      <w:r w:rsidR="00182CA9">
        <w:rPr>
          <w:b/>
        </w:rPr>
        <w:t>2</w:t>
      </w:r>
      <w:r w:rsidR="00182CA9" w:rsidRPr="0014056C">
        <w:rPr>
          <w:b/>
        </w:rPr>
        <w:t xml:space="preserve"> </w:t>
      </w:r>
      <w:r w:rsidR="00182CA9">
        <w:rPr>
          <w:b/>
        </w:rPr>
        <w:t>L’interdépendance des économies</w:t>
      </w:r>
    </w:p>
    <w:p w:rsidR="00182CA9" w:rsidRDefault="009148B2" w:rsidP="007D6193">
      <w:pPr>
        <w:numPr>
          <w:ilvl w:val="0"/>
          <w:numId w:val="16"/>
        </w:numPr>
        <w:ind w:left="0" w:firstLine="567"/>
        <w:jc w:val="both"/>
      </w:pPr>
      <w:r>
        <w:t>L’une des conséquences directes de la libéralisation des échanges est l’interdépendance croissante des économies (même si cette interdépendance peut avoir d’autres origines).</w:t>
      </w:r>
    </w:p>
    <w:p w:rsidR="00182CA9" w:rsidRDefault="00182CA9" w:rsidP="00182CA9">
      <w:pPr>
        <w:spacing w:after="120"/>
        <w:jc w:val="both"/>
      </w:pPr>
      <w:r>
        <w:t xml:space="preserve">=&gt; </w:t>
      </w:r>
      <w:r w:rsidR="009148B2">
        <w:t xml:space="preserve">Illustrée par </w:t>
      </w:r>
      <w:r w:rsidR="009148B2" w:rsidRPr="000D2E4E">
        <w:rPr>
          <w:b/>
        </w:rPr>
        <w:t>l’importance du commerce intra-zone</w:t>
      </w:r>
      <w:r w:rsidR="00E52123">
        <w:rPr>
          <w:b/>
        </w:rPr>
        <w:t>s</w:t>
      </w:r>
      <w:r w:rsidR="009148B2" w:rsidRPr="000D2E4E">
        <w:rPr>
          <w:b/>
        </w:rPr>
        <w:t xml:space="preserve"> et intra-firmes</w:t>
      </w:r>
      <w:r w:rsidR="009148B2">
        <w:t>, l’interdépendance entre les pays rend difficilement envisageable un retour au protectionnisme.</w:t>
      </w:r>
    </w:p>
    <w:p w:rsidR="00182CA9" w:rsidRDefault="009148B2" w:rsidP="007D6193">
      <w:pPr>
        <w:numPr>
          <w:ilvl w:val="0"/>
          <w:numId w:val="16"/>
        </w:numPr>
        <w:ind w:left="0" w:firstLine="567"/>
        <w:jc w:val="both"/>
      </w:pPr>
      <w:r>
        <w:t xml:space="preserve">En effet, de nombreux pays sont très </w:t>
      </w:r>
      <w:r w:rsidRPr="000D2E4E">
        <w:rPr>
          <w:b/>
        </w:rPr>
        <w:t>dépendants de leur clientèle étrangère</w:t>
      </w:r>
      <w:r>
        <w:t xml:space="preserve"> pour assurer l’écoulement de leur production</w:t>
      </w:r>
      <w:r w:rsidR="006931E6">
        <w:t xml:space="preserve"> (demande interne insuffisante, rendements croissants)</w:t>
      </w:r>
      <w:r>
        <w:t>.</w:t>
      </w:r>
    </w:p>
    <w:p w:rsidR="009148B2" w:rsidRDefault="009148B2" w:rsidP="00CC1D59">
      <w:pPr>
        <w:spacing w:after="120"/>
        <w:jc w:val="both"/>
      </w:pPr>
      <w:r>
        <w:t xml:space="preserve">=&gt; Ils ne pourraient pas prendre le </w:t>
      </w:r>
      <w:r w:rsidRPr="000D2E4E">
        <w:rPr>
          <w:b/>
        </w:rPr>
        <w:t>risque d’éventuelles mesures de rétorsion</w:t>
      </w:r>
      <w:r>
        <w:t xml:space="preserve"> s’ils adoptaient des politiques protectionnistes.</w:t>
      </w:r>
    </w:p>
    <w:p w:rsidR="009148B2" w:rsidRDefault="009148B2" w:rsidP="000D2E4E">
      <w:pPr>
        <w:numPr>
          <w:ilvl w:val="0"/>
          <w:numId w:val="16"/>
        </w:numPr>
        <w:spacing w:after="120"/>
        <w:ind w:left="0" w:firstLine="567"/>
        <w:jc w:val="both"/>
      </w:pPr>
      <w:r>
        <w:lastRenderedPageBreak/>
        <w:t xml:space="preserve">Le retour au protectionnisme est également freiné par l’existence de ce que l’on appelle des </w:t>
      </w:r>
      <w:r w:rsidRPr="007D6193">
        <w:rPr>
          <w:b/>
        </w:rPr>
        <w:t>importations fatales</w:t>
      </w:r>
      <w:r w:rsidR="000D2E4E">
        <w:t> :</w:t>
      </w:r>
      <w:r>
        <w:t xml:space="preserve"> productions que l’on ne peut réaliser chez soi ou produits dont on ne</w:t>
      </w:r>
      <w:r w:rsidR="000D2E4E">
        <w:t xml:space="preserve"> peut disposer (certaines ressources naturelles par exemple) </w:t>
      </w:r>
      <w:r>
        <w:t>et</w:t>
      </w:r>
      <w:r w:rsidR="000D2E4E">
        <w:t xml:space="preserve"> sans lesquel</w:t>
      </w:r>
      <w:r>
        <w:t>s on ne peut fonctionner</w:t>
      </w:r>
      <w:r w:rsidR="000D2E4E">
        <w:t> ;</w:t>
      </w:r>
    </w:p>
    <w:p w:rsidR="000D2E4E" w:rsidRDefault="000D2E4E" w:rsidP="000D2E4E">
      <w:pPr>
        <w:numPr>
          <w:ilvl w:val="0"/>
          <w:numId w:val="16"/>
        </w:numPr>
        <w:spacing w:after="120"/>
        <w:ind w:left="0" w:firstLine="567"/>
        <w:jc w:val="both"/>
      </w:pPr>
      <w:r>
        <w:t>La multinationalisation des ent</w:t>
      </w:r>
      <w:r w:rsidR="00E52123">
        <w:t>reprises (à la fois conséquence</w:t>
      </w:r>
      <w:r>
        <w:t xml:space="preserve"> et cause du développement des échanges) rend une partie des </w:t>
      </w:r>
      <w:r w:rsidR="006931E6">
        <w:rPr>
          <w:b/>
        </w:rPr>
        <w:t>exportations dépendante</w:t>
      </w:r>
      <w:r w:rsidRPr="007D6193">
        <w:rPr>
          <w:b/>
        </w:rPr>
        <w:t xml:space="preserve"> des importations</w:t>
      </w:r>
      <w:r>
        <w:t xml:space="preserve"> du fait de la DIPP, mais aussi une part de </w:t>
      </w:r>
      <w:r w:rsidRPr="007D6193">
        <w:rPr>
          <w:b/>
        </w:rPr>
        <w:t>l’emploi national</w:t>
      </w:r>
      <w:r>
        <w:t xml:space="preserve"> dépendante des entreprises étrangères.</w:t>
      </w:r>
    </w:p>
    <w:p w:rsidR="007D6193" w:rsidRDefault="007D6193" w:rsidP="007D6193">
      <w:pPr>
        <w:spacing w:before="240" w:after="120"/>
        <w:jc w:val="both"/>
        <w:rPr>
          <w:b/>
          <w:sz w:val="22"/>
        </w:rPr>
      </w:pPr>
      <w:r>
        <w:rPr>
          <w:b/>
          <w:sz w:val="22"/>
        </w:rPr>
        <w:t>Conclusion :</w:t>
      </w:r>
    </w:p>
    <w:p w:rsidR="007D6193" w:rsidRDefault="007D6193" w:rsidP="007D6193">
      <w:pPr>
        <w:ind w:firstLine="142"/>
        <w:jc w:val="both"/>
      </w:pPr>
      <w:r>
        <w:t>Les nombreux effets positifs des échanges commerciaux tout comme le degré important d’intégration et d’interdépendance</w:t>
      </w:r>
      <w:r w:rsidR="006931E6">
        <w:t xml:space="preserve"> des économies, font paraître quelque</w:t>
      </w:r>
      <w:r>
        <w:t xml:space="preserve"> peu irréaliste un renoncement pur et simple au libre-échange.</w:t>
      </w:r>
    </w:p>
    <w:p w:rsidR="000D2E4E" w:rsidRDefault="007D6193" w:rsidP="007D6193">
      <w:pPr>
        <w:ind w:firstLine="142"/>
        <w:jc w:val="both"/>
      </w:pPr>
      <w:r>
        <w:t>Cependant, le contexte économique actuel difficile rend tout à fait vraisemblable l’apparition de guerres commerciales féroces. Si on ajoute à cela les conséquences négatives, possibles ou avérées, du libre-échange, notamment en matière sociale et environnementale, la remise en cause de la configuration actuelle des échanges internationaux ne semble pas dénuée de sens.</w:t>
      </w:r>
    </w:p>
    <w:p w:rsidR="007D6193" w:rsidRDefault="007D6193" w:rsidP="00CC1D59">
      <w:pPr>
        <w:spacing w:after="120"/>
        <w:jc w:val="both"/>
      </w:pPr>
      <w:r>
        <w:t>Il ne s’agit sans doute pas de prôner un retour au protectionnisme, mais peut-être de passer du libre-échange à ce que certains appellent le « juste échange » ou « échange loyal » (« </w:t>
      </w:r>
      <w:proofErr w:type="spellStart"/>
      <w:r>
        <w:t>fair</w:t>
      </w:r>
      <w:proofErr w:type="spellEnd"/>
      <w:r>
        <w:t xml:space="preserve"> </w:t>
      </w:r>
      <w:proofErr w:type="spellStart"/>
      <w:r>
        <w:t>trade</w:t>
      </w:r>
      <w:proofErr w:type="spellEnd"/>
      <w:r>
        <w:t xml:space="preserve"> » par opposition au « free </w:t>
      </w:r>
      <w:proofErr w:type="spellStart"/>
      <w:r>
        <w:t>trade</w:t>
      </w:r>
      <w:proofErr w:type="spellEnd"/>
      <w:r>
        <w:t> »).</w:t>
      </w:r>
    </w:p>
    <w:p w:rsidR="00861668" w:rsidRDefault="00861668" w:rsidP="00CC1D59">
      <w:pPr>
        <w:spacing w:after="120"/>
        <w:jc w:val="both"/>
      </w:pPr>
    </w:p>
    <w:p w:rsidR="00260654" w:rsidRPr="00260654" w:rsidRDefault="00260654" w:rsidP="00260654">
      <w:pPr>
        <w:shd w:val="clear" w:color="auto" w:fill="FFFFFF"/>
        <w:tabs>
          <w:tab w:val="left" w:pos="8820"/>
        </w:tabs>
        <w:spacing w:line="40" w:lineRule="atLeast"/>
        <w:ind w:right="383"/>
        <w:rPr>
          <w:b/>
          <w:bCs/>
          <w:color w:val="232323"/>
        </w:rPr>
      </w:pPr>
      <w:r w:rsidRPr="00260654">
        <w:rPr>
          <w:b/>
          <w:bCs/>
          <w:color w:val="232323"/>
        </w:rPr>
        <w:t>II – M</w:t>
      </w:r>
      <w:r w:rsidR="00B912F4">
        <w:rPr>
          <w:b/>
          <w:bCs/>
          <w:color w:val="232323"/>
        </w:rPr>
        <w:t>É</w:t>
      </w:r>
      <w:r w:rsidRPr="00260654">
        <w:rPr>
          <w:b/>
          <w:bCs/>
          <w:color w:val="232323"/>
        </w:rPr>
        <w:t xml:space="preserve">THODOLOGIE : </w:t>
      </w:r>
      <w:r w:rsidR="00B912F4">
        <w:rPr>
          <w:b/>
          <w:bCs/>
          <w:color w:val="232323"/>
        </w:rPr>
        <w:t>É</w:t>
      </w:r>
      <w:r w:rsidRPr="00260654">
        <w:rPr>
          <w:b/>
          <w:bCs/>
          <w:color w:val="232323"/>
        </w:rPr>
        <w:t xml:space="preserve">TUDE D’UN TABLEAU </w:t>
      </w:r>
    </w:p>
    <w:p w:rsidR="00260654" w:rsidRPr="00260654" w:rsidRDefault="00260654" w:rsidP="00260654">
      <w:pPr>
        <w:shd w:val="clear" w:color="auto" w:fill="FFFFFF"/>
        <w:ind w:right="-28"/>
        <w:jc w:val="both"/>
        <w:rPr>
          <w:b/>
          <w:bCs/>
          <w:color w:val="232323"/>
          <w:spacing w:val="-3"/>
        </w:rPr>
      </w:pPr>
    </w:p>
    <w:p w:rsidR="00260654" w:rsidRPr="00260654" w:rsidRDefault="00260654" w:rsidP="00260654">
      <w:pPr>
        <w:shd w:val="clear" w:color="auto" w:fill="FFFFFF"/>
        <w:ind w:right="-28"/>
        <w:jc w:val="both"/>
        <w:rPr>
          <w:b/>
          <w:bCs/>
          <w:color w:val="232323"/>
          <w:spacing w:val="-3"/>
        </w:rPr>
      </w:pPr>
      <w:r>
        <w:rPr>
          <w:b/>
          <w:bCs/>
          <w:color w:val="232323"/>
          <w:spacing w:val="-3"/>
        </w:rPr>
        <w:t>1-</w:t>
      </w:r>
      <w:r w:rsidRPr="00260654">
        <w:rPr>
          <w:b/>
          <w:bCs/>
          <w:color w:val="232323"/>
          <w:spacing w:val="-3"/>
        </w:rPr>
        <w:t xml:space="preserve"> Lecture d’une information (D1 pour 2010) :</w:t>
      </w:r>
    </w:p>
    <w:p w:rsidR="00260654" w:rsidRDefault="00260654" w:rsidP="00260654">
      <w:pPr>
        <w:shd w:val="clear" w:color="auto" w:fill="FFFFFF"/>
        <w:ind w:right="-28"/>
        <w:jc w:val="both"/>
        <w:rPr>
          <w:color w:val="000000"/>
        </w:rPr>
      </w:pPr>
      <w:r w:rsidRPr="00260654">
        <w:rPr>
          <w:color w:val="000000"/>
        </w:rPr>
        <w:t>Les déciles sont les valeurs qui partagent une distribution en dix parties égales.</w:t>
      </w:r>
      <w:r w:rsidRPr="00260654">
        <w:rPr>
          <w:color w:val="000000"/>
        </w:rPr>
        <w:br/>
        <w:t>Ainsi, pour une distribution de niveaux de vie, le premier décile (noté généralement D1) est le revenu disponible au-dessous duquel se situent 10 % des ménages ; autrement dit, au-dessus duquel se situent 90 % des ménages.</w:t>
      </w:r>
    </w:p>
    <w:p w:rsidR="00260654" w:rsidRPr="00260654" w:rsidRDefault="00260654" w:rsidP="00260654">
      <w:pPr>
        <w:jc w:val="both"/>
      </w:pPr>
      <w:r w:rsidRPr="00260654">
        <w:t xml:space="preserve">En 2010, 10 % des individus </w:t>
      </w:r>
      <w:r w:rsidR="00FD1B52">
        <w:t xml:space="preserve">d’un même ménage </w:t>
      </w:r>
      <w:r w:rsidRPr="00260654">
        <w:t>ont un niveau de vie inférieur à 10 430 euros.</w:t>
      </w:r>
    </w:p>
    <w:p w:rsidR="00260654" w:rsidRPr="00260654" w:rsidRDefault="00260654" w:rsidP="00260654">
      <w:pPr>
        <w:shd w:val="clear" w:color="auto" w:fill="FFFFFF"/>
        <w:ind w:right="2208"/>
        <w:rPr>
          <w:b/>
          <w:bCs/>
          <w:color w:val="232323"/>
        </w:rPr>
      </w:pPr>
    </w:p>
    <w:p w:rsidR="00260654" w:rsidRPr="00260654" w:rsidRDefault="00260654" w:rsidP="00260654">
      <w:pPr>
        <w:shd w:val="clear" w:color="auto" w:fill="FFFFFF"/>
        <w:ind w:right="2208"/>
        <w:rPr>
          <w:b/>
          <w:bCs/>
          <w:color w:val="232323"/>
        </w:rPr>
      </w:pPr>
      <w:r w:rsidRPr="00260654">
        <w:rPr>
          <w:b/>
          <w:bCs/>
          <w:color w:val="232323"/>
          <w:spacing w:val="-3"/>
        </w:rPr>
        <w:t xml:space="preserve">2 </w:t>
      </w:r>
      <w:r>
        <w:rPr>
          <w:b/>
          <w:bCs/>
          <w:color w:val="232323"/>
          <w:spacing w:val="-3"/>
        </w:rPr>
        <w:t>-</w:t>
      </w:r>
      <w:r w:rsidRPr="00260654">
        <w:rPr>
          <w:b/>
          <w:bCs/>
          <w:color w:val="232323"/>
          <w:spacing w:val="-3"/>
        </w:rPr>
        <w:t xml:space="preserve"> Sens de la « médiane » :</w:t>
      </w:r>
    </w:p>
    <w:p w:rsidR="00260654" w:rsidRPr="00260654" w:rsidRDefault="00260654" w:rsidP="00260654">
      <w:pPr>
        <w:pStyle w:val="NormalWeb"/>
        <w:spacing w:before="0" w:beforeAutospacing="0"/>
        <w:jc w:val="both"/>
        <w:rPr>
          <w:color w:val="000000"/>
        </w:rPr>
      </w:pPr>
      <w:r w:rsidRPr="00260654">
        <w:rPr>
          <w:color w:val="000000"/>
        </w:rPr>
        <w:t>La médiane est la valeur qui partage cette distribution en deux parties égales.</w:t>
      </w:r>
      <w:r w:rsidRPr="00260654">
        <w:rPr>
          <w:color w:val="000000"/>
        </w:rPr>
        <w:br/>
        <w:t>Ici, la médiane est le revenu au-dessous duquel se situent 50 % des ménages. C'est de manière équivalente le revenu au-dessus duquel se situent 50 % des ménages.</w:t>
      </w:r>
    </w:p>
    <w:p w:rsidR="00260654" w:rsidRPr="00260654" w:rsidRDefault="00260654" w:rsidP="00260654">
      <w:pPr>
        <w:shd w:val="clear" w:color="auto" w:fill="FFFFFF"/>
        <w:ind w:right="2208"/>
        <w:rPr>
          <w:b/>
          <w:bCs/>
          <w:color w:val="232323"/>
        </w:rPr>
      </w:pPr>
    </w:p>
    <w:p w:rsidR="00260654" w:rsidRPr="00260654" w:rsidRDefault="00260654" w:rsidP="00260654">
      <w:pPr>
        <w:shd w:val="clear" w:color="auto" w:fill="FFFFFF"/>
        <w:ind w:right="2208"/>
        <w:rPr>
          <w:b/>
          <w:bCs/>
          <w:color w:val="232323"/>
          <w:spacing w:val="-3"/>
        </w:rPr>
      </w:pPr>
      <w:r w:rsidRPr="00260654">
        <w:rPr>
          <w:b/>
          <w:bCs/>
          <w:color w:val="232323"/>
          <w:spacing w:val="-3"/>
        </w:rPr>
        <w:t xml:space="preserve">3 </w:t>
      </w:r>
      <w:r w:rsidR="00FD1B52">
        <w:rPr>
          <w:b/>
          <w:bCs/>
          <w:color w:val="232323"/>
          <w:spacing w:val="-3"/>
        </w:rPr>
        <w:t>-</w:t>
      </w:r>
      <w:r w:rsidRPr="00260654">
        <w:rPr>
          <w:b/>
          <w:bCs/>
          <w:color w:val="232323"/>
          <w:spacing w:val="-3"/>
        </w:rPr>
        <w:t xml:space="preserve"> Rapide commentaire :</w:t>
      </w:r>
    </w:p>
    <w:p w:rsidR="00260654" w:rsidRPr="00260654" w:rsidRDefault="00260654" w:rsidP="00260654">
      <w:pPr>
        <w:shd w:val="clear" w:color="auto" w:fill="FFFFFF"/>
        <w:ind w:right="2208"/>
        <w:rPr>
          <w:bCs/>
          <w:color w:val="232323"/>
        </w:rPr>
      </w:pPr>
      <w:r w:rsidRPr="00260654">
        <w:rPr>
          <w:bCs/>
          <w:color w:val="232323"/>
        </w:rPr>
        <w:t>Le tableau permet de faire les observations suivantes :</w:t>
      </w:r>
    </w:p>
    <w:p w:rsidR="00260654" w:rsidRPr="00260654" w:rsidRDefault="00260654" w:rsidP="007C72D7">
      <w:pPr>
        <w:numPr>
          <w:ilvl w:val="0"/>
          <w:numId w:val="35"/>
        </w:numPr>
        <w:shd w:val="clear" w:color="auto" w:fill="FFFFFF"/>
        <w:ind w:right="23"/>
        <w:jc w:val="both"/>
        <w:rPr>
          <w:bCs/>
          <w:color w:val="232323"/>
        </w:rPr>
      </w:pPr>
      <w:r w:rsidRPr="00260654">
        <w:rPr>
          <w:b/>
          <w:bCs/>
          <w:i/>
          <w:color w:val="232323"/>
        </w:rPr>
        <w:t>l’importance des inégalités sociales</w:t>
      </w:r>
      <w:r w:rsidRPr="00260654">
        <w:rPr>
          <w:bCs/>
          <w:color w:val="232323"/>
        </w:rPr>
        <w:t xml:space="preserve"> : par exemple, un ménage situé dans le premier décile perçoit un revenu inférieur d’environ 3,5 fois à celui d’un ménage situé dans le dernier décile, en 2010. </w:t>
      </w:r>
    </w:p>
    <w:p w:rsidR="00260654" w:rsidRPr="00260654" w:rsidRDefault="00260654" w:rsidP="007C72D7">
      <w:pPr>
        <w:numPr>
          <w:ilvl w:val="0"/>
          <w:numId w:val="35"/>
        </w:numPr>
        <w:shd w:val="clear" w:color="auto" w:fill="FFFFFF"/>
        <w:ind w:right="23"/>
        <w:jc w:val="both"/>
        <w:rPr>
          <w:bCs/>
          <w:color w:val="232323"/>
        </w:rPr>
      </w:pPr>
      <w:r w:rsidRPr="00260654">
        <w:rPr>
          <w:bCs/>
          <w:color w:val="232323"/>
        </w:rPr>
        <w:t xml:space="preserve">sur les </w:t>
      </w:r>
      <w:r w:rsidR="00FD1B52">
        <w:rPr>
          <w:bCs/>
          <w:color w:val="232323"/>
        </w:rPr>
        <w:t>neuf</w:t>
      </w:r>
      <w:r w:rsidRPr="00260654">
        <w:rPr>
          <w:bCs/>
          <w:color w:val="232323"/>
        </w:rPr>
        <w:t xml:space="preserve"> années présentées, il est possible d’observer </w:t>
      </w:r>
      <w:r w:rsidRPr="00260654">
        <w:rPr>
          <w:b/>
          <w:bCs/>
          <w:i/>
          <w:color w:val="232323"/>
        </w:rPr>
        <w:t>une aggravation des inégalités</w:t>
      </w:r>
      <w:r w:rsidRPr="00260654">
        <w:rPr>
          <w:bCs/>
          <w:color w:val="232323"/>
        </w:rPr>
        <w:t xml:space="preserve"> : le rapport </w:t>
      </w:r>
      <w:proofErr w:type="spellStart"/>
      <w:r w:rsidRPr="00260654">
        <w:rPr>
          <w:bCs/>
          <w:color w:val="232323"/>
        </w:rPr>
        <w:t>interdécile</w:t>
      </w:r>
      <w:proofErr w:type="spellEnd"/>
      <w:r w:rsidRPr="00260654">
        <w:rPr>
          <w:bCs/>
          <w:color w:val="232323"/>
        </w:rPr>
        <w:t xml:space="preserve"> D9/D1 passant de 3,39 à 3,48.</w:t>
      </w:r>
    </w:p>
    <w:p w:rsidR="00260654" w:rsidRPr="00260654" w:rsidRDefault="00FD1B52" w:rsidP="007C72D7">
      <w:pPr>
        <w:numPr>
          <w:ilvl w:val="0"/>
          <w:numId w:val="35"/>
        </w:numPr>
        <w:shd w:val="clear" w:color="auto" w:fill="FFFFFF"/>
        <w:jc w:val="both"/>
        <w:rPr>
          <w:color w:val="000000"/>
        </w:rPr>
      </w:pPr>
      <w:r w:rsidRPr="00FD1B52">
        <w:rPr>
          <w:b/>
          <w:i/>
          <w:color w:val="000000"/>
        </w:rPr>
        <w:t>l</w:t>
      </w:r>
      <w:r w:rsidR="00260654" w:rsidRPr="00FD1B52">
        <w:rPr>
          <w:b/>
          <w:i/>
          <w:color w:val="000000"/>
        </w:rPr>
        <w:t xml:space="preserve">'année </w:t>
      </w:r>
      <w:smartTag w:uri="urn:schemas-microsoft-com:office:smarttags" w:element="metricconverter">
        <w:smartTagPr>
          <w:attr w:name="ProductID" w:val="2009 a"/>
        </w:smartTagPr>
        <w:r w:rsidR="00260654" w:rsidRPr="00FD1B52">
          <w:rPr>
            <w:b/>
            <w:i/>
            <w:color w:val="000000"/>
          </w:rPr>
          <w:t>2009 a</w:t>
        </w:r>
      </w:smartTag>
      <w:r w:rsidR="00260654" w:rsidRPr="00FD1B52">
        <w:rPr>
          <w:b/>
          <w:i/>
          <w:color w:val="000000"/>
        </w:rPr>
        <w:t xml:space="preserve"> </w:t>
      </w:r>
      <w:r w:rsidRPr="00FD1B52">
        <w:rPr>
          <w:b/>
          <w:i/>
          <w:color w:val="000000"/>
        </w:rPr>
        <w:t>été une année de rupture</w:t>
      </w:r>
      <w:r w:rsidR="00260654" w:rsidRPr="00260654">
        <w:rPr>
          <w:color w:val="000000"/>
        </w:rPr>
        <w:t xml:space="preserve"> : </w:t>
      </w:r>
      <w:r w:rsidR="00260654" w:rsidRPr="00260654">
        <w:rPr>
          <w:iCs/>
          <w:color w:val="000000"/>
        </w:rPr>
        <w:t>en euros constants, le</w:t>
      </w:r>
      <w:r>
        <w:rPr>
          <w:iCs/>
          <w:color w:val="000000"/>
        </w:rPr>
        <w:t xml:space="preserve"> revenu </w:t>
      </w:r>
      <w:r w:rsidR="00A95155">
        <w:rPr>
          <w:iCs/>
          <w:color w:val="000000"/>
        </w:rPr>
        <w:t xml:space="preserve">disponible </w:t>
      </w:r>
      <w:r>
        <w:rPr>
          <w:iCs/>
          <w:color w:val="000000"/>
        </w:rPr>
        <w:t>de</w:t>
      </w:r>
      <w:r w:rsidR="00260654" w:rsidRPr="00260654">
        <w:rPr>
          <w:iCs/>
          <w:color w:val="000000"/>
        </w:rPr>
        <w:t>s quatre premiers déciles diminue avec une</w:t>
      </w:r>
      <w:r w:rsidR="00260654" w:rsidRPr="00260654">
        <w:rPr>
          <w:color w:val="000000"/>
        </w:rPr>
        <w:t xml:space="preserve"> baisse </w:t>
      </w:r>
      <w:r w:rsidR="00260654" w:rsidRPr="00260654">
        <w:rPr>
          <w:iCs/>
          <w:color w:val="000000"/>
        </w:rPr>
        <w:t>plus marquée pour le premier décile</w:t>
      </w:r>
      <w:r w:rsidR="00A95155">
        <w:rPr>
          <w:iCs/>
          <w:color w:val="000000"/>
        </w:rPr>
        <w:t xml:space="preserve"> (le revenu disponible est devenu inférieur à ce qu’il était en 2007)</w:t>
      </w:r>
      <w:r>
        <w:rPr>
          <w:color w:val="000000"/>
        </w:rPr>
        <w:t xml:space="preserve"> alors que dans le même temps le revenu </w:t>
      </w:r>
      <w:r w:rsidR="00A95155">
        <w:rPr>
          <w:color w:val="000000"/>
        </w:rPr>
        <w:t xml:space="preserve">disponible </w:t>
      </w:r>
      <w:r>
        <w:rPr>
          <w:color w:val="000000"/>
        </w:rPr>
        <w:t>des autres déciles continue à augmenter.</w:t>
      </w:r>
    </w:p>
    <w:p w:rsidR="00260654" w:rsidRPr="00260654" w:rsidRDefault="00A95155" w:rsidP="00260654">
      <w:pPr>
        <w:shd w:val="clear" w:color="auto" w:fill="FFFFFF"/>
        <w:jc w:val="both"/>
        <w:rPr>
          <w:color w:val="000000"/>
        </w:rPr>
      </w:pPr>
      <w:r>
        <w:rPr>
          <w:color w:val="000000"/>
        </w:rPr>
        <w:lastRenderedPageBreak/>
        <w:t>Cela peut s’expliquer en partie par la crise de 2008 qui touche plus particulièrement les personnes les p</w:t>
      </w:r>
      <w:r w:rsidR="00194FAD">
        <w:rPr>
          <w:color w:val="000000"/>
        </w:rPr>
        <w:t>lus modestes (</w:t>
      </w:r>
      <w:r w:rsidR="00260654" w:rsidRPr="00194FAD">
        <w:rPr>
          <w:i/>
          <w:iCs/>
          <w:color w:val="000000"/>
        </w:rPr>
        <w:t>hausse du nombre de chômeurs dans le bas de la distribution des niveaux de vie</w:t>
      </w:r>
      <w:r w:rsidR="00194FAD" w:rsidRPr="00194FAD">
        <w:rPr>
          <w:i/>
          <w:iCs/>
          <w:color w:val="000000"/>
        </w:rPr>
        <w:t>, recours plus grand aux contrats précaires, gel des salaires,…)</w:t>
      </w:r>
      <w:r w:rsidR="00260654" w:rsidRPr="00194FAD">
        <w:rPr>
          <w:color w:val="000000"/>
        </w:rPr>
        <w:t>.</w:t>
      </w:r>
    </w:p>
    <w:p w:rsidR="00A95155" w:rsidRDefault="00A95155" w:rsidP="00260654">
      <w:pPr>
        <w:shd w:val="clear" w:color="auto" w:fill="FFFFFF"/>
        <w:ind w:right="6"/>
      </w:pPr>
    </w:p>
    <w:p w:rsidR="00260654" w:rsidRPr="00260654" w:rsidRDefault="00260654" w:rsidP="00861668">
      <w:pPr>
        <w:tabs>
          <w:tab w:val="left" w:pos="960"/>
        </w:tabs>
        <w:rPr>
          <w:b/>
          <w:bCs/>
          <w:color w:val="232323"/>
        </w:rPr>
      </w:pPr>
      <w:r w:rsidRPr="00260654">
        <w:rPr>
          <w:b/>
          <w:bCs/>
          <w:color w:val="232323"/>
          <w:spacing w:val="-3"/>
        </w:rPr>
        <w:t xml:space="preserve">4 </w:t>
      </w:r>
      <w:r w:rsidR="00194FAD">
        <w:rPr>
          <w:b/>
          <w:bCs/>
          <w:color w:val="232323"/>
          <w:spacing w:val="-3"/>
        </w:rPr>
        <w:t>-</w:t>
      </w:r>
      <w:r w:rsidRPr="00260654">
        <w:rPr>
          <w:b/>
          <w:bCs/>
          <w:color w:val="232323"/>
          <w:spacing w:val="-3"/>
        </w:rPr>
        <w:t xml:space="preserve"> </w:t>
      </w:r>
      <w:r w:rsidR="00194FAD">
        <w:rPr>
          <w:b/>
          <w:bCs/>
          <w:color w:val="232323"/>
          <w:spacing w:val="-3"/>
        </w:rPr>
        <w:t>Autre instrument</w:t>
      </w:r>
      <w:r w:rsidRPr="00260654">
        <w:rPr>
          <w:b/>
          <w:bCs/>
          <w:color w:val="232323"/>
          <w:spacing w:val="-3"/>
        </w:rPr>
        <w:t xml:space="preserve"> de mesure des inégalités :</w:t>
      </w:r>
    </w:p>
    <w:p w:rsidR="007C72D7" w:rsidRDefault="007C72D7" w:rsidP="00564783">
      <w:pPr>
        <w:shd w:val="clear" w:color="auto" w:fill="FFFFFF"/>
        <w:spacing w:line="40" w:lineRule="atLeast"/>
        <w:ind w:right="706"/>
        <w:rPr>
          <w:bCs/>
          <w:i/>
          <w:color w:val="232323"/>
        </w:rPr>
      </w:pPr>
    </w:p>
    <w:p w:rsidR="00260654" w:rsidRPr="00260654" w:rsidRDefault="00260654" w:rsidP="00564783">
      <w:pPr>
        <w:shd w:val="clear" w:color="auto" w:fill="FFFFFF"/>
        <w:spacing w:line="40" w:lineRule="atLeast"/>
        <w:ind w:right="706"/>
        <w:rPr>
          <w:bCs/>
          <w:color w:val="232323"/>
        </w:rPr>
      </w:pPr>
      <w:r w:rsidRPr="00260654">
        <w:rPr>
          <w:b/>
          <w:bCs/>
          <w:color w:val="232323"/>
        </w:rPr>
        <w:t>Le Coefficient de Gini</w:t>
      </w:r>
      <w:r w:rsidR="00564783">
        <w:rPr>
          <w:b/>
          <w:bCs/>
          <w:color w:val="232323"/>
        </w:rPr>
        <w:t xml:space="preserve"> </w:t>
      </w:r>
      <w:r w:rsidRPr="00260654">
        <w:rPr>
          <w:bCs/>
          <w:color w:val="232323"/>
        </w:rPr>
        <w:t xml:space="preserve">mesure le degré d’inégalité de la distribution des revenus, </w:t>
      </w:r>
      <w:r w:rsidR="00564783">
        <w:rPr>
          <w:bCs/>
          <w:color w:val="232323"/>
        </w:rPr>
        <w:t>a</w:t>
      </w:r>
      <w:r w:rsidRPr="00260654">
        <w:rPr>
          <w:bCs/>
          <w:color w:val="232323"/>
        </w:rPr>
        <w:t>vec un nombre compris entre 0 et 1.</w:t>
      </w:r>
    </w:p>
    <w:p w:rsidR="00260654" w:rsidRPr="00260654" w:rsidRDefault="00564783" w:rsidP="00564783">
      <w:pPr>
        <w:shd w:val="clear" w:color="auto" w:fill="FFFFFF"/>
        <w:tabs>
          <w:tab w:val="left" w:pos="9540"/>
        </w:tabs>
        <w:spacing w:line="40" w:lineRule="atLeast"/>
        <w:ind w:right="706"/>
        <w:rPr>
          <w:bCs/>
          <w:color w:val="232323"/>
        </w:rPr>
      </w:pPr>
      <w:r>
        <w:rPr>
          <w:bCs/>
          <w:color w:val="232323"/>
        </w:rPr>
        <w:t>0</w:t>
      </w:r>
      <w:r w:rsidR="00260654" w:rsidRPr="00260654">
        <w:rPr>
          <w:bCs/>
          <w:color w:val="232323"/>
        </w:rPr>
        <w:t xml:space="preserve"> correspondrait à l’égalité parfaite.</w:t>
      </w:r>
    </w:p>
    <w:p w:rsidR="00260654" w:rsidRPr="00260654" w:rsidRDefault="00260654" w:rsidP="00564783">
      <w:pPr>
        <w:shd w:val="clear" w:color="auto" w:fill="FFFFFF"/>
        <w:tabs>
          <w:tab w:val="left" w:pos="9540"/>
        </w:tabs>
        <w:spacing w:line="40" w:lineRule="atLeast"/>
        <w:ind w:right="706"/>
        <w:rPr>
          <w:bCs/>
          <w:color w:val="232323"/>
        </w:rPr>
      </w:pPr>
      <w:r w:rsidRPr="00260654">
        <w:rPr>
          <w:bCs/>
          <w:color w:val="232323"/>
        </w:rPr>
        <w:t>1 correspondrait à l’inégalité totale (une personne ayant l’intégralité des revenus)</w:t>
      </w:r>
    </w:p>
    <w:p w:rsidR="00260654" w:rsidRPr="00260654" w:rsidRDefault="00260654" w:rsidP="00564783">
      <w:pPr>
        <w:shd w:val="clear" w:color="auto" w:fill="FFFFFF"/>
        <w:spacing w:line="40" w:lineRule="atLeast"/>
        <w:ind w:right="706"/>
        <w:rPr>
          <w:bCs/>
          <w:color w:val="232323"/>
        </w:rPr>
      </w:pPr>
      <w:r w:rsidRPr="00260654">
        <w:rPr>
          <w:bCs/>
          <w:color w:val="232323"/>
        </w:rPr>
        <w:t xml:space="preserve">Exemple : en 2010, </w:t>
      </w:r>
      <w:smartTag w:uri="urn:schemas-microsoft-com:office:smarttags" w:element="PersonName">
        <w:smartTagPr>
          <w:attr w:name="ProductID" w:val="la France"/>
        </w:smartTagPr>
        <w:r w:rsidRPr="00260654">
          <w:rPr>
            <w:bCs/>
            <w:color w:val="232323"/>
          </w:rPr>
          <w:t>la France</w:t>
        </w:r>
      </w:smartTag>
      <w:r w:rsidRPr="00260654">
        <w:rPr>
          <w:bCs/>
          <w:color w:val="232323"/>
        </w:rPr>
        <w:t xml:space="preserve"> était à 0,289 alors que </w:t>
      </w:r>
      <w:smartTag w:uri="urn:schemas-microsoft-com:office:smarttags" w:element="PersonName">
        <w:smartTagPr>
          <w:attr w:name="ProductID" w:val="la Chine"/>
        </w:smartTagPr>
        <w:r w:rsidRPr="00260654">
          <w:rPr>
            <w:bCs/>
            <w:color w:val="232323"/>
          </w:rPr>
          <w:t>la Chine</w:t>
        </w:r>
      </w:smartTag>
      <w:r w:rsidRPr="00260654">
        <w:rPr>
          <w:bCs/>
          <w:color w:val="232323"/>
        </w:rPr>
        <w:t xml:space="preserve"> était à 0,61.</w:t>
      </w:r>
    </w:p>
    <w:p w:rsidR="008A2419" w:rsidRDefault="008A2419" w:rsidP="00564783">
      <w:pPr>
        <w:pStyle w:val="Sansinterligne"/>
        <w:ind w:right="706"/>
        <w:jc w:val="center"/>
      </w:pPr>
    </w:p>
    <w:p w:rsidR="00194FAD" w:rsidRPr="00564783" w:rsidRDefault="00564783" w:rsidP="00564783">
      <w:pPr>
        <w:pStyle w:val="Sansinterligne"/>
        <w:ind w:right="706"/>
        <w:jc w:val="both"/>
      </w:pPr>
      <w:r w:rsidRPr="00564783">
        <w:rPr>
          <w:b/>
        </w:rPr>
        <w:t>L</w:t>
      </w:r>
      <w:r w:rsidR="00194FAD" w:rsidRPr="00564783">
        <w:rPr>
          <w:b/>
        </w:rPr>
        <w:t>a courbe de Lorenz</w:t>
      </w:r>
      <w:r w:rsidR="00194FAD" w:rsidRPr="00564783">
        <w:t xml:space="preserve"> mesure </w:t>
      </w:r>
      <w:r w:rsidRPr="00564783">
        <w:t xml:space="preserve">la part du revenu total obtenue par </w:t>
      </w:r>
      <w:r w:rsidR="00194FAD" w:rsidRPr="00564783">
        <w:t>les 10 % les plus pauvres, les 20% les</w:t>
      </w:r>
      <w:r w:rsidRPr="00564783">
        <w:t xml:space="preserve"> p</w:t>
      </w:r>
      <w:r w:rsidR="00194FAD" w:rsidRPr="00564783">
        <w:t>lus pauvres, etc.</w:t>
      </w:r>
    </w:p>
    <w:p w:rsidR="00194FAD" w:rsidRPr="00564783" w:rsidRDefault="00564783" w:rsidP="00564783">
      <w:pPr>
        <w:pStyle w:val="Sansinterligne"/>
        <w:ind w:right="706"/>
        <w:jc w:val="both"/>
      </w:pPr>
      <w:r w:rsidRPr="00564783">
        <w:t>Exemple : en 2010, 50 % des français les plus pauvres obtenaient environ 30 % des revenus totaux.</w:t>
      </w:r>
    </w:p>
    <w:p w:rsidR="00564783" w:rsidRPr="00194FAD" w:rsidRDefault="00564783" w:rsidP="00194FAD">
      <w:pPr>
        <w:pStyle w:val="Sansinterligne"/>
        <w:jc w:val="both"/>
        <w:rPr>
          <w:i/>
        </w:rPr>
      </w:pPr>
    </w:p>
    <w:p w:rsidR="008A2419" w:rsidRPr="006562B6" w:rsidRDefault="008A2419" w:rsidP="00861668">
      <w:pPr>
        <w:pStyle w:val="Sansinterligne"/>
        <w:rPr>
          <w:b/>
        </w:rPr>
      </w:pPr>
      <w:r w:rsidRPr="006562B6">
        <w:rPr>
          <w:b/>
        </w:rPr>
        <w:t>III – QUESTION</w:t>
      </w:r>
    </w:p>
    <w:p w:rsidR="008A2419" w:rsidRPr="006562B6" w:rsidRDefault="008A2419" w:rsidP="008A2419">
      <w:pPr>
        <w:pStyle w:val="Sansinterligne"/>
        <w:jc w:val="center"/>
        <w:rPr>
          <w:b/>
        </w:rPr>
      </w:pPr>
    </w:p>
    <w:p w:rsidR="008A2419" w:rsidRPr="006562B6" w:rsidRDefault="008A2419" w:rsidP="008A2419">
      <w:pPr>
        <w:pStyle w:val="Sansinterligne"/>
      </w:pPr>
      <w:r w:rsidRPr="006562B6">
        <w:rPr>
          <w:b/>
        </w:rPr>
        <w:t>Quels sont les points de désaccords entre Keynes et les Néoclassiques ?</w:t>
      </w:r>
    </w:p>
    <w:p w:rsidR="008A2419" w:rsidRPr="001B119D" w:rsidRDefault="008A2419" w:rsidP="008A2419">
      <w:pPr>
        <w:autoSpaceDE w:val="0"/>
        <w:autoSpaceDN w:val="0"/>
        <w:adjustRightInd w:val="0"/>
        <w:jc w:val="both"/>
        <w:rPr>
          <w:b/>
          <w:u w:val="single"/>
        </w:rPr>
      </w:pPr>
    </w:p>
    <w:p w:rsidR="008A2419" w:rsidRPr="001B119D" w:rsidRDefault="008A2419" w:rsidP="008A2419">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1B119D">
        <w:rPr>
          <w:i/>
        </w:rPr>
        <w:t>Les points de désaccords exposés ci</w:t>
      </w:r>
      <w:r>
        <w:rPr>
          <w:i/>
        </w:rPr>
        <w:t>-dessous ne sont pas limitatifs</w:t>
      </w:r>
      <w:r w:rsidR="007C72D7">
        <w:rPr>
          <w:i/>
        </w:rPr>
        <w:t>.</w:t>
      </w:r>
    </w:p>
    <w:p w:rsidR="008A2419" w:rsidRPr="006562B6" w:rsidRDefault="008A2419" w:rsidP="008A2419">
      <w:pPr>
        <w:autoSpaceDE w:val="0"/>
        <w:autoSpaceDN w:val="0"/>
        <w:adjustRightInd w:val="0"/>
        <w:jc w:val="both"/>
        <w:rPr>
          <w:u w:val="single"/>
        </w:rPr>
      </w:pPr>
    </w:p>
    <w:p w:rsidR="008A2419" w:rsidRPr="006562B6" w:rsidRDefault="008A2419" w:rsidP="008A2419">
      <w:pPr>
        <w:autoSpaceDE w:val="0"/>
        <w:autoSpaceDN w:val="0"/>
        <w:adjustRightInd w:val="0"/>
        <w:jc w:val="both"/>
        <w:rPr>
          <w:u w:val="single"/>
        </w:rPr>
      </w:pPr>
      <w:r w:rsidRPr="006562B6">
        <w:rPr>
          <w:u w:val="single"/>
        </w:rPr>
        <w:t xml:space="preserve">Univers certain contre univers incertain : </w:t>
      </w:r>
    </w:p>
    <w:p w:rsidR="008A2419" w:rsidRPr="006562B6" w:rsidRDefault="008A2419" w:rsidP="008A2419">
      <w:pPr>
        <w:autoSpaceDE w:val="0"/>
        <w:autoSpaceDN w:val="0"/>
        <w:adjustRightInd w:val="0"/>
        <w:jc w:val="both"/>
      </w:pPr>
      <w:r w:rsidRPr="006562B6">
        <w:t>Pour les néoclassiques, nous sommes dans un univers certain, il n’est pas nécessaire pour les agents économiques de procéder à des anticipations ou de se projeter dans l’avenir. Sur chaque marché, la rencontre de l’offre et de la demande conduit « naturellement » à l’équilibre.</w:t>
      </w:r>
    </w:p>
    <w:p w:rsidR="008A2419" w:rsidRPr="006562B6" w:rsidRDefault="008A2419" w:rsidP="008A2419">
      <w:pPr>
        <w:autoSpaceDE w:val="0"/>
        <w:autoSpaceDN w:val="0"/>
        <w:adjustRightInd w:val="0"/>
        <w:jc w:val="both"/>
      </w:pPr>
      <w:r w:rsidRPr="006562B6">
        <w:t xml:space="preserve">Pour Keynes, et sa </w:t>
      </w:r>
      <w:r w:rsidR="008D70BA">
        <w:t>T</w:t>
      </w:r>
      <w:r w:rsidRPr="006562B6">
        <w:t xml:space="preserve">héorie générale (1936), le raisonnement est tout autre. Pour lui, les entrepreneurs (l’offre) prendront leurs décisions courantes de produire, et d’investir, en fonction de l’estimation actuelle qu’ils font de la consommation courante et future. On voit, ici, que le moral des chefs d’entreprise, leurs </w:t>
      </w:r>
      <w:r w:rsidRPr="001B119D">
        <w:rPr>
          <w:b/>
        </w:rPr>
        <w:t>anticipations</w:t>
      </w:r>
      <w:r w:rsidRPr="006562B6">
        <w:t xml:space="preserve"> vont avoir un rôle prépondérant sur le volume réel de production et donc sur le volume réel d’emploi qui en découle.</w:t>
      </w:r>
    </w:p>
    <w:p w:rsidR="008A2419" w:rsidRPr="006562B6" w:rsidRDefault="008A2419" w:rsidP="008A2419">
      <w:pPr>
        <w:autoSpaceDE w:val="0"/>
        <w:autoSpaceDN w:val="0"/>
        <w:adjustRightInd w:val="0"/>
        <w:jc w:val="both"/>
      </w:pPr>
      <w:r w:rsidRPr="006562B6">
        <w:t xml:space="preserve">La vision keynésienne introduit donc la notion de </w:t>
      </w:r>
      <w:r w:rsidRPr="001B119D">
        <w:rPr>
          <w:b/>
        </w:rPr>
        <w:t>confiance</w:t>
      </w:r>
      <w:r w:rsidRPr="006562B6">
        <w:t xml:space="preserve"> en l’avenir. Notion absente de la pensée néoclassique.</w:t>
      </w:r>
    </w:p>
    <w:p w:rsidR="008A2419" w:rsidRPr="006562B6" w:rsidRDefault="008A2419" w:rsidP="008A2419">
      <w:pPr>
        <w:autoSpaceDE w:val="0"/>
        <w:autoSpaceDN w:val="0"/>
        <w:adjustRightInd w:val="0"/>
        <w:jc w:val="both"/>
        <w:rPr>
          <w:iCs/>
        </w:rPr>
      </w:pPr>
    </w:p>
    <w:p w:rsidR="008A2419" w:rsidRPr="006562B6" w:rsidRDefault="008A2419" w:rsidP="008A2419">
      <w:pPr>
        <w:jc w:val="both"/>
        <w:rPr>
          <w:u w:val="single"/>
        </w:rPr>
      </w:pPr>
      <w:r w:rsidRPr="006562B6">
        <w:rPr>
          <w:u w:val="single"/>
        </w:rPr>
        <w:t xml:space="preserve">Une différence d’approche sur la méthode à employer pour expliquer l’économie : </w:t>
      </w:r>
    </w:p>
    <w:p w:rsidR="008D70BA" w:rsidRPr="006562B6" w:rsidRDefault="008D70BA" w:rsidP="008D70BA">
      <w:pPr>
        <w:autoSpaceDE w:val="0"/>
        <w:autoSpaceDN w:val="0"/>
        <w:adjustRightInd w:val="0"/>
        <w:jc w:val="both"/>
      </w:pPr>
      <w:r w:rsidRPr="006562B6">
        <w:t xml:space="preserve">Les néoclassiques s’inscrivent, dans l’individualisme méthodologique </w:t>
      </w:r>
      <w:r w:rsidRPr="006562B6">
        <w:rPr>
          <w:bCs/>
        </w:rPr>
        <w:t xml:space="preserve">où on peut </w:t>
      </w:r>
      <w:r w:rsidRPr="006562B6">
        <w:t xml:space="preserve">expliquer les phénomènes économiques à partir de l’analyse de comportements individuels – approche </w:t>
      </w:r>
      <w:r w:rsidRPr="006562B6">
        <w:rPr>
          <w:b/>
        </w:rPr>
        <w:t>microéconomique</w:t>
      </w:r>
      <w:r w:rsidRPr="006562B6">
        <w:t>.</w:t>
      </w:r>
    </w:p>
    <w:p w:rsidR="008A2419" w:rsidRPr="006562B6" w:rsidRDefault="008A2419" w:rsidP="008A2419">
      <w:pPr>
        <w:autoSpaceDE w:val="0"/>
        <w:autoSpaceDN w:val="0"/>
        <w:adjustRightInd w:val="0"/>
        <w:jc w:val="both"/>
      </w:pPr>
      <w:r w:rsidRPr="006562B6">
        <w:t xml:space="preserve">Pour Keynes, l’économie est vue et abordée à l’échelle </w:t>
      </w:r>
      <w:r w:rsidRPr="001B119D">
        <w:rPr>
          <w:b/>
        </w:rPr>
        <w:t>macroéconomique</w:t>
      </w:r>
      <w:r w:rsidRPr="006562B6">
        <w:t>, échelle de la nation. Son raisonnement s’appuie par conséquent sur des agrégats, par exemple, la consommation de l’ensemble des ménages et non sur la consommation d’un ménage en particulier. Il va considérer les revenus globaux, mais aussi les profits globaux</w:t>
      </w:r>
      <w:r>
        <w:t>, la production globale,</w:t>
      </w:r>
      <w:r w:rsidRPr="006562B6">
        <w:t xml:space="preserve"> l’emploi, l’épargne globale,…</w:t>
      </w:r>
    </w:p>
    <w:p w:rsidR="008A2419" w:rsidRPr="006562B6" w:rsidRDefault="008A2419" w:rsidP="008A2419">
      <w:pPr>
        <w:autoSpaceDE w:val="0"/>
        <w:autoSpaceDN w:val="0"/>
        <w:adjustRightInd w:val="0"/>
        <w:jc w:val="both"/>
        <w:rPr>
          <w:iCs/>
        </w:rPr>
      </w:pPr>
    </w:p>
    <w:p w:rsidR="008A2419" w:rsidRPr="006562B6" w:rsidRDefault="007C72D7" w:rsidP="008A2419">
      <w:pPr>
        <w:autoSpaceDE w:val="0"/>
        <w:autoSpaceDN w:val="0"/>
        <w:adjustRightInd w:val="0"/>
        <w:jc w:val="both"/>
        <w:rPr>
          <w:b/>
          <w:iCs/>
          <w:u w:val="single"/>
        </w:rPr>
      </w:pPr>
      <w:r>
        <w:rPr>
          <w:iCs/>
          <w:u w:val="single"/>
        </w:rPr>
        <w:br w:type="page"/>
      </w:r>
      <w:r w:rsidR="008A2419" w:rsidRPr="006562B6">
        <w:rPr>
          <w:iCs/>
          <w:u w:val="single"/>
        </w:rPr>
        <w:lastRenderedPageBreak/>
        <w:t>Le rôle discuté de la monnaie, sa neutralité </w:t>
      </w:r>
      <w:proofErr w:type="gramStart"/>
      <w:r w:rsidR="008A2419" w:rsidRPr="006562B6">
        <w:rPr>
          <w:iCs/>
          <w:u w:val="single"/>
        </w:rPr>
        <w:t>?</w:t>
      </w:r>
      <w:r w:rsidR="008A2419" w:rsidRPr="006562B6">
        <w:rPr>
          <w:b/>
          <w:iCs/>
          <w:u w:val="single"/>
        </w:rPr>
        <w:t>:</w:t>
      </w:r>
      <w:proofErr w:type="gramEnd"/>
      <w:r w:rsidR="008A2419" w:rsidRPr="006562B6">
        <w:rPr>
          <w:b/>
          <w:iCs/>
          <w:u w:val="single"/>
        </w:rPr>
        <w:t xml:space="preserve"> </w:t>
      </w:r>
    </w:p>
    <w:p w:rsidR="008D70BA" w:rsidRPr="006562B6" w:rsidRDefault="008D70BA" w:rsidP="008D70BA">
      <w:pPr>
        <w:autoSpaceDE w:val="0"/>
        <w:autoSpaceDN w:val="0"/>
        <w:adjustRightInd w:val="0"/>
        <w:jc w:val="both"/>
      </w:pPr>
      <w:r w:rsidRPr="006562B6">
        <w:t xml:space="preserve">Pour les néoclassiques, le rôle de la </w:t>
      </w:r>
      <w:r w:rsidRPr="008D70BA">
        <w:rPr>
          <w:b/>
        </w:rPr>
        <w:t>monnaie est neutre</w:t>
      </w:r>
      <w:r w:rsidRPr="006562B6">
        <w:t>. La monnaie n’est qu’un voile. Elle ne sert que d</w:t>
      </w:r>
      <w:r>
        <w:t>’instrument d’échange, sorte d’</w:t>
      </w:r>
      <w:r w:rsidRPr="006562B6">
        <w:t xml:space="preserve">huile dans les rouages de l’économie. </w:t>
      </w:r>
    </w:p>
    <w:p w:rsidR="008A2419" w:rsidRPr="006562B6" w:rsidRDefault="008A2419" w:rsidP="008A2419">
      <w:pPr>
        <w:autoSpaceDE w:val="0"/>
        <w:autoSpaceDN w:val="0"/>
        <w:adjustRightInd w:val="0"/>
        <w:jc w:val="both"/>
        <w:rPr>
          <w:iCs/>
        </w:rPr>
      </w:pPr>
      <w:r>
        <w:rPr>
          <w:iCs/>
        </w:rPr>
        <w:t>Pour K</w:t>
      </w:r>
      <w:r w:rsidRPr="006562B6">
        <w:rPr>
          <w:iCs/>
        </w:rPr>
        <w:t xml:space="preserve">eynes, </w:t>
      </w:r>
      <w:r w:rsidRPr="008D70BA">
        <w:rPr>
          <w:b/>
          <w:iCs/>
        </w:rPr>
        <w:t>la monnaie n’est pas neutre</w:t>
      </w:r>
      <w:r w:rsidR="008D70BA">
        <w:rPr>
          <w:iCs/>
        </w:rPr>
        <w:t xml:space="preserve"> et peut être détenue pour elle-même (préférence pour la liquidité)</w:t>
      </w:r>
      <w:r w:rsidRPr="006562B6">
        <w:rPr>
          <w:iCs/>
        </w:rPr>
        <w:t>. Une action sur l’offre de monnaie (politique monétaire expansionniste) aura un effet à la baisse sur le taux d’intérêt, relancera l’investissement, la demande globale et en conséquence la production et l’emploi.</w:t>
      </w:r>
    </w:p>
    <w:p w:rsidR="008A2419" w:rsidRPr="006562B6" w:rsidRDefault="008A2419" w:rsidP="008A2419">
      <w:pPr>
        <w:autoSpaceDE w:val="0"/>
        <w:autoSpaceDN w:val="0"/>
        <w:adjustRightInd w:val="0"/>
        <w:jc w:val="both"/>
      </w:pPr>
    </w:p>
    <w:p w:rsidR="008A2419" w:rsidRPr="006562B6" w:rsidRDefault="008A2419" w:rsidP="008A2419">
      <w:pPr>
        <w:autoSpaceDE w:val="0"/>
        <w:autoSpaceDN w:val="0"/>
        <w:adjustRightInd w:val="0"/>
        <w:jc w:val="both"/>
        <w:rPr>
          <w:u w:val="single"/>
        </w:rPr>
      </w:pPr>
      <w:r w:rsidRPr="006562B6">
        <w:rPr>
          <w:u w:val="single"/>
        </w:rPr>
        <w:t>L’autorégulation contre le déséquilibre durable.</w:t>
      </w:r>
    </w:p>
    <w:p w:rsidR="008D70BA" w:rsidRPr="006562B6" w:rsidRDefault="008D70BA" w:rsidP="008D70BA">
      <w:pPr>
        <w:autoSpaceDE w:val="0"/>
        <w:autoSpaceDN w:val="0"/>
        <w:adjustRightInd w:val="0"/>
        <w:jc w:val="both"/>
      </w:pPr>
      <w:r w:rsidRPr="006562B6">
        <w:t xml:space="preserve">Pour les </w:t>
      </w:r>
      <w:r w:rsidRPr="006562B6">
        <w:rPr>
          <w:b/>
        </w:rPr>
        <w:t>néoclassiques</w:t>
      </w:r>
      <w:r w:rsidRPr="006562B6">
        <w:t xml:space="preserve">, le marché converge naturellement vers </w:t>
      </w:r>
      <w:r w:rsidRPr="006562B6">
        <w:rPr>
          <w:b/>
        </w:rPr>
        <w:t>l’équilibre</w:t>
      </w:r>
      <w:r w:rsidRPr="006562B6">
        <w:t xml:space="preserve">. </w:t>
      </w:r>
    </w:p>
    <w:p w:rsidR="008A2419" w:rsidRPr="006562B6" w:rsidRDefault="008A2419" w:rsidP="008A2419">
      <w:pPr>
        <w:autoSpaceDE w:val="0"/>
        <w:autoSpaceDN w:val="0"/>
        <w:adjustRightInd w:val="0"/>
        <w:jc w:val="both"/>
      </w:pPr>
      <w:r w:rsidRPr="006562B6">
        <w:t xml:space="preserve">Pour Keynes, l’insuffisance de la demande effective peut entraîner l’économie dans un </w:t>
      </w:r>
      <w:r w:rsidRPr="006562B6">
        <w:rPr>
          <w:b/>
        </w:rPr>
        <w:t>déséquilibre durable de sous-emploi</w:t>
      </w:r>
      <w:r w:rsidRPr="006562B6">
        <w:t xml:space="preserve"> (chômage). La </w:t>
      </w:r>
      <w:r w:rsidR="008D70BA">
        <w:t>T</w:t>
      </w:r>
      <w:r w:rsidRPr="006562B6">
        <w:t>héorie générale vient après la crise de 1929, et l’incompréhension par les économistes des mécanismes de cette crise.</w:t>
      </w:r>
    </w:p>
    <w:p w:rsidR="00C65E09" w:rsidRPr="006562B6" w:rsidRDefault="00C65E09" w:rsidP="008A2419">
      <w:pPr>
        <w:autoSpaceDE w:val="0"/>
        <w:autoSpaceDN w:val="0"/>
        <w:adjustRightInd w:val="0"/>
        <w:jc w:val="both"/>
      </w:pPr>
    </w:p>
    <w:p w:rsidR="008A2419" w:rsidRPr="008D70BA" w:rsidRDefault="008D70BA" w:rsidP="008A2419">
      <w:pPr>
        <w:autoSpaceDE w:val="0"/>
        <w:autoSpaceDN w:val="0"/>
        <w:adjustRightInd w:val="0"/>
        <w:jc w:val="both"/>
        <w:rPr>
          <w:u w:val="single"/>
        </w:rPr>
      </w:pPr>
      <w:r w:rsidRPr="008D70BA">
        <w:rPr>
          <w:u w:val="single"/>
        </w:rPr>
        <w:t>Le rôle</w:t>
      </w:r>
      <w:r w:rsidR="008A2419" w:rsidRPr="008D70BA">
        <w:rPr>
          <w:u w:val="single"/>
        </w:rPr>
        <w:t xml:space="preserve"> de l’Etat dans l’économie : </w:t>
      </w:r>
    </w:p>
    <w:p w:rsidR="008A2419" w:rsidRPr="006562B6" w:rsidRDefault="008A2419" w:rsidP="008A2419">
      <w:pPr>
        <w:autoSpaceDE w:val="0"/>
        <w:autoSpaceDN w:val="0"/>
        <w:adjustRightInd w:val="0"/>
        <w:jc w:val="both"/>
      </w:pPr>
      <w:r w:rsidRPr="006562B6">
        <w:t xml:space="preserve">Les néoclassiques pensent que le mécanisme des prix suffit à assurer l’ajustement automatique du marché et son autorégulation et qu’il peut à lui seul résorber les déséquilibres. </w:t>
      </w:r>
      <w:r w:rsidRPr="001B119D">
        <w:rPr>
          <w:b/>
        </w:rPr>
        <w:t>L’Etat</w:t>
      </w:r>
      <w:r w:rsidRPr="006562B6">
        <w:t xml:space="preserve"> ne doit donc pas intervenir sur le marché, mais se limiter à ses fonctions régaliennes.</w:t>
      </w:r>
    </w:p>
    <w:p w:rsidR="008A2419" w:rsidRPr="006562B6" w:rsidRDefault="008A2419" w:rsidP="008A2419">
      <w:pPr>
        <w:autoSpaceDE w:val="0"/>
        <w:autoSpaceDN w:val="0"/>
        <w:adjustRightInd w:val="0"/>
        <w:jc w:val="both"/>
      </w:pPr>
      <w:r>
        <w:t>Pour K</w:t>
      </w:r>
      <w:r w:rsidRPr="006562B6">
        <w:t>eynes, l’action de l’Etat par sa politi</w:t>
      </w:r>
      <w:r>
        <w:t>que économique est primordiale.</w:t>
      </w:r>
      <w:r w:rsidRPr="006562B6">
        <w:t xml:space="preserve"> Il appartient à l’Etat de relancer la </w:t>
      </w:r>
      <w:r w:rsidRPr="006562B6">
        <w:rPr>
          <w:b/>
        </w:rPr>
        <w:t>demande</w:t>
      </w:r>
      <w:r w:rsidRPr="006562B6">
        <w:t xml:space="preserve"> en agissant sur la consommation et/ou l’investissement. </w:t>
      </w:r>
      <w:r w:rsidRPr="006562B6">
        <w:rPr>
          <w:b/>
        </w:rPr>
        <w:t>L’augmentation des dépenses publiques</w:t>
      </w:r>
      <w:r w:rsidRPr="006562B6">
        <w:t xml:space="preserve"> (distribution de revenus, gran</w:t>
      </w:r>
      <w:r>
        <w:t>d travaux, commandes de l’Etat,</w:t>
      </w:r>
      <w:r w:rsidRPr="006562B6">
        <w:t xml:space="preserve">…) relance l’activité et par ricochet l’emploi. Le déficit budgétaire initial est finalement réduit par l’augmentation des recettes fiscales résultant de la reprise. Par ailleurs, une </w:t>
      </w:r>
      <w:r w:rsidRPr="006562B6">
        <w:rPr>
          <w:b/>
        </w:rPr>
        <w:t>politique monétaire expansionniste</w:t>
      </w:r>
      <w:r w:rsidRPr="006562B6">
        <w:t xml:space="preserve"> (baisse des taux d’intérêt) favorise, elle aussi, la consommation et l’investissement.</w:t>
      </w:r>
    </w:p>
    <w:sectPr w:rsidR="008A2419" w:rsidRPr="006562B6" w:rsidSect="005A1DC7">
      <w:headerReference w:type="default" r:id="rId9"/>
      <w:footerReference w:type="default" r:id="rId10"/>
      <w:pgSz w:w="11906" w:h="16838"/>
      <w:pgMar w:top="1417" w:right="1417" w:bottom="1417" w:left="1417" w:header="34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84" w:rsidRDefault="00996184">
      <w:r>
        <w:separator/>
      </w:r>
    </w:p>
  </w:endnote>
  <w:endnote w:type="continuationSeparator" w:id="0">
    <w:p w:rsidR="00996184" w:rsidRDefault="0099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D7" w:rsidRPr="005A1DC7" w:rsidRDefault="005A1DC7" w:rsidP="005A1DC7">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A76E49">
      <w:rPr>
        <w:rStyle w:val="Numrodepage"/>
        <w:noProof/>
        <w:sz w:val="22"/>
      </w:rPr>
      <w:t>5</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A76E49">
      <w:rPr>
        <w:rStyle w:val="Numrodepage"/>
        <w:noProof/>
        <w:sz w:val="22"/>
      </w:rPr>
      <w:t>5</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84" w:rsidRDefault="00996184">
      <w:r>
        <w:separator/>
      </w:r>
    </w:p>
  </w:footnote>
  <w:footnote w:type="continuationSeparator" w:id="0">
    <w:p w:rsidR="00996184" w:rsidRDefault="00996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C7" w:rsidRPr="005A1DC7" w:rsidRDefault="00A7012F" w:rsidP="005A1DC7">
    <w:pPr>
      <w:pStyle w:val="En-tte"/>
      <w:tabs>
        <w:tab w:val="left" w:pos="555"/>
        <w:tab w:val="left" w:pos="3240"/>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DC7">
      <w:tab/>
    </w:r>
    <w:r w:rsidR="005A1DC7">
      <w:tab/>
    </w:r>
    <w:r w:rsidR="005A1DC7">
      <w:tab/>
    </w:r>
    <w:r w:rsidR="005A1DC7">
      <w:tab/>
    </w:r>
    <w:r w:rsidR="005A1D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5A1DC7" w:rsidRPr="001C2C1B">
        <w:rPr>
          <w:rStyle w:val="Lienhypertexte"/>
          <w:rFonts w:cs="Calibri"/>
          <w:color w:val="E36C0A"/>
        </w:rPr>
        <w:t>www.comptazine.fr</w:t>
      </w:r>
    </w:hyperlink>
    <w:r w:rsidR="005A1DC7">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C7" w:rsidRPr="005E18B7" w:rsidRDefault="005A1DC7" w:rsidP="005A1DC7">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5A1DC7" w:rsidRPr="005E18B7" w:rsidRDefault="005A1DC7" w:rsidP="005A1DC7">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822E82"/>
    <w:multiLevelType w:val="hybridMultilevel"/>
    <w:tmpl w:val="DE3E9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15E2E6B"/>
    <w:multiLevelType w:val="hybridMultilevel"/>
    <w:tmpl w:val="7AA0E99C"/>
    <w:lvl w:ilvl="0" w:tplc="BF5236C4">
      <w:numFmt w:val="bullet"/>
      <w:lvlText w:val="-"/>
      <w:lvlJc w:val="left"/>
      <w:pPr>
        <w:ind w:left="1060" w:hanging="360"/>
      </w:pPr>
      <w:rPr>
        <w:rFonts w:ascii="Times New Roman" w:eastAsia="Calibri" w:hAnsi="Times New Roman"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nsid w:val="02A92E43"/>
    <w:multiLevelType w:val="hybridMultilevel"/>
    <w:tmpl w:val="F514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2EA69C8"/>
    <w:multiLevelType w:val="hybridMultilevel"/>
    <w:tmpl w:val="C30C3B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04AB37F5"/>
    <w:multiLevelType w:val="hybridMultilevel"/>
    <w:tmpl w:val="F26E215C"/>
    <w:lvl w:ilvl="0" w:tplc="F9D646C6">
      <w:start w:val="1"/>
      <w:numFmt w:val="decimal"/>
      <w:pStyle w:val="questions"/>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0950799E"/>
    <w:multiLevelType w:val="hybridMultilevel"/>
    <w:tmpl w:val="04825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1D36DE0"/>
    <w:multiLevelType w:val="hybridMultilevel"/>
    <w:tmpl w:val="F8744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071260"/>
    <w:multiLevelType w:val="hybridMultilevel"/>
    <w:tmpl w:val="FAD42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5CC6E25"/>
    <w:multiLevelType w:val="hybridMultilevel"/>
    <w:tmpl w:val="B0DA250C"/>
    <w:lvl w:ilvl="0" w:tplc="36F25F04">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69166EB"/>
    <w:multiLevelType w:val="hybridMultilevel"/>
    <w:tmpl w:val="D6028AEE"/>
    <w:lvl w:ilvl="0" w:tplc="8646B4F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17350015"/>
    <w:multiLevelType w:val="hybridMultilevel"/>
    <w:tmpl w:val="9F7CC0E8"/>
    <w:lvl w:ilvl="0" w:tplc="7C30C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82B5652"/>
    <w:multiLevelType w:val="hybridMultilevel"/>
    <w:tmpl w:val="4A1EF5C0"/>
    <w:lvl w:ilvl="0" w:tplc="E2824C1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D0B6405"/>
    <w:multiLevelType w:val="hybridMultilevel"/>
    <w:tmpl w:val="BDB446A8"/>
    <w:lvl w:ilvl="0" w:tplc="7C30C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1F865E6"/>
    <w:multiLevelType w:val="hybridMultilevel"/>
    <w:tmpl w:val="04D26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5710B20"/>
    <w:multiLevelType w:val="hybridMultilevel"/>
    <w:tmpl w:val="0122D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DF2C7F"/>
    <w:multiLevelType w:val="hybridMultilevel"/>
    <w:tmpl w:val="323A4FB2"/>
    <w:lvl w:ilvl="0" w:tplc="1062E0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AE4098A"/>
    <w:multiLevelType w:val="hybridMultilevel"/>
    <w:tmpl w:val="CD5CF266"/>
    <w:lvl w:ilvl="0" w:tplc="A0820B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6C421C"/>
    <w:multiLevelType w:val="hybridMultilevel"/>
    <w:tmpl w:val="D9F07F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1F7604B"/>
    <w:multiLevelType w:val="hybridMultilevel"/>
    <w:tmpl w:val="0EB823C2"/>
    <w:lvl w:ilvl="0" w:tplc="C076EE0E">
      <w:start w:val="1"/>
      <w:numFmt w:val="lowerLetter"/>
      <w:pStyle w:val="Questionsa"/>
      <w:lvlText w:val="%1)"/>
      <w:lvlJc w:val="left"/>
      <w:pPr>
        <w:tabs>
          <w:tab w:val="num" w:pos="720"/>
        </w:tabs>
        <w:ind w:left="720" w:hanging="360"/>
      </w:pPr>
    </w:lvl>
    <w:lvl w:ilvl="1" w:tplc="36F25F0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2272627"/>
    <w:multiLevelType w:val="hybridMultilevel"/>
    <w:tmpl w:val="20604A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6461629"/>
    <w:multiLevelType w:val="hybridMultilevel"/>
    <w:tmpl w:val="B8448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2D0685"/>
    <w:multiLevelType w:val="hybridMultilevel"/>
    <w:tmpl w:val="A072DBAC"/>
    <w:lvl w:ilvl="0" w:tplc="A2226246">
      <w:start w:val="1"/>
      <w:numFmt w:val="bullet"/>
      <w:pStyle w:val="Retraitcorpsflche"/>
      <w:lvlText w:val=""/>
      <w:lvlJc w:val="left"/>
      <w:pPr>
        <w:tabs>
          <w:tab w:val="num" w:pos="2727"/>
        </w:tabs>
        <w:ind w:left="2727" w:hanging="360"/>
      </w:pPr>
      <w:rPr>
        <w:rFonts w:ascii="Wingdings" w:hAnsi="Wingdings" w:hint="default"/>
      </w:rPr>
    </w:lvl>
    <w:lvl w:ilvl="1" w:tplc="357E89DE">
      <w:start w:val="1"/>
      <w:numFmt w:val="bullet"/>
      <w:pStyle w:val="Retraitflche"/>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FE80A44"/>
    <w:multiLevelType w:val="hybridMultilevel"/>
    <w:tmpl w:val="17B84344"/>
    <w:lvl w:ilvl="0" w:tplc="A69AD342">
      <w:start w:val="1"/>
      <w:numFmt w:val="decimal"/>
      <w:lvlText w:val="%1)"/>
      <w:lvlJc w:val="left"/>
      <w:pPr>
        <w:tabs>
          <w:tab w:val="num" w:pos="927"/>
        </w:tabs>
        <w:ind w:left="927"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61B77C57"/>
    <w:multiLevelType w:val="hybridMultilevel"/>
    <w:tmpl w:val="AFB09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65B0EBF"/>
    <w:multiLevelType w:val="hybridMultilevel"/>
    <w:tmpl w:val="716A81E0"/>
    <w:lvl w:ilvl="0" w:tplc="4FE682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C9153D2"/>
    <w:multiLevelType w:val="hybridMultilevel"/>
    <w:tmpl w:val="C21EA4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7365420E"/>
    <w:multiLevelType w:val="singleLevel"/>
    <w:tmpl w:val="21A8A7D4"/>
    <w:lvl w:ilvl="0">
      <w:numFmt w:val="bullet"/>
      <w:lvlText w:val="·"/>
      <w:lvlJc w:val="left"/>
      <w:pPr>
        <w:tabs>
          <w:tab w:val="num" w:pos="720"/>
        </w:tabs>
        <w:ind w:left="720" w:hanging="360"/>
      </w:pPr>
      <w:rPr>
        <w:rFonts w:ascii="Symbol" w:hAnsi="Symbol" w:hint="default"/>
        <w:color w:val="000000"/>
      </w:rPr>
    </w:lvl>
  </w:abstractNum>
  <w:abstractNum w:abstractNumId="32">
    <w:nsid w:val="7409492A"/>
    <w:multiLevelType w:val="hybridMultilevel"/>
    <w:tmpl w:val="AAF652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95C181B"/>
    <w:multiLevelType w:val="hybridMultilevel"/>
    <w:tmpl w:val="07C0A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BE18DD"/>
    <w:multiLevelType w:val="hybridMultilevel"/>
    <w:tmpl w:val="EF2E7200"/>
    <w:lvl w:ilvl="0" w:tplc="357E89DE">
      <w:start w:val="1"/>
      <w:numFmt w:val="bullet"/>
      <w:pStyle w:val="Retraitflche"/>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357E89DE">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3"/>
  </w:num>
  <w:num w:numId="3">
    <w:abstractNumId w:val="9"/>
  </w:num>
  <w:num w:numId="4">
    <w:abstractNumId w:val="23"/>
    <w:lvlOverride w:ilvl="0">
      <w:startOverride w:val="1"/>
    </w:lvlOverride>
    <w:lvlOverride w:ilvl="1">
      <w:startOverride w:val="1"/>
    </w:lvlOverride>
  </w:num>
  <w:num w:numId="5">
    <w:abstractNumId w:val="34"/>
  </w:num>
  <w:num w:numId="6">
    <w:abstractNumId w:val="26"/>
  </w:num>
  <w:num w:numId="7">
    <w:abstractNumId w:val="13"/>
  </w:num>
  <w:num w:numId="8">
    <w:abstractNumId w:val="32"/>
  </w:num>
  <w:num w:numId="9">
    <w:abstractNumId w:val="8"/>
  </w:num>
  <w:num w:numId="10">
    <w:abstractNumId w:val="30"/>
  </w:num>
  <w:num w:numId="11">
    <w:abstractNumId w:val="14"/>
  </w:num>
  <w:num w:numId="12">
    <w:abstractNumId w:val="29"/>
  </w:num>
  <w:num w:numId="13">
    <w:abstractNumId w:val="19"/>
  </w:num>
  <w:num w:numId="14">
    <w:abstractNumId w:val="17"/>
  </w:num>
  <w:num w:numId="15">
    <w:abstractNumId w:val="15"/>
  </w:num>
  <w:num w:numId="16">
    <w:abstractNumId w:val="12"/>
  </w:num>
  <w:num w:numId="17">
    <w:abstractNumId w:val="10"/>
  </w:num>
  <w:num w:numId="18">
    <w:abstractNumId w:val="7"/>
  </w:num>
  <w:num w:numId="19">
    <w:abstractNumId w:val="20"/>
  </w:num>
  <w:num w:numId="20">
    <w:abstractNumId w:val="24"/>
  </w:num>
  <w:num w:numId="21">
    <w:abstractNumId w:val="16"/>
  </w:num>
  <w:num w:numId="22">
    <w:abstractNumId w:val="6"/>
  </w:num>
  <w:num w:numId="23">
    <w:abstractNumId w:val="0"/>
  </w:num>
  <w:num w:numId="24">
    <w:abstractNumId w:val="1"/>
  </w:num>
  <w:num w:numId="25">
    <w:abstractNumId w:val="22"/>
  </w:num>
  <w:num w:numId="26">
    <w:abstractNumId w:val="28"/>
  </w:num>
  <w:num w:numId="27">
    <w:abstractNumId w:val="18"/>
  </w:num>
  <w:num w:numId="28">
    <w:abstractNumId w:val="11"/>
  </w:num>
  <w:num w:numId="29">
    <w:abstractNumId w:val="2"/>
  </w:num>
  <w:num w:numId="30">
    <w:abstractNumId w:val="4"/>
  </w:num>
  <w:num w:numId="31">
    <w:abstractNumId w:val="3"/>
  </w:num>
  <w:num w:numId="32">
    <w:abstractNumId w:val="33"/>
  </w:num>
  <w:num w:numId="33">
    <w:abstractNumId w:val="5"/>
  </w:num>
  <w:num w:numId="34">
    <w:abstractNumId w:val="25"/>
  </w:num>
  <w:num w:numId="35">
    <w:abstractNumId w:val="2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6B277C"/>
    <w:rsid w:val="00020310"/>
    <w:rsid w:val="0002045B"/>
    <w:rsid w:val="00045DAA"/>
    <w:rsid w:val="000719F6"/>
    <w:rsid w:val="000D2E4E"/>
    <w:rsid w:val="000D72ED"/>
    <w:rsid w:val="000E3BB5"/>
    <w:rsid w:val="000F295E"/>
    <w:rsid w:val="0014056C"/>
    <w:rsid w:val="00182CA9"/>
    <w:rsid w:val="00186B03"/>
    <w:rsid w:val="00194FAD"/>
    <w:rsid w:val="001A5FAB"/>
    <w:rsid w:val="00200E63"/>
    <w:rsid w:val="002061BB"/>
    <w:rsid w:val="00211379"/>
    <w:rsid w:val="002143EF"/>
    <w:rsid w:val="00251E77"/>
    <w:rsid w:val="00260654"/>
    <w:rsid w:val="002720E9"/>
    <w:rsid w:val="00293982"/>
    <w:rsid w:val="002A0383"/>
    <w:rsid w:val="002A7240"/>
    <w:rsid w:val="002B0A49"/>
    <w:rsid w:val="002C1DFC"/>
    <w:rsid w:val="002D3EEB"/>
    <w:rsid w:val="00300FF0"/>
    <w:rsid w:val="00316E0A"/>
    <w:rsid w:val="00340B6B"/>
    <w:rsid w:val="00376235"/>
    <w:rsid w:val="003D1FB7"/>
    <w:rsid w:val="003D7BE7"/>
    <w:rsid w:val="003E64CA"/>
    <w:rsid w:val="003F6213"/>
    <w:rsid w:val="0045646C"/>
    <w:rsid w:val="00474ABF"/>
    <w:rsid w:val="004B4685"/>
    <w:rsid w:val="004D22C7"/>
    <w:rsid w:val="004E77F6"/>
    <w:rsid w:val="005035A9"/>
    <w:rsid w:val="00541604"/>
    <w:rsid w:val="00550CFD"/>
    <w:rsid w:val="00564783"/>
    <w:rsid w:val="00585E7C"/>
    <w:rsid w:val="00597209"/>
    <w:rsid w:val="005A1DC7"/>
    <w:rsid w:val="005B5FB0"/>
    <w:rsid w:val="005F4217"/>
    <w:rsid w:val="006001E1"/>
    <w:rsid w:val="00613B6B"/>
    <w:rsid w:val="006148D7"/>
    <w:rsid w:val="00624839"/>
    <w:rsid w:val="006266AA"/>
    <w:rsid w:val="00631D68"/>
    <w:rsid w:val="006323D7"/>
    <w:rsid w:val="00640367"/>
    <w:rsid w:val="00672580"/>
    <w:rsid w:val="006725AD"/>
    <w:rsid w:val="006931E6"/>
    <w:rsid w:val="00697283"/>
    <w:rsid w:val="006B277C"/>
    <w:rsid w:val="006E02F0"/>
    <w:rsid w:val="006E4DA0"/>
    <w:rsid w:val="00701214"/>
    <w:rsid w:val="007501BA"/>
    <w:rsid w:val="0076456A"/>
    <w:rsid w:val="007C72D7"/>
    <w:rsid w:val="007D6193"/>
    <w:rsid w:val="007E645C"/>
    <w:rsid w:val="00805CA2"/>
    <w:rsid w:val="00813E8E"/>
    <w:rsid w:val="00835864"/>
    <w:rsid w:val="008577E0"/>
    <w:rsid w:val="00861668"/>
    <w:rsid w:val="00873205"/>
    <w:rsid w:val="0089503E"/>
    <w:rsid w:val="008A2419"/>
    <w:rsid w:val="008A53A9"/>
    <w:rsid w:val="008A555E"/>
    <w:rsid w:val="008B0ADC"/>
    <w:rsid w:val="008B1593"/>
    <w:rsid w:val="008D484A"/>
    <w:rsid w:val="008D70BA"/>
    <w:rsid w:val="008E2E5F"/>
    <w:rsid w:val="0091223C"/>
    <w:rsid w:val="009148B2"/>
    <w:rsid w:val="009461DE"/>
    <w:rsid w:val="0097112C"/>
    <w:rsid w:val="009762A8"/>
    <w:rsid w:val="00996184"/>
    <w:rsid w:val="009A59D6"/>
    <w:rsid w:val="00A2751C"/>
    <w:rsid w:val="00A31C75"/>
    <w:rsid w:val="00A3557F"/>
    <w:rsid w:val="00A3575C"/>
    <w:rsid w:val="00A3748C"/>
    <w:rsid w:val="00A40FDE"/>
    <w:rsid w:val="00A4500D"/>
    <w:rsid w:val="00A7012F"/>
    <w:rsid w:val="00A76E49"/>
    <w:rsid w:val="00A95155"/>
    <w:rsid w:val="00AA0F3D"/>
    <w:rsid w:val="00AB16EB"/>
    <w:rsid w:val="00AB3FD6"/>
    <w:rsid w:val="00B25C86"/>
    <w:rsid w:val="00B3606F"/>
    <w:rsid w:val="00B65B6D"/>
    <w:rsid w:val="00B80F1B"/>
    <w:rsid w:val="00B81D4A"/>
    <w:rsid w:val="00B912F4"/>
    <w:rsid w:val="00BA73B0"/>
    <w:rsid w:val="00BF4F6D"/>
    <w:rsid w:val="00C00F44"/>
    <w:rsid w:val="00C10306"/>
    <w:rsid w:val="00C34E47"/>
    <w:rsid w:val="00C44D3B"/>
    <w:rsid w:val="00C65E09"/>
    <w:rsid w:val="00C76F49"/>
    <w:rsid w:val="00C82B76"/>
    <w:rsid w:val="00CC1D59"/>
    <w:rsid w:val="00CE073A"/>
    <w:rsid w:val="00CE45F0"/>
    <w:rsid w:val="00D10B23"/>
    <w:rsid w:val="00D22DBF"/>
    <w:rsid w:val="00D24B3A"/>
    <w:rsid w:val="00D81133"/>
    <w:rsid w:val="00D83043"/>
    <w:rsid w:val="00D86D38"/>
    <w:rsid w:val="00D91A42"/>
    <w:rsid w:val="00DB1372"/>
    <w:rsid w:val="00DC48BC"/>
    <w:rsid w:val="00DE1C38"/>
    <w:rsid w:val="00DE49C2"/>
    <w:rsid w:val="00E2158C"/>
    <w:rsid w:val="00E31160"/>
    <w:rsid w:val="00E36C7C"/>
    <w:rsid w:val="00E52123"/>
    <w:rsid w:val="00E543DE"/>
    <w:rsid w:val="00E7534D"/>
    <w:rsid w:val="00E8054C"/>
    <w:rsid w:val="00E81AF2"/>
    <w:rsid w:val="00E81DE6"/>
    <w:rsid w:val="00E93B9D"/>
    <w:rsid w:val="00EA212D"/>
    <w:rsid w:val="00EA71AE"/>
    <w:rsid w:val="00EA74C0"/>
    <w:rsid w:val="00EB2705"/>
    <w:rsid w:val="00EE573A"/>
    <w:rsid w:val="00EF2769"/>
    <w:rsid w:val="00EF7A64"/>
    <w:rsid w:val="00F10156"/>
    <w:rsid w:val="00F418FE"/>
    <w:rsid w:val="00F67BC7"/>
    <w:rsid w:val="00F71CA4"/>
    <w:rsid w:val="00F74C18"/>
    <w:rsid w:val="00FC20CB"/>
    <w:rsid w:val="00FD1B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pacing w:after="120"/>
      <w:jc w:val="both"/>
      <w:outlineLvl w:val="0"/>
    </w:pPr>
    <w:rPr>
      <w:rFonts w:ascii="Century" w:hAnsi="Century"/>
      <w:b/>
      <w:bCs/>
    </w:rPr>
  </w:style>
  <w:style w:type="paragraph" w:styleId="Titre2">
    <w:name w:val="heading 2"/>
    <w:basedOn w:val="Normal"/>
    <w:next w:val="Normal"/>
    <w:qFormat/>
    <w:pPr>
      <w:keepNext/>
      <w:tabs>
        <w:tab w:val="right" w:leader="hyphen" w:pos="9639"/>
      </w:tabs>
      <w:spacing w:after="120"/>
      <w:jc w:val="center"/>
      <w:outlineLvl w:val="1"/>
    </w:pPr>
    <w:rPr>
      <w:rFonts w:ascii="Century" w:hAnsi="Century"/>
      <w:b/>
      <w:bCs/>
      <w:i/>
      <w:iCs/>
      <w:u w:val="single"/>
    </w:rPr>
  </w:style>
  <w:style w:type="paragraph" w:styleId="Titre3">
    <w:name w:val="heading 3"/>
    <w:basedOn w:val="Normal"/>
    <w:next w:val="Normal"/>
    <w:qFormat/>
    <w:pPr>
      <w:keepNext/>
      <w:tabs>
        <w:tab w:val="right" w:leader="hyphen" w:pos="9639"/>
      </w:tabs>
      <w:spacing w:after="120"/>
      <w:jc w:val="both"/>
      <w:outlineLvl w:val="2"/>
    </w:pPr>
    <w:rPr>
      <w:rFonts w:ascii="Century" w:hAnsi="Century"/>
      <w:b/>
      <w:bCs/>
      <w:sz w:val="22"/>
      <w:u w:val="single"/>
    </w:rPr>
  </w:style>
  <w:style w:type="paragraph" w:styleId="Titre4">
    <w:name w:val="heading 4"/>
    <w:basedOn w:val="Normal"/>
    <w:next w:val="Normal"/>
    <w:qFormat/>
    <w:pPr>
      <w:keepNext/>
      <w:tabs>
        <w:tab w:val="right" w:leader="hyphen" w:pos="9639"/>
      </w:tabs>
      <w:spacing w:after="120"/>
      <w:jc w:val="both"/>
      <w:outlineLvl w:val="3"/>
    </w:pPr>
    <w:rPr>
      <w:rFonts w:ascii="Century" w:hAnsi="Century"/>
      <w:sz w:val="22"/>
      <w:u w:val="single"/>
    </w:rPr>
  </w:style>
  <w:style w:type="paragraph" w:styleId="Titre5">
    <w:name w:val="heading 5"/>
    <w:basedOn w:val="Normal"/>
    <w:next w:val="Normal"/>
    <w:qFormat/>
    <w:pPr>
      <w:keepNext/>
      <w:widowControl w:val="0"/>
      <w:autoSpaceDE w:val="0"/>
      <w:autoSpaceDN w:val="0"/>
      <w:adjustRightInd w:val="0"/>
      <w:spacing w:after="120" w:line="240" w:lineRule="exact"/>
      <w:ind w:left="19" w:right="6676" w:hanging="19"/>
      <w:jc w:val="both"/>
      <w:outlineLvl w:val="4"/>
    </w:pPr>
    <w:rPr>
      <w:rFonts w:ascii="Arial Narrow" w:hAnsi="Arial Narrow" w:cs="Arial"/>
      <w:b/>
      <w:bCs/>
      <w:sz w:val="22"/>
      <w:szCs w:val="18"/>
    </w:rPr>
  </w:style>
  <w:style w:type="paragraph" w:styleId="Titre6">
    <w:name w:val="heading 6"/>
    <w:basedOn w:val="Normal"/>
    <w:next w:val="Normal"/>
    <w:qFormat/>
    <w:pPr>
      <w:keepNext/>
      <w:widowControl w:val="0"/>
      <w:autoSpaceDE w:val="0"/>
      <w:autoSpaceDN w:val="0"/>
      <w:adjustRightInd w:val="0"/>
      <w:spacing w:before="177" w:after="120" w:line="240" w:lineRule="exact"/>
      <w:ind w:left="52" w:right="10" w:hanging="52"/>
      <w:jc w:val="both"/>
      <w:outlineLvl w:val="5"/>
    </w:pPr>
    <w:rPr>
      <w:rFonts w:ascii="Arial Narrow" w:hAnsi="Arial Narrow" w:cs="Arial"/>
      <w:b/>
      <w:bCs/>
      <w:sz w:val="22"/>
      <w:szCs w:val="18"/>
    </w:rPr>
  </w:style>
  <w:style w:type="paragraph" w:styleId="Titre7">
    <w:name w:val="heading 7"/>
    <w:basedOn w:val="Normal"/>
    <w:next w:val="Normal"/>
    <w:link w:val="Titre7Car"/>
    <w:qFormat/>
    <w:pPr>
      <w:keepNext/>
      <w:pBdr>
        <w:top w:val="single" w:sz="4" w:space="1" w:color="auto"/>
        <w:left w:val="single" w:sz="4" w:space="4" w:color="auto"/>
        <w:bottom w:val="single" w:sz="4" w:space="1" w:color="auto"/>
        <w:right w:val="single" w:sz="4" w:space="4" w:color="auto"/>
      </w:pBdr>
      <w:tabs>
        <w:tab w:val="right" w:leader="hyphen" w:pos="9639"/>
      </w:tabs>
      <w:spacing w:before="480" w:after="120"/>
      <w:jc w:val="center"/>
      <w:outlineLvl w:val="6"/>
    </w:pPr>
    <w:rPr>
      <w:rFonts w:ascii="Century" w:hAnsi="Century"/>
      <w:b/>
      <w:bCs/>
      <w:sz w:val="28"/>
    </w:rPr>
  </w:style>
  <w:style w:type="paragraph" w:styleId="Titre8">
    <w:name w:val="heading 8"/>
    <w:basedOn w:val="Normal"/>
    <w:next w:val="Normal"/>
    <w:qFormat/>
    <w:pPr>
      <w:keepNext/>
      <w:tabs>
        <w:tab w:val="right" w:leader="hyphen" w:pos="9639"/>
      </w:tabs>
      <w:spacing w:after="120"/>
      <w:jc w:val="center"/>
      <w:outlineLvl w:val="7"/>
    </w:pPr>
    <w:rPr>
      <w:rFonts w:ascii="Century" w:hAnsi="Century"/>
      <w:b/>
      <w:bCs/>
      <w:sz w:val="22"/>
    </w:rPr>
  </w:style>
  <w:style w:type="paragraph" w:styleId="Titre9">
    <w:name w:val="heading 9"/>
    <w:basedOn w:val="Normal"/>
    <w:next w:val="Normal"/>
    <w:link w:val="Titre9Car"/>
    <w:qFormat/>
    <w:pPr>
      <w:keepNext/>
      <w:spacing w:before="240" w:after="120"/>
      <w:jc w:val="center"/>
      <w:outlineLvl w:val="8"/>
    </w:pPr>
    <w:rPr>
      <w:rFonts w:ascii="Arial" w:hAnsi="Arial" w:cs="Arial"/>
      <w:b/>
      <w:bCs/>
      <w:sz w:val="20"/>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questions">
    <w:name w:val="questions"/>
    <w:basedOn w:val="Normal"/>
    <w:pPr>
      <w:numPr>
        <w:numId w:val="3"/>
      </w:numPr>
    </w:pPr>
  </w:style>
  <w:style w:type="paragraph" w:customStyle="1" w:styleId="Questionsa">
    <w:name w:val="Questions a)"/>
    <w:basedOn w:val="Normal"/>
    <w:pPr>
      <w:numPr>
        <w:numId w:val="2"/>
      </w:numPr>
    </w:pPr>
  </w:style>
  <w:style w:type="paragraph" w:styleId="Lgende">
    <w:name w:val="caption"/>
    <w:basedOn w:val="Normal"/>
    <w:next w:val="Normal"/>
    <w:qFormat/>
    <w:pPr>
      <w:widowControl w:val="0"/>
      <w:autoSpaceDE w:val="0"/>
      <w:autoSpaceDN w:val="0"/>
      <w:adjustRightInd w:val="0"/>
      <w:spacing w:line="268" w:lineRule="exact"/>
      <w:ind w:right="52" w:firstLine="292"/>
      <w:jc w:val="center"/>
    </w:pPr>
    <w:rPr>
      <w:rFonts w:ascii="Century" w:hAnsi="Century"/>
      <w:b/>
      <w:bCs/>
      <w:sz w:val="18"/>
    </w:rPr>
  </w:style>
  <w:style w:type="paragraph" w:styleId="Corpsdetexte">
    <w:name w:val="Body Text"/>
    <w:basedOn w:val="Normal"/>
    <w:semiHidden/>
    <w:pPr>
      <w:widowControl w:val="0"/>
      <w:autoSpaceDE w:val="0"/>
      <w:autoSpaceDN w:val="0"/>
      <w:adjustRightInd w:val="0"/>
      <w:spacing w:line="240" w:lineRule="exact"/>
      <w:ind w:right="81"/>
      <w:jc w:val="both"/>
    </w:pPr>
    <w:rPr>
      <w:rFonts w:ascii="Arial Narrow" w:hAnsi="Arial Narrow" w:cs="Arial"/>
      <w:sz w:val="20"/>
      <w:szCs w:val="18"/>
    </w:rPr>
  </w:style>
  <w:style w:type="character" w:styleId="Numrodepage">
    <w:name w:val="page number"/>
    <w:basedOn w:val="Policepardfaut"/>
    <w:uiPriority w:val="99"/>
  </w:style>
  <w:style w:type="paragraph" w:styleId="Corpsdetexte2">
    <w:name w:val="Body Text 2"/>
    <w:basedOn w:val="Normal"/>
    <w:semiHidden/>
    <w:pPr>
      <w:jc w:val="both"/>
    </w:pPr>
    <w:rPr>
      <w:rFonts w:ascii="Arial" w:hAnsi="Arial" w:cs="Arial"/>
      <w:i/>
      <w:iCs/>
      <w:sz w:val="20"/>
    </w:rPr>
  </w:style>
  <w:style w:type="paragraph" w:customStyle="1" w:styleId="Retraitflche">
    <w:name w:val="Retrait flèche"/>
    <w:basedOn w:val="Normal"/>
    <w:pPr>
      <w:numPr>
        <w:ilvl w:val="1"/>
        <w:numId w:val="6"/>
      </w:numPr>
    </w:pPr>
  </w:style>
  <w:style w:type="paragraph" w:customStyle="1" w:styleId="Retraitcorpsflche">
    <w:name w:val="Retrait corps flèche"/>
    <w:basedOn w:val="Normal"/>
    <w:pPr>
      <w:numPr>
        <w:numId w:val="6"/>
      </w:numPr>
    </w:pPr>
  </w:style>
  <w:style w:type="paragraph" w:styleId="Normalcentr">
    <w:name w:val="Block Text"/>
    <w:basedOn w:val="Normal"/>
    <w:semiHidden/>
    <w:pPr>
      <w:widowControl w:val="0"/>
      <w:autoSpaceDE w:val="0"/>
      <w:autoSpaceDN w:val="0"/>
      <w:adjustRightInd w:val="0"/>
      <w:spacing w:line="254" w:lineRule="exact"/>
      <w:ind w:left="14" w:right="52"/>
      <w:jc w:val="both"/>
    </w:pPr>
    <w:rPr>
      <w:rFonts w:ascii="Arial Narrow" w:hAnsi="Arial Narrow" w:cs="Arial"/>
      <w:sz w:val="20"/>
      <w:szCs w:val="22"/>
    </w:rPr>
  </w:style>
  <w:style w:type="paragraph" w:styleId="Corpsdetexte3">
    <w:name w:val="Body Text 3"/>
    <w:basedOn w:val="Normal"/>
    <w:semiHidden/>
    <w:pPr>
      <w:widowControl w:val="0"/>
      <w:autoSpaceDE w:val="0"/>
      <w:autoSpaceDN w:val="0"/>
      <w:adjustRightInd w:val="0"/>
      <w:spacing w:line="259" w:lineRule="exact"/>
      <w:ind w:right="57"/>
      <w:jc w:val="both"/>
    </w:pPr>
    <w:rPr>
      <w:rFonts w:ascii="Arial Narrow" w:hAnsi="Arial Narrow" w:cs="Arial"/>
      <w:sz w:val="22"/>
      <w:szCs w:val="20"/>
    </w:rPr>
  </w:style>
  <w:style w:type="character" w:styleId="Lienhypertexte">
    <w:name w:val="Hyperlink"/>
    <w:basedOn w:val="Policepardfaut"/>
    <w:uiPriority w:val="99"/>
    <w:semiHidden/>
    <w:unhideWhenUsed/>
    <w:rsid w:val="003D1FB7"/>
    <w:rPr>
      <w:strike w:val="0"/>
      <w:dstrike w:val="0"/>
      <w:color w:val="DB011C"/>
      <w:u w:val="none"/>
      <w:effect w:val="none"/>
    </w:rPr>
  </w:style>
  <w:style w:type="paragraph" w:styleId="NormalWeb">
    <w:name w:val="Normal (Web)"/>
    <w:basedOn w:val="Normal"/>
    <w:unhideWhenUsed/>
    <w:rsid w:val="003D1FB7"/>
    <w:pPr>
      <w:spacing w:before="100" w:beforeAutospacing="1"/>
    </w:pPr>
  </w:style>
  <w:style w:type="paragraph" w:styleId="Titre">
    <w:name w:val="Title"/>
    <w:basedOn w:val="Normal"/>
    <w:link w:val="TitreCar"/>
    <w:qFormat/>
    <w:rsid w:val="00EF7A64"/>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EF7A64"/>
    <w:rPr>
      <w:noProof/>
      <w:sz w:val="28"/>
      <w:szCs w:val="28"/>
    </w:rPr>
  </w:style>
  <w:style w:type="paragraph" w:styleId="Commentaire">
    <w:name w:val="annotation text"/>
    <w:basedOn w:val="Normal"/>
    <w:link w:val="CommentaireCar"/>
    <w:semiHidden/>
    <w:rsid w:val="00D86D38"/>
    <w:pPr>
      <w:widowControl w:val="0"/>
      <w:autoSpaceDE w:val="0"/>
      <w:autoSpaceDN w:val="0"/>
      <w:adjustRightInd w:val="0"/>
    </w:pPr>
    <w:rPr>
      <w:rFonts w:ascii="Arial" w:hAnsi="Arial" w:cs="Arial"/>
      <w:b/>
      <w:bCs/>
      <w:sz w:val="20"/>
      <w:szCs w:val="20"/>
    </w:rPr>
  </w:style>
  <w:style w:type="character" w:customStyle="1" w:styleId="CommentaireCar">
    <w:name w:val="Commentaire Car"/>
    <w:basedOn w:val="Policepardfaut"/>
    <w:link w:val="Commentaire"/>
    <w:semiHidden/>
    <w:rsid w:val="00D86D38"/>
    <w:rPr>
      <w:rFonts w:ascii="Arial" w:hAnsi="Arial" w:cs="Arial"/>
      <w:b/>
      <w:bCs/>
    </w:rPr>
  </w:style>
  <w:style w:type="paragraph" w:customStyle="1" w:styleId="soustitre">
    <w:name w:val="soustitre"/>
    <w:basedOn w:val="Normal"/>
    <w:rsid w:val="00597209"/>
    <w:pPr>
      <w:spacing w:before="100" w:beforeAutospacing="1" w:after="100" w:afterAutospacing="1"/>
    </w:pPr>
  </w:style>
  <w:style w:type="paragraph" w:customStyle="1" w:styleId="spip">
    <w:name w:val="spip"/>
    <w:basedOn w:val="Normal"/>
    <w:rsid w:val="00597209"/>
    <w:pPr>
      <w:spacing w:before="100" w:beforeAutospacing="1" w:after="100" w:afterAutospacing="1"/>
    </w:pPr>
  </w:style>
  <w:style w:type="character" w:styleId="lev">
    <w:name w:val="Strong"/>
    <w:basedOn w:val="Policepardfaut"/>
    <w:uiPriority w:val="22"/>
    <w:qFormat/>
    <w:rsid w:val="00597209"/>
    <w:rPr>
      <w:b/>
      <w:bCs/>
    </w:rPr>
  </w:style>
  <w:style w:type="paragraph" w:styleId="Paragraphedeliste">
    <w:name w:val="List Paragraph"/>
    <w:basedOn w:val="Normal"/>
    <w:uiPriority w:val="34"/>
    <w:qFormat/>
    <w:rsid w:val="008A2419"/>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1"/>
    <w:qFormat/>
    <w:rsid w:val="008A2419"/>
    <w:pPr>
      <w:widowControl w:val="0"/>
      <w:autoSpaceDE w:val="0"/>
      <w:autoSpaceDN w:val="0"/>
    </w:pPr>
    <w:rPr>
      <w:sz w:val="24"/>
      <w:szCs w:val="24"/>
    </w:rPr>
  </w:style>
  <w:style w:type="character" w:customStyle="1" w:styleId="Titre7Car">
    <w:name w:val="Titre 7 Car"/>
    <w:basedOn w:val="Policepardfaut"/>
    <w:link w:val="Titre7"/>
    <w:rsid w:val="003E64CA"/>
    <w:rPr>
      <w:rFonts w:ascii="Century" w:hAnsi="Century"/>
      <w:b/>
      <w:bCs/>
      <w:sz w:val="28"/>
      <w:szCs w:val="24"/>
    </w:rPr>
  </w:style>
  <w:style w:type="character" w:customStyle="1" w:styleId="Titre9Car">
    <w:name w:val="Titre 9 Car"/>
    <w:basedOn w:val="Policepardfaut"/>
    <w:link w:val="Titre9"/>
    <w:rsid w:val="003E64CA"/>
    <w:rPr>
      <w:rFonts w:ascii="Arial" w:hAnsi="Arial" w:cs="Arial"/>
      <w:b/>
      <w:bCs/>
      <w:szCs w:val="24"/>
    </w:rPr>
  </w:style>
  <w:style w:type="character" w:customStyle="1" w:styleId="PieddepageCar">
    <w:name w:val="Pied de page Car"/>
    <w:basedOn w:val="Policepardfaut"/>
    <w:link w:val="Pieddepage"/>
    <w:uiPriority w:val="99"/>
    <w:rsid w:val="00813E8E"/>
    <w:rPr>
      <w:sz w:val="24"/>
      <w:szCs w:val="24"/>
    </w:rPr>
  </w:style>
  <w:style w:type="character" w:customStyle="1" w:styleId="En-tteCar">
    <w:name w:val="En-tête Car"/>
    <w:link w:val="En-tte"/>
    <w:uiPriority w:val="99"/>
    <w:locked/>
    <w:rsid w:val="005A1D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pacing w:after="120"/>
      <w:jc w:val="both"/>
      <w:outlineLvl w:val="0"/>
    </w:pPr>
    <w:rPr>
      <w:rFonts w:ascii="Century" w:hAnsi="Century"/>
      <w:b/>
      <w:bCs/>
    </w:rPr>
  </w:style>
  <w:style w:type="paragraph" w:styleId="Titre2">
    <w:name w:val="heading 2"/>
    <w:basedOn w:val="Normal"/>
    <w:next w:val="Normal"/>
    <w:qFormat/>
    <w:pPr>
      <w:keepNext/>
      <w:tabs>
        <w:tab w:val="right" w:leader="hyphen" w:pos="9639"/>
      </w:tabs>
      <w:spacing w:after="120"/>
      <w:jc w:val="center"/>
      <w:outlineLvl w:val="1"/>
    </w:pPr>
    <w:rPr>
      <w:rFonts w:ascii="Century" w:hAnsi="Century"/>
      <w:b/>
      <w:bCs/>
      <w:i/>
      <w:iCs/>
      <w:u w:val="single"/>
    </w:rPr>
  </w:style>
  <w:style w:type="paragraph" w:styleId="Titre3">
    <w:name w:val="heading 3"/>
    <w:basedOn w:val="Normal"/>
    <w:next w:val="Normal"/>
    <w:qFormat/>
    <w:pPr>
      <w:keepNext/>
      <w:tabs>
        <w:tab w:val="right" w:leader="hyphen" w:pos="9639"/>
      </w:tabs>
      <w:spacing w:after="120"/>
      <w:jc w:val="both"/>
      <w:outlineLvl w:val="2"/>
    </w:pPr>
    <w:rPr>
      <w:rFonts w:ascii="Century" w:hAnsi="Century"/>
      <w:b/>
      <w:bCs/>
      <w:sz w:val="22"/>
      <w:u w:val="single"/>
    </w:rPr>
  </w:style>
  <w:style w:type="paragraph" w:styleId="Titre4">
    <w:name w:val="heading 4"/>
    <w:basedOn w:val="Normal"/>
    <w:next w:val="Normal"/>
    <w:qFormat/>
    <w:pPr>
      <w:keepNext/>
      <w:tabs>
        <w:tab w:val="right" w:leader="hyphen" w:pos="9639"/>
      </w:tabs>
      <w:spacing w:after="120"/>
      <w:jc w:val="both"/>
      <w:outlineLvl w:val="3"/>
    </w:pPr>
    <w:rPr>
      <w:rFonts w:ascii="Century" w:hAnsi="Century"/>
      <w:sz w:val="22"/>
      <w:u w:val="single"/>
    </w:rPr>
  </w:style>
  <w:style w:type="paragraph" w:styleId="Titre5">
    <w:name w:val="heading 5"/>
    <w:basedOn w:val="Normal"/>
    <w:next w:val="Normal"/>
    <w:qFormat/>
    <w:pPr>
      <w:keepNext/>
      <w:widowControl w:val="0"/>
      <w:autoSpaceDE w:val="0"/>
      <w:autoSpaceDN w:val="0"/>
      <w:adjustRightInd w:val="0"/>
      <w:spacing w:after="120" w:line="240" w:lineRule="exact"/>
      <w:ind w:left="19" w:right="6676" w:hanging="19"/>
      <w:jc w:val="both"/>
      <w:outlineLvl w:val="4"/>
    </w:pPr>
    <w:rPr>
      <w:rFonts w:ascii="Arial Narrow" w:hAnsi="Arial Narrow" w:cs="Arial"/>
      <w:b/>
      <w:bCs/>
      <w:sz w:val="22"/>
      <w:szCs w:val="18"/>
    </w:rPr>
  </w:style>
  <w:style w:type="paragraph" w:styleId="Titre6">
    <w:name w:val="heading 6"/>
    <w:basedOn w:val="Normal"/>
    <w:next w:val="Normal"/>
    <w:qFormat/>
    <w:pPr>
      <w:keepNext/>
      <w:widowControl w:val="0"/>
      <w:autoSpaceDE w:val="0"/>
      <w:autoSpaceDN w:val="0"/>
      <w:adjustRightInd w:val="0"/>
      <w:spacing w:before="177" w:after="120" w:line="240" w:lineRule="exact"/>
      <w:ind w:left="52" w:right="10" w:hanging="52"/>
      <w:jc w:val="both"/>
      <w:outlineLvl w:val="5"/>
    </w:pPr>
    <w:rPr>
      <w:rFonts w:ascii="Arial Narrow" w:hAnsi="Arial Narrow" w:cs="Arial"/>
      <w:b/>
      <w:bCs/>
      <w:sz w:val="22"/>
      <w:szCs w:val="18"/>
    </w:rPr>
  </w:style>
  <w:style w:type="paragraph" w:styleId="Titre7">
    <w:name w:val="heading 7"/>
    <w:basedOn w:val="Normal"/>
    <w:next w:val="Normal"/>
    <w:link w:val="Titre7Car"/>
    <w:qFormat/>
    <w:pPr>
      <w:keepNext/>
      <w:pBdr>
        <w:top w:val="single" w:sz="4" w:space="1" w:color="auto"/>
        <w:left w:val="single" w:sz="4" w:space="4" w:color="auto"/>
        <w:bottom w:val="single" w:sz="4" w:space="1" w:color="auto"/>
        <w:right w:val="single" w:sz="4" w:space="4" w:color="auto"/>
      </w:pBdr>
      <w:tabs>
        <w:tab w:val="right" w:leader="hyphen" w:pos="9639"/>
      </w:tabs>
      <w:spacing w:before="480" w:after="120"/>
      <w:jc w:val="center"/>
      <w:outlineLvl w:val="6"/>
    </w:pPr>
    <w:rPr>
      <w:rFonts w:ascii="Century" w:hAnsi="Century"/>
      <w:b/>
      <w:bCs/>
      <w:sz w:val="28"/>
    </w:rPr>
  </w:style>
  <w:style w:type="paragraph" w:styleId="Titre8">
    <w:name w:val="heading 8"/>
    <w:basedOn w:val="Normal"/>
    <w:next w:val="Normal"/>
    <w:qFormat/>
    <w:pPr>
      <w:keepNext/>
      <w:tabs>
        <w:tab w:val="right" w:leader="hyphen" w:pos="9639"/>
      </w:tabs>
      <w:spacing w:after="120"/>
      <w:jc w:val="center"/>
      <w:outlineLvl w:val="7"/>
    </w:pPr>
    <w:rPr>
      <w:rFonts w:ascii="Century" w:hAnsi="Century"/>
      <w:b/>
      <w:bCs/>
      <w:sz w:val="22"/>
    </w:rPr>
  </w:style>
  <w:style w:type="paragraph" w:styleId="Titre9">
    <w:name w:val="heading 9"/>
    <w:basedOn w:val="Normal"/>
    <w:next w:val="Normal"/>
    <w:link w:val="Titre9Car"/>
    <w:qFormat/>
    <w:pPr>
      <w:keepNext/>
      <w:spacing w:before="240" w:after="120"/>
      <w:jc w:val="center"/>
      <w:outlineLvl w:val="8"/>
    </w:pPr>
    <w:rPr>
      <w:rFonts w:ascii="Arial" w:hAnsi="Arial" w:cs="Arial"/>
      <w:b/>
      <w:bCs/>
      <w:sz w:val="20"/>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questions">
    <w:name w:val="questions"/>
    <w:basedOn w:val="Normal"/>
    <w:pPr>
      <w:numPr>
        <w:numId w:val="3"/>
      </w:numPr>
    </w:pPr>
  </w:style>
  <w:style w:type="paragraph" w:customStyle="1" w:styleId="Questionsa">
    <w:name w:val="Questions a)"/>
    <w:basedOn w:val="Normal"/>
    <w:pPr>
      <w:numPr>
        <w:numId w:val="2"/>
      </w:numPr>
    </w:pPr>
  </w:style>
  <w:style w:type="paragraph" w:styleId="Lgende">
    <w:name w:val="caption"/>
    <w:basedOn w:val="Normal"/>
    <w:next w:val="Normal"/>
    <w:qFormat/>
    <w:pPr>
      <w:widowControl w:val="0"/>
      <w:autoSpaceDE w:val="0"/>
      <w:autoSpaceDN w:val="0"/>
      <w:adjustRightInd w:val="0"/>
      <w:spacing w:line="268" w:lineRule="exact"/>
      <w:ind w:right="52" w:firstLine="292"/>
      <w:jc w:val="center"/>
    </w:pPr>
    <w:rPr>
      <w:rFonts w:ascii="Century" w:hAnsi="Century"/>
      <w:b/>
      <w:bCs/>
      <w:sz w:val="18"/>
    </w:rPr>
  </w:style>
  <w:style w:type="paragraph" w:styleId="Corpsdetexte">
    <w:name w:val="Body Text"/>
    <w:basedOn w:val="Normal"/>
    <w:semiHidden/>
    <w:pPr>
      <w:widowControl w:val="0"/>
      <w:autoSpaceDE w:val="0"/>
      <w:autoSpaceDN w:val="0"/>
      <w:adjustRightInd w:val="0"/>
      <w:spacing w:line="240" w:lineRule="exact"/>
      <w:ind w:right="81"/>
      <w:jc w:val="both"/>
    </w:pPr>
    <w:rPr>
      <w:rFonts w:ascii="Arial Narrow" w:hAnsi="Arial Narrow" w:cs="Arial"/>
      <w:sz w:val="20"/>
      <w:szCs w:val="18"/>
    </w:rPr>
  </w:style>
  <w:style w:type="character" w:styleId="Numrodepage">
    <w:name w:val="page number"/>
    <w:basedOn w:val="Policepardfaut"/>
    <w:uiPriority w:val="99"/>
  </w:style>
  <w:style w:type="paragraph" w:styleId="Corpsdetexte2">
    <w:name w:val="Body Text 2"/>
    <w:basedOn w:val="Normal"/>
    <w:semiHidden/>
    <w:pPr>
      <w:jc w:val="both"/>
    </w:pPr>
    <w:rPr>
      <w:rFonts w:ascii="Arial" w:hAnsi="Arial" w:cs="Arial"/>
      <w:i/>
      <w:iCs/>
      <w:sz w:val="20"/>
    </w:rPr>
  </w:style>
  <w:style w:type="paragraph" w:customStyle="1" w:styleId="Retraitflche">
    <w:name w:val="Retrait flèche"/>
    <w:basedOn w:val="Normal"/>
    <w:pPr>
      <w:numPr>
        <w:ilvl w:val="1"/>
        <w:numId w:val="6"/>
      </w:numPr>
    </w:pPr>
  </w:style>
  <w:style w:type="paragraph" w:customStyle="1" w:styleId="Retraitcorpsflche">
    <w:name w:val="Retrait corps flèche"/>
    <w:basedOn w:val="Normal"/>
    <w:pPr>
      <w:numPr>
        <w:numId w:val="6"/>
      </w:numPr>
    </w:pPr>
  </w:style>
  <w:style w:type="paragraph" w:styleId="Normalcentr">
    <w:name w:val="Block Text"/>
    <w:basedOn w:val="Normal"/>
    <w:semiHidden/>
    <w:pPr>
      <w:widowControl w:val="0"/>
      <w:autoSpaceDE w:val="0"/>
      <w:autoSpaceDN w:val="0"/>
      <w:adjustRightInd w:val="0"/>
      <w:spacing w:line="254" w:lineRule="exact"/>
      <w:ind w:left="14" w:right="52"/>
      <w:jc w:val="both"/>
    </w:pPr>
    <w:rPr>
      <w:rFonts w:ascii="Arial Narrow" w:hAnsi="Arial Narrow" w:cs="Arial"/>
      <w:sz w:val="20"/>
      <w:szCs w:val="22"/>
    </w:rPr>
  </w:style>
  <w:style w:type="paragraph" w:styleId="Corpsdetexte3">
    <w:name w:val="Body Text 3"/>
    <w:basedOn w:val="Normal"/>
    <w:semiHidden/>
    <w:pPr>
      <w:widowControl w:val="0"/>
      <w:autoSpaceDE w:val="0"/>
      <w:autoSpaceDN w:val="0"/>
      <w:adjustRightInd w:val="0"/>
      <w:spacing w:line="259" w:lineRule="exact"/>
      <w:ind w:right="57"/>
      <w:jc w:val="both"/>
    </w:pPr>
    <w:rPr>
      <w:rFonts w:ascii="Arial Narrow" w:hAnsi="Arial Narrow" w:cs="Arial"/>
      <w:sz w:val="22"/>
      <w:szCs w:val="20"/>
    </w:rPr>
  </w:style>
  <w:style w:type="character" w:styleId="Lienhypertexte">
    <w:name w:val="Hyperlink"/>
    <w:basedOn w:val="Policepardfaut"/>
    <w:uiPriority w:val="99"/>
    <w:semiHidden/>
    <w:unhideWhenUsed/>
    <w:rsid w:val="003D1FB7"/>
    <w:rPr>
      <w:strike w:val="0"/>
      <w:dstrike w:val="0"/>
      <w:color w:val="DB011C"/>
      <w:u w:val="none"/>
      <w:effect w:val="none"/>
    </w:rPr>
  </w:style>
  <w:style w:type="paragraph" w:styleId="NormalWeb">
    <w:name w:val="Normal (Web)"/>
    <w:basedOn w:val="Normal"/>
    <w:unhideWhenUsed/>
    <w:rsid w:val="003D1FB7"/>
    <w:pPr>
      <w:spacing w:before="100" w:beforeAutospacing="1"/>
    </w:pPr>
  </w:style>
  <w:style w:type="paragraph" w:styleId="Titre">
    <w:name w:val="Title"/>
    <w:basedOn w:val="Normal"/>
    <w:link w:val="TitreCar"/>
    <w:qFormat/>
    <w:rsid w:val="00EF7A64"/>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EF7A64"/>
    <w:rPr>
      <w:noProof/>
      <w:sz w:val="28"/>
      <w:szCs w:val="28"/>
    </w:rPr>
  </w:style>
  <w:style w:type="paragraph" w:styleId="Commentaire">
    <w:name w:val="annotation text"/>
    <w:basedOn w:val="Normal"/>
    <w:link w:val="CommentaireCar"/>
    <w:semiHidden/>
    <w:rsid w:val="00D86D38"/>
    <w:pPr>
      <w:widowControl w:val="0"/>
      <w:autoSpaceDE w:val="0"/>
      <w:autoSpaceDN w:val="0"/>
      <w:adjustRightInd w:val="0"/>
    </w:pPr>
    <w:rPr>
      <w:rFonts w:ascii="Arial" w:hAnsi="Arial" w:cs="Arial"/>
      <w:b/>
      <w:bCs/>
      <w:sz w:val="20"/>
      <w:szCs w:val="20"/>
    </w:rPr>
  </w:style>
  <w:style w:type="character" w:customStyle="1" w:styleId="CommentaireCar">
    <w:name w:val="Commentaire Car"/>
    <w:basedOn w:val="Policepardfaut"/>
    <w:link w:val="Commentaire"/>
    <w:semiHidden/>
    <w:rsid w:val="00D86D38"/>
    <w:rPr>
      <w:rFonts w:ascii="Arial" w:hAnsi="Arial" w:cs="Arial"/>
      <w:b/>
      <w:bCs/>
    </w:rPr>
  </w:style>
  <w:style w:type="paragraph" w:customStyle="1" w:styleId="soustitre">
    <w:name w:val="soustitre"/>
    <w:basedOn w:val="Normal"/>
    <w:rsid w:val="00597209"/>
    <w:pPr>
      <w:spacing w:before="100" w:beforeAutospacing="1" w:after="100" w:afterAutospacing="1"/>
    </w:pPr>
  </w:style>
  <w:style w:type="paragraph" w:customStyle="1" w:styleId="spip">
    <w:name w:val="spip"/>
    <w:basedOn w:val="Normal"/>
    <w:rsid w:val="00597209"/>
    <w:pPr>
      <w:spacing w:before="100" w:beforeAutospacing="1" w:after="100" w:afterAutospacing="1"/>
    </w:pPr>
  </w:style>
  <w:style w:type="character" w:styleId="lev">
    <w:name w:val="Strong"/>
    <w:basedOn w:val="Policepardfaut"/>
    <w:uiPriority w:val="22"/>
    <w:qFormat/>
    <w:rsid w:val="00597209"/>
    <w:rPr>
      <w:b/>
      <w:bCs/>
    </w:rPr>
  </w:style>
  <w:style w:type="paragraph" w:styleId="Paragraphedeliste">
    <w:name w:val="List Paragraph"/>
    <w:basedOn w:val="Normal"/>
    <w:uiPriority w:val="34"/>
    <w:qFormat/>
    <w:rsid w:val="008A2419"/>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1"/>
    <w:qFormat/>
    <w:rsid w:val="008A2419"/>
    <w:pPr>
      <w:widowControl w:val="0"/>
      <w:autoSpaceDE w:val="0"/>
      <w:autoSpaceDN w:val="0"/>
    </w:pPr>
    <w:rPr>
      <w:sz w:val="24"/>
      <w:szCs w:val="24"/>
    </w:rPr>
  </w:style>
  <w:style w:type="character" w:customStyle="1" w:styleId="Titre7Car">
    <w:name w:val="Titre 7 Car"/>
    <w:basedOn w:val="Policepardfaut"/>
    <w:link w:val="Titre7"/>
    <w:rsid w:val="003E64CA"/>
    <w:rPr>
      <w:rFonts w:ascii="Century" w:hAnsi="Century"/>
      <w:b/>
      <w:bCs/>
      <w:sz w:val="28"/>
      <w:szCs w:val="24"/>
    </w:rPr>
  </w:style>
  <w:style w:type="character" w:customStyle="1" w:styleId="Titre9Car">
    <w:name w:val="Titre 9 Car"/>
    <w:basedOn w:val="Policepardfaut"/>
    <w:link w:val="Titre9"/>
    <w:rsid w:val="003E64CA"/>
    <w:rPr>
      <w:rFonts w:ascii="Arial" w:hAnsi="Arial" w:cs="Arial"/>
      <w:b/>
      <w:bCs/>
      <w:szCs w:val="24"/>
    </w:rPr>
  </w:style>
  <w:style w:type="character" w:customStyle="1" w:styleId="PieddepageCar">
    <w:name w:val="Pied de page Car"/>
    <w:basedOn w:val="Policepardfaut"/>
    <w:link w:val="Pieddepage"/>
    <w:uiPriority w:val="99"/>
    <w:rsid w:val="00813E8E"/>
    <w:rPr>
      <w:sz w:val="24"/>
      <w:szCs w:val="24"/>
    </w:rPr>
  </w:style>
  <w:style w:type="character" w:customStyle="1" w:styleId="En-tteCar">
    <w:name w:val="En-tête Car"/>
    <w:link w:val="En-tte"/>
    <w:uiPriority w:val="99"/>
    <w:locked/>
    <w:rsid w:val="005A1D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0061">
      <w:bodyDiv w:val="1"/>
      <w:marLeft w:val="0"/>
      <w:marRight w:val="0"/>
      <w:marTop w:val="0"/>
      <w:marBottom w:val="0"/>
      <w:divBdr>
        <w:top w:val="none" w:sz="0" w:space="0" w:color="auto"/>
        <w:left w:val="none" w:sz="0" w:space="0" w:color="auto"/>
        <w:bottom w:val="none" w:sz="0" w:space="0" w:color="auto"/>
        <w:right w:val="none" w:sz="0" w:space="0" w:color="auto"/>
      </w:divBdr>
      <w:divsChild>
        <w:div w:id="172913165">
          <w:marLeft w:val="0"/>
          <w:marRight w:val="0"/>
          <w:marTop w:val="0"/>
          <w:marBottom w:val="0"/>
          <w:divBdr>
            <w:top w:val="none" w:sz="0" w:space="0" w:color="auto"/>
            <w:left w:val="none" w:sz="0" w:space="0" w:color="auto"/>
            <w:bottom w:val="none" w:sz="0" w:space="0" w:color="auto"/>
            <w:right w:val="none" w:sz="0" w:space="0" w:color="auto"/>
          </w:divBdr>
        </w:div>
        <w:div w:id="1213229988">
          <w:marLeft w:val="0"/>
          <w:marRight w:val="0"/>
          <w:marTop w:val="0"/>
          <w:marBottom w:val="0"/>
          <w:divBdr>
            <w:top w:val="none" w:sz="0" w:space="0" w:color="auto"/>
            <w:left w:val="none" w:sz="0" w:space="0" w:color="auto"/>
            <w:bottom w:val="none" w:sz="0" w:space="0" w:color="auto"/>
            <w:right w:val="none" w:sz="0" w:space="0" w:color="auto"/>
          </w:divBdr>
        </w:div>
        <w:div w:id="1880238902">
          <w:marLeft w:val="0"/>
          <w:marRight w:val="0"/>
          <w:marTop w:val="0"/>
          <w:marBottom w:val="0"/>
          <w:divBdr>
            <w:top w:val="none" w:sz="0" w:space="0" w:color="auto"/>
            <w:left w:val="none" w:sz="0" w:space="0" w:color="auto"/>
            <w:bottom w:val="none" w:sz="0" w:space="0" w:color="auto"/>
            <w:right w:val="none" w:sz="0" w:space="0" w:color="auto"/>
          </w:divBdr>
        </w:div>
      </w:divsChild>
    </w:div>
    <w:div w:id="1074426002">
      <w:bodyDiv w:val="1"/>
      <w:marLeft w:val="0"/>
      <w:marRight w:val="0"/>
      <w:marTop w:val="0"/>
      <w:marBottom w:val="0"/>
      <w:divBdr>
        <w:top w:val="none" w:sz="0" w:space="0" w:color="auto"/>
        <w:left w:val="none" w:sz="0" w:space="0" w:color="auto"/>
        <w:bottom w:val="none" w:sz="0" w:space="0" w:color="auto"/>
        <w:right w:val="none" w:sz="0" w:space="0" w:color="auto"/>
      </w:divBdr>
      <w:divsChild>
        <w:div w:id="1283612593">
          <w:marLeft w:val="0"/>
          <w:marRight w:val="0"/>
          <w:marTop w:val="0"/>
          <w:marBottom w:val="0"/>
          <w:divBdr>
            <w:top w:val="none" w:sz="0" w:space="0" w:color="auto"/>
            <w:left w:val="none" w:sz="0" w:space="0" w:color="auto"/>
            <w:bottom w:val="none" w:sz="0" w:space="0" w:color="auto"/>
            <w:right w:val="none" w:sz="0" w:space="0" w:color="auto"/>
          </w:divBdr>
          <w:divsChild>
            <w:div w:id="1119880695">
              <w:marLeft w:val="0"/>
              <w:marRight w:val="0"/>
              <w:marTop w:val="0"/>
              <w:marBottom w:val="0"/>
              <w:divBdr>
                <w:top w:val="none" w:sz="0" w:space="0" w:color="auto"/>
                <w:left w:val="none" w:sz="0" w:space="0" w:color="auto"/>
                <w:bottom w:val="none" w:sz="0" w:space="0" w:color="auto"/>
                <w:right w:val="none" w:sz="0" w:space="0" w:color="auto"/>
              </w:divBdr>
            </w:div>
            <w:div w:id="1308320793">
              <w:marLeft w:val="0"/>
              <w:marRight w:val="0"/>
              <w:marTop w:val="0"/>
              <w:marBottom w:val="0"/>
              <w:divBdr>
                <w:top w:val="none" w:sz="0" w:space="0" w:color="auto"/>
                <w:left w:val="none" w:sz="0" w:space="0" w:color="auto"/>
                <w:bottom w:val="none" w:sz="0" w:space="0" w:color="auto"/>
                <w:right w:val="none" w:sz="0" w:space="0" w:color="auto"/>
              </w:divBdr>
            </w:div>
            <w:div w:id="1629241322">
              <w:marLeft w:val="0"/>
              <w:marRight w:val="0"/>
              <w:marTop w:val="0"/>
              <w:marBottom w:val="0"/>
              <w:divBdr>
                <w:top w:val="none" w:sz="0" w:space="0" w:color="auto"/>
                <w:left w:val="none" w:sz="0" w:space="0" w:color="auto"/>
                <w:bottom w:val="none" w:sz="0" w:space="0" w:color="auto"/>
                <w:right w:val="none" w:sz="0" w:space="0" w:color="auto"/>
              </w:divBdr>
            </w:div>
            <w:div w:id="1843348413">
              <w:marLeft w:val="0"/>
              <w:marRight w:val="0"/>
              <w:marTop w:val="0"/>
              <w:marBottom w:val="0"/>
              <w:divBdr>
                <w:top w:val="none" w:sz="0" w:space="0" w:color="auto"/>
                <w:left w:val="none" w:sz="0" w:space="0" w:color="auto"/>
                <w:bottom w:val="none" w:sz="0" w:space="0" w:color="auto"/>
                <w:right w:val="none" w:sz="0" w:space="0" w:color="auto"/>
              </w:divBdr>
            </w:div>
            <w:div w:id="21012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1849-CE58-4299-BB34-3F7A037F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1987</Words>
  <Characters>10933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Test 29/09/06 (10 minutes)</vt:lpstr>
    </vt:vector>
  </TitlesOfParts>
  <Company>Secteur STT</Company>
  <LinksUpToDate>false</LinksUpToDate>
  <CharactersWithSpaces>12895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4</cp:revision>
  <cp:lastPrinted>2014-04-05T06:13:00Z</cp:lastPrinted>
  <dcterms:created xsi:type="dcterms:W3CDTF">2014-04-05T06:13:00Z</dcterms:created>
  <dcterms:modified xsi:type="dcterms:W3CDTF">2014-04-05T06:13:00Z</dcterms:modified>
</cp:coreProperties>
</file>