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A8" w:rsidRPr="00A66A8F" w:rsidRDefault="00612DA8" w:rsidP="00612DA8">
      <w:pPr>
        <w:pStyle w:val="Titre"/>
        <w:pBdr>
          <w:top w:val="single" w:sz="4" w:space="1" w:color="auto"/>
          <w:left w:val="single" w:sz="4" w:space="4" w:color="auto"/>
          <w:bottom w:val="single" w:sz="4" w:space="1" w:color="auto"/>
          <w:right w:val="single" w:sz="4" w:space="4" w:color="auto"/>
        </w:pBdr>
        <w:rPr>
          <w:b/>
          <w:bCs/>
        </w:rPr>
      </w:pPr>
      <w:r w:rsidRPr="00A66A8F">
        <w:rPr>
          <w:b/>
          <w:bCs/>
        </w:rPr>
        <w:t>DCG session 2009</w:t>
      </w:r>
      <w:r w:rsidRPr="00A66A8F">
        <w:rPr>
          <w:b/>
          <w:bCs/>
        </w:rPr>
        <w:tab/>
        <w:t>UE</w:t>
      </w:r>
      <w:r>
        <w:rPr>
          <w:b/>
          <w:bCs/>
        </w:rPr>
        <w:t>6 Finance d’entreprise</w:t>
      </w:r>
      <w:r w:rsidRPr="00A66A8F">
        <w:rPr>
          <w:b/>
          <w:bCs/>
        </w:rPr>
        <w:t xml:space="preserve"> </w:t>
      </w:r>
      <w:r w:rsidRPr="00A66A8F">
        <w:rPr>
          <w:b/>
          <w:bCs/>
        </w:rPr>
        <w:tab/>
        <w:t>Corrigé indicatif</w:t>
      </w:r>
    </w:p>
    <w:p w:rsidR="00612DA8" w:rsidRDefault="00612DA8">
      <w:pPr>
        <w:jc w:val="center"/>
        <w:rPr>
          <w:b/>
          <w:bCs/>
          <w:sz w:val="28"/>
          <w:szCs w:val="28"/>
          <w:u w:val="single"/>
        </w:rPr>
      </w:pPr>
    </w:p>
    <w:p w:rsidR="009341CC" w:rsidRDefault="00C87F42">
      <w:pPr>
        <w:jc w:val="center"/>
        <w:rPr>
          <w:b/>
          <w:bCs/>
          <w:sz w:val="28"/>
          <w:szCs w:val="28"/>
          <w:u w:val="single"/>
        </w:rPr>
      </w:pPr>
      <w:r>
        <w:rPr>
          <w:b/>
          <w:bCs/>
          <w:sz w:val="28"/>
          <w:szCs w:val="28"/>
          <w:u w:val="single"/>
        </w:rPr>
        <w:t xml:space="preserve">DOSSIER 1 </w:t>
      </w:r>
    </w:p>
    <w:p w:rsidR="009341CC" w:rsidRDefault="009341CC">
      <w:pPr>
        <w:rPr>
          <w:b/>
          <w:bCs/>
          <w:sz w:val="28"/>
          <w:szCs w:val="28"/>
          <w:u w:val="single"/>
        </w:rPr>
      </w:pPr>
    </w:p>
    <w:p w:rsidR="009341CC" w:rsidRPr="00C87F42" w:rsidRDefault="009341CC">
      <w:pPr>
        <w:rPr>
          <w:b/>
          <w:bCs/>
          <w:sz w:val="24"/>
          <w:szCs w:val="24"/>
          <w:u w:val="single"/>
        </w:rPr>
      </w:pPr>
      <w:r>
        <w:rPr>
          <w:b/>
          <w:bCs/>
          <w:sz w:val="24"/>
          <w:szCs w:val="24"/>
          <w:u w:val="single"/>
        </w:rPr>
        <w:t>Première Partie</w:t>
      </w:r>
    </w:p>
    <w:p w:rsidR="009341CC" w:rsidRDefault="009341CC">
      <w:pPr>
        <w:rPr>
          <w:b/>
          <w:bCs/>
          <w:sz w:val="24"/>
          <w:szCs w:val="24"/>
          <w:u w:val="single"/>
        </w:rPr>
      </w:pPr>
    </w:p>
    <w:p w:rsidR="009341CC" w:rsidRDefault="009341CC">
      <w:pPr>
        <w:rPr>
          <w:b/>
          <w:bCs/>
        </w:rPr>
      </w:pPr>
      <w:r>
        <w:rPr>
          <w:b/>
          <w:bCs/>
        </w:rPr>
        <w:t>1) Evolution des SIG</w:t>
      </w:r>
    </w:p>
    <w:p w:rsidR="00C87F42" w:rsidRDefault="00C87F42">
      <w:pPr>
        <w:rPr>
          <w:b/>
          <w:bCs/>
        </w:rPr>
      </w:pPr>
    </w:p>
    <w:tbl>
      <w:tblPr>
        <w:tblW w:w="0" w:type="auto"/>
        <w:tblInd w:w="55" w:type="dxa"/>
        <w:tblCellMar>
          <w:left w:w="70" w:type="dxa"/>
          <w:right w:w="70" w:type="dxa"/>
        </w:tblCellMar>
        <w:tblLook w:val="0000" w:firstRow="0" w:lastRow="0" w:firstColumn="0" w:lastColumn="0" w:noHBand="0" w:noVBand="0"/>
      </w:tblPr>
      <w:tblGrid>
        <w:gridCol w:w="2606"/>
        <w:gridCol w:w="1000"/>
        <w:gridCol w:w="1000"/>
        <w:gridCol w:w="960"/>
      </w:tblGrid>
      <w:tr w:rsidR="009341CC">
        <w:trPr>
          <w:trHeight w:val="240"/>
        </w:trPr>
        <w:tc>
          <w:tcPr>
            <w:tcW w:w="0" w:type="auto"/>
            <w:tcBorders>
              <w:top w:val="single" w:sz="4" w:space="0" w:color="auto"/>
              <w:left w:val="single" w:sz="4" w:space="0" w:color="auto"/>
              <w:bottom w:val="nil"/>
              <w:right w:val="nil"/>
            </w:tcBorders>
            <w:noWrap/>
            <w:vAlign w:val="bottom"/>
          </w:tcPr>
          <w:p w:rsidR="009341CC" w:rsidRDefault="009341CC">
            <w:pPr>
              <w:rPr>
                <w:sz w:val="24"/>
                <w:szCs w:val="24"/>
              </w:rPr>
            </w:pPr>
            <w:r>
              <w:rPr>
                <w:sz w:val="24"/>
                <w:szCs w:val="24"/>
              </w:rPr>
              <w:t>Production vendue</w:t>
            </w:r>
          </w:p>
        </w:tc>
        <w:tc>
          <w:tcPr>
            <w:tcW w:w="0" w:type="auto"/>
            <w:tcBorders>
              <w:top w:val="single" w:sz="4" w:space="0" w:color="auto"/>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369 458</w:t>
            </w:r>
          </w:p>
        </w:tc>
        <w:tc>
          <w:tcPr>
            <w:tcW w:w="0" w:type="auto"/>
            <w:tcBorders>
              <w:top w:val="single" w:sz="4" w:space="0" w:color="auto"/>
              <w:left w:val="nil"/>
              <w:bottom w:val="nil"/>
              <w:right w:val="nil"/>
            </w:tcBorders>
            <w:noWrap/>
            <w:vAlign w:val="bottom"/>
          </w:tcPr>
          <w:p w:rsidR="009341CC" w:rsidRDefault="009341CC">
            <w:pPr>
              <w:jc w:val="right"/>
              <w:rPr>
                <w:sz w:val="24"/>
                <w:szCs w:val="24"/>
              </w:rPr>
            </w:pPr>
            <w:r>
              <w:rPr>
                <w:sz w:val="24"/>
                <w:szCs w:val="24"/>
              </w:rPr>
              <w:t>394 023</w:t>
            </w:r>
          </w:p>
        </w:tc>
        <w:tc>
          <w:tcPr>
            <w:tcW w:w="0" w:type="auto"/>
            <w:tcBorders>
              <w:top w:val="single" w:sz="4" w:space="0" w:color="auto"/>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-6,2%</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Production stockée</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1 162</w:t>
            </w:r>
          </w:p>
        </w:tc>
        <w:tc>
          <w:tcPr>
            <w:tcW w:w="0" w:type="auto"/>
            <w:tcBorders>
              <w:top w:val="nil"/>
              <w:left w:val="nil"/>
              <w:bottom w:val="single" w:sz="4" w:space="0" w:color="auto"/>
              <w:right w:val="nil"/>
            </w:tcBorders>
            <w:noWrap/>
            <w:vAlign w:val="bottom"/>
          </w:tcPr>
          <w:p w:rsidR="009341CC" w:rsidRDefault="009341CC">
            <w:pPr>
              <w:jc w:val="right"/>
              <w:rPr>
                <w:sz w:val="24"/>
                <w:szCs w:val="24"/>
              </w:rPr>
            </w:pPr>
            <w:r>
              <w:rPr>
                <w:sz w:val="24"/>
                <w:szCs w:val="24"/>
              </w:rPr>
              <w:t>2 541</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-54,3%</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Production de l'exercice</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370 620</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396 564</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-6,5%</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C° en </w:t>
            </w:r>
            <w:proofErr w:type="spellStart"/>
            <w:r>
              <w:rPr>
                <w:sz w:val="24"/>
                <w:szCs w:val="24"/>
              </w:rPr>
              <w:t>prov</w:t>
            </w:r>
            <w:proofErr w:type="spellEnd"/>
            <w:r>
              <w:rPr>
                <w:sz w:val="24"/>
                <w:szCs w:val="24"/>
              </w:rPr>
              <w:t xml:space="preserve"> des tiers</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-149 448</w:t>
            </w:r>
          </w:p>
        </w:tc>
        <w:tc>
          <w:tcPr>
            <w:tcW w:w="0" w:type="auto"/>
            <w:tcBorders>
              <w:top w:val="nil"/>
              <w:left w:val="nil"/>
              <w:bottom w:val="single" w:sz="4" w:space="0" w:color="auto"/>
              <w:right w:val="nil"/>
            </w:tcBorders>
            <w:noWrap/>
            <w:vAlign w:val="bottom"/>
          </w:tcPr>
          <w:p w:rsidR="009341CC" w:rsidRDefault="009341CC">
            <w:pPr>
              <w:jc w:val="right"/>
              <w:rPr>
                <w:sz w:val="24"/>
                <w:szCs w:val="24"/>
              </w:rPr>
            </w:pPr>
            <w:r>
              <w:rPr>
                <w:sz w:val="24"/>
                <w:szCs w:val="24"/>
              </w:rPr>
              <w:t>-158 005</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-5,4%</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Valeur ajoutée</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221 172</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238 559</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-7,3%</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proofErr w:type="spellStart"/>
            <w:r>
              <w:rPr>
                <w:sz w:val="24"/>
                <w:szCs w:val="24"/>
              </w:rPr>
              <w:t>Ch</w:t>
            </w:r>
            <w:proofErr w:type="spellEnd"/>
            <w:r>
              <w:rPr>
                <w:sz w:val="24"/>
                <w:szCs w:val="24"/>
              </w:rPr>
              <w:t xml:space="preserve"> de pers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81 095</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82 530</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-1,7%</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EBE</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110 586</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117 993</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-6,3%</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Dot </w:t>
            </w:r>
            <w:proofErr w:type="gramStart"/>
            <w:r>
              <w:rPr>
                <w:sz w:val="24"/>
                <w:szCs w:val="24"/>
              </w:rPr>
              <w:t xml:space="preserve">aux </w:t>
            </w:r>
            <w:proofErr w:type="spellStart"/>
            <w:r>
              <w:rPr>
                <w:sz w:val="24"/>
                <w:szCs w:val="24"/>
              </w:rPr>
              <w:t>amort</w:t>
            </w:r>
            <w:proofErr w:type="spellEnd"/>
            <w:proofErr w:type="gramEnd"/>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82 261</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81 956</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0,4%</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 xml:space="preserve">Résultat </w:t>
            </w:r>
            <w:proofErr w:type="spellStart"/>
            <w:r>
              <w:rPr>
                <w:b/>
                <w:bCs/>
                <w:sz w:val="24"/>
                <w:szCs w:val="24"/>
              </w:rPr>
              <w:t>expl</w:t>
            </w:r>
            <w:proofErr w:type="spellEnd"/>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33 806</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40 702</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-16,9%</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Charges financières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40 176</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33 154</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21,2 %</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Intérêts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15 200</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12 400</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22,6%</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Résultat courant</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-5 170</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8 898</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-158,1%</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Résultat exceptionnel</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16 745</w:t>
            </w:r>
          </w:p>
        </w:tc>
        <w:tc>
          <w:tcPr>
            <w:tcW w:w="0" w:type="auto"/>
            <w:tcBorders>
              <w:top w:val="nil"/>
              <w:left w:val="nil"/>
              <w:bottom w:val="nil"/>
              <w:right w:val="nil"/>
            </w:tcBorders>
            <w:noWrap/>
            <w:vAlign w:val="bottom"/>
          </w:tcPr>
          <w:p w:rsidR="009341CC" w:rsidRDefault="009341CC">
            <w:pPr>
              <w:jc w:val="right"/>
              <w:rPr>
                <w:sz w:val="24"/>
                <w:szCs w:val="24"/>
              </w:rPr>
            </w:pPr>
            <w:r>
              <w:rPr>
                <w:sz w:val="24"/>
                <w:szCs w:val="24"/>
              </w:rPr>
              <w:t>18 114</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-7,6%</w:t>
            </w:r>
          </w:p>
        </w:tc>
      </w:tr>
      <w:tr w:rsidR="009341CC">
        <w:trPr>
          <w:trHeight w:val="240"/>
        </w:trPr>
        <w:tc>
          <w:tcPr>
            <w:tcW w:w="0" w:type="auto"/>
            <w:tcBorders>
              <w:top w:val="nil"/>
              <w:left w:val="single" w:sz="4" w:space="0" w:color="auto"/>
              <w:bottom w:val="single" w:sz="4" w:space="0" w:color="auto"/>
              <w:right w:val="nil"/>
            </w:tcBorders>
            <w:noWrap/>
            <w:vAlign w:val="bottom"/>
          </w:tcPr>
          <w:p w:rsidR="009341CC" w:rsidRDefault="009341CC">
            <w:pPr>
              <w:rPr>
                <w:b/>
                <w:bCs/>
                <w:sz w:val="24"/>
                <w:szCs w:val="24"/>
              </w:rPr>
            </w:pPr>
            <w:r>
              <w:rPr>
                <w:b/>
                <w:bCs/>
                <w:sz w:val="24"/>
                <w:szCs w:val="24"/>
              </w:rPr>
              <w:t>Résultat net</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7 864</w:t>
            </w:r>
          </w:p>
        </w:tc>
        <w:tc>
          <w:tcPr>
            <w:tcW w:w="0" w:type="auto"/>
            <w:tcBorders>
              <w:top w:val="nil"/>
              <w:left w:val="nil"/>
              <w:bottom w:val="single" w:sz="4" w:space="0" w:color="auto"/>
              <w:right w:val="nil"/>
            </w:tcBorders>
            <w:noWrap/>
            <w:vAlign w:val="bottom"/>
          </w:tcPr>
          <w:p w:rsidR="009341CC" w:rsidRDefault="009341CC">
            <w:pPr>
              <w:jc w:val="right"/>
              <w:rPr>
                <w:sz w:val="24"/>
                <w:szCs w:val="24"/>
              </w:rPr>
            </w:pPr>
            <w:r>
              <w:rPr>
                <w:sz w:val="24"/>
                <w:szCs w:val="24"/>
              </w:rPr>
              <w:t>18 300</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-57,0%</w:t>
            </w:r>
          </w:p>
        </w:tc>
      </w:tr>
    </w:tbl>
    <w:p w:rsidR="009341CC" w:rsidRDefault="009341CC"/>
    <w:p w:rsidR="009341CC" w:rsidRDefault="009341CC">
      <w:pPr>
        <w:jc w:val="both"/>
        <w:rPr>
          <w:sz w:val="24"/>
          <w:szCs w:val="24"/>
        </w:rPr>
      </w:pPr>
      <w:r>
        <w:rPr>
          <w:sz w:val="24"/>
          <w:szCs w:val="24"/>
        </w:rPr>
        <w:t>- Le résultat net est positif mais diminue de 57 % en 2008, ce qui est essentiellement dû à la baisse d’activité d’un peu plus de 6 %.</w:t>
      </w:r>
    </w:p>
    <w:p w:rsidR="009341CC" w:rsidRDefault="009341CC">
      <w:pPr>
        <w:jc w:val="both"/>
        <w:rPr>
          <w:sz w:val="24"/>
          <w:szCs w:val="24"/>
        </w:rPr>
      </w:pPr>
      <w:r>
        <w:rPr>
          <w:sz w:val="24"/>
          <w:szCs w:val="24"/>
        </w:rPr>
        <w:t>- Maîtrise satisfaisante des coûts externes et de personnel ainsi que des dotations aux amortissements.</w:t>
      </w:r>
    </w:p>
    <w:p w:rsidR="009341CC" w:rsidRDefault="009341CC">
      <w:pPr>
        <w:jc w:val="both"/>
        <w:rPr>
          <w:sz w:val="24"/>
          <w:szCs w:val="24"/>
        </w:rPr>
      </w:pPr>
      <w:r>
        <w:rPr>
          <w:sz w:val="24"/>
          <w:szCs w:val="24"/>
        </w:rPr>
        <w:t>- Augmentation sensible des charges financières (+ 21,2 %) composées des charges d’intérêt et de dotations financières.</w:t>
      </w:r>
    </w:p>
    <w:p w:rsidR="009341CC" w:rsidRDefault="009341CC">
      <w:pPr>
        <w:jc w:val="both"/>
        <w:rPr>
          <w:sz w:val="24"/>
          <w:szCs w:val="24"/>
        </w:rPr>
      </w:pPr>
      <w:r>
        <w:rPr>
          <w:sz w:val="24"/>
          <w:szCs w:val="24"/>
        </w:rPr>
        <w:t>Cette évolution pèse lourdement sur les résultats dans un contexte de baisse d’activité : le résultat courant diminue de 158 % et devient négatif.</w:t>
      </w:r>
    </w:p>
    <w:p w:rsidR="009341CC" w:rsidRDefault="009341CC">
      <w:pPr>
        <w:pStyle w:val="Corpsdetexte"/>
      </w:pPr>
      <w:r>
        <w:t xml:space="preserve">- Le résultat net demeure positif grâce au résultat exceptionnel qui, tout en diminuant, reste d’un niveau élevé. </w:t>
      </w:r>
    </w:p>
    <w:p w:rsidR="009341CC" w:rsidRDefault="009341CC">
      <w:pPr>
        <w:jc w:val="both"/>
        <w:rPr>
          <w:sz w:val="24"/>
          <w:szCs w:val="24"/>
        </w:rPr>
      </w:pPr>
      <w:r>
        <w:rPr>
          <w:sz w:val="24"/>
          <w:szCs w:val="24"/>
        </w:rPr>
        <w:t>Les importantes cessions d’immobilisations et les plus-values réalisées ont  permis à l’entreprise de demeurer bénéficiaire.</w:t>
      </w:r>
    </w:p>
    <w:p w:rsidR="009341CC" w:rsidRDefault="009341CC">
      <w:pPr>
        <w:jc w:val="both"/>
        <w:rPr>
          <w:sz w:val="24"/>
          <w:szCs w:val="24"/>
        </w:rPr>
      </w:pPr>
    </w:p>
    <w:p w:rsidR="009341CC" w:rsidRDefault="009341CC">
      <w:pPr>
        <w:jc w:val="both"/>
        <w:rPr>
          <w:sz w:val="24"/>
          <w:szCs w:val="24"/>
        </w:rPr>
      </w:pPr>
      <w:r>
        <w:rPr>
          <w:sz w:val="24"/>
          <w:szCs w:val="24"/>
        </w:rPr>
        <w:t xml:space="preserve">Le bénéfice présenté en 2008 n’est donc dû qu’aux cessions d’immobilisations. L’activité </w:t>
      </w:r>
      <w:r w:rsidR="002F4982">
        <w:rPr>
          <w:sz w:val="24"/>
          <w:szCs w:val="24"/>
        </w:rPr>
        <w:t>p</w:t>
      </w:r>
      <w:bookmarkStart w:id="0" w:name="_GoBack"/>
      <w:bookmarkEnd w:id="0"/>
      <w:r>
        <w:rPr>
          <w:sz w:val="24"/>
          <w:szCs w:val="24"/>
        </w:rPr>
        <w:t>roprement dite a produit un résultat négatif en 2008 en raison de la chute de l’activité et du dérapage des charges financières.</w:t>
      </w:r>
    </w:p>
    <w:p w:rsidR="009341CC" w:rsidRDefault="009341CC">
      <w:pPr>
        <w:rPr>
          <w:sz w:val="24"/>
          <w:szCs w:val="24"/>
        </w:rPr>
      </w:pPr>
    </w:p>
    <w:p w:rsidR="009341CC" w:rsidRPr="0033070B" w:rsidRDefault="009341CC">
      <w:pPr>
        <w:rPr>
          <w:bCs/>
          <w:sz w:val="24"/>
          <w:szCs w:val="24"/>
        </w:rPr>
      </w:pPr>
      <w:r>
        <w:rPr>
          <w:b/>
          <w:bCs/>
          <w:sz w:val="24"/>
          <w:szCs w:val="24"/>
        </w:rPr>
        <w:t>2) VA (CDB) et RBE</w:t>
      </w:r>
      <w:r w:rsidR="00C87F42">
        <w:rPr>
          <w:b/>
          <w:bCs/>
          <w:sz w:val="24"/>
          <w:szCs w:val="24"/>
        </w:rPr>
        <w:t xml:space="preserve"> et justification </w:t>
      </w:r>
    </w:p>
    <w:p w:rsidR="009341CC" w:rsidRDefault="00C87F42">
      <w:pPr>
        <w:rPr>
          <w:b/>
          <w:bCs/>
          <w:i/>
          <w:sz w:val="24"/>
          <w:szCs w:val="24"/>
        </w:rPr>
      </w:pPr>
      <w:r>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51"/>
        <w:gridCol w:w="992"/>
      </w:tblGrid>
      <w:tr w:rsidR="00C87F42" w:rsidRPr="00AD1F7D" w:rsidTr="00AD1F7D">
        <w:tc>
          <w:tcPr>
            <w:tcW w:w="4219" w:type="dxa"/>
          </w:tcPr>
          <w:p w:rsidR="00C87F42" w:rsidRPr="00AD1F7D" w:rsidRDefault="00C87F42" w:rsidP="00612DA8">
            <w:pPr>
              <w:rPr>
                <w:bCs/>
                <w:i/>
                <w:sz w:val="24"/>
                <w:szCs w:val="24"/>
              </w:rPr>
            </w:pPr>
            <w:r w:rsidRPr="00AD1F7D">
              <w:rPr>
                <w:bCs/>
                <w:sz w:val="24"/>
                <w:szCs w:val="24"/>
              </w:rPr>
              <w:t>Calcul de la valeur ajoutée</w:t>
            </w:r>
          </w:p>
        </w:tc>
        <w:tc>
          <w:tcPr>
            <w:tcW w:w="851" w:type="dxa"/>
          </w:tcPr>
          <w:p w:rsidR="00C87F42" w:rsidRPr="00AD1F7D" w:rsidRDefault="00C87F42" w:rsidP="00AD1F7D">
            <w:pPr>
              <w:jc w:val="center"/>
              <w:rPr>
                <w:bCs/>
                <w:i/>
                <w:sz w:val="24"/>
                <w:szCs w:val="24"/>
              </w:rPr>
            </w:pPr>
            <w:r w:rsidRPr="00AD1F7D">
              <w:rPr>
                <w:bCs/>
                <w:i/>
                <w:sz w:val="24"/>
                <w:szCs w:val="24"/>
              </w:rPr>
              <w:t>2008</w:t>
            </w:r>
          </w:p>
        </w:tc>
        <w:tc>
          <w:tcPr>
            <w:tcW w:w="992" w:type="dxa"/>
          </w:tcPr>
          <w:p w:rsidR="00C87F42" w:rsidRPr="00AD1F7D" w:rsidRDefault="00C87F42" w:rsidP="00AD1F7D">
            <w:pPr>
              <w:jc w:val="center"/>
              <w:rPr>
                <w:bCs/>
                <w:i/>
                <w:sz w:val="24"/>
                <w:szCs w:val="24"/>
              </w:rPr>
            </w:pPr>
            <w:r w:rsidRPr="00AD1F7D">
              <w:rPr>
                <w:bCs/>
                <w:i/>
                <w:sz w:val="24"/>
                <w:szCs w:val="24"/>
              </w:rPr>
              <w:t>2007</w:t>
            </w:r>
          </w:p>
        </w:tc>
      </w:tr>
      <w:tr w:rsidR="00C87F42" w:rsidRPr="00AD1F7D" w:rsidTr="00AD1F7D">
        <w:tc>
          <w:tcPr>
            <w:tcW w:w="4219" w:type="dxa"/>
          </w:tcPr>
          <w:p w:rsidR="00C87F42" w:rsidRPr="00AD1F7D" w:rsidRDefault="00C87F42">
            <w:pPr>
              <w:rPr>
                <w:bCs/>
                <w:i/>
                <w:sz w:val="24"/>
                <w:szCs w:val="24"/>
              </w:rPr>
            </w:pPr>
            <w:r w:rsidRPr="00AD1F7D">
              <w:rPr>
                <w:bCs/>
                <w:i/>
                <w:sz w:val="24"/>
                <w:szCs w:val="24"/>
              </w:rPr>
              <w:t>Retraitement crédit bail</w:t>
            </w:r>
          </w:p>
        </w:tc>
        <w:tc>
          <w:tcPr>
            <w:tcW w:w="851" w:type="dxa"/>
          </w:tcPr>
          <w:p w:rsidR="00C87F42" w:rsidRPr="00AD1F7D" w:rsidRDefault="00C87F42" w:rsidP="00AD1F7D">
            <w:pPr>
              <w:jc w:val="center"/>
              <w:rPr>
                <w:bCs/>
                <w:i/>
                <w:sz w:val="24"/>
                <w:szCs w:val="24"/>
              </w:rPr>
            </w:pPr>
            <w:r w:rsidRPr="00AD1F7D">
              <w:rPr>
                <w:bCs/>
                <w:i/>
                <w:sz w:val="24"/>
                <w:szCs w:val="24"/>
              </w:rPr>
              <w:t>1</w:t>
            </w:r>
          </w:p>
        </w:tc>
        <w:tc>
          <w:tcPr>
            <w:tcW w:w="992" w:type="dxa"/>
          </w:tcPr>
          <w:p w:rsidR="00C87F42" w:rsidRPr="00AD1F7D" w:rsidRDefault="00C87F42" w:rsidP="00AD1F7D">
            <w:pPr>
              <w:jc w:val="center"/>
              <w:rPr>
                <w:bCs/>
                <w:i/>
                <w:sz w:val="24"/>
                <w:szCs w:val="24"/>
              </w:rPr>
            </w:pPr>
          </w:p>
        </w:tc>
      </w:tr>
      <w:tr w:rsidR="00C87F42" w:rsidRPr="00AD1F7D" w:rsidTr="00AD1F7D">
        <w:tc>
          <w:tcPr>
            <w:tcW w:w="4219" w:type="dxa"/>
          </w:tcPr>
          <w:p w:rsidR="00C87F42" w:rsidRPr="00AD1F7D" w:rsidRDefault="00C87F42">
            <w:pPr>
              <w:rPr>
                <w:bCs/>
                <w:i/>
                <w:sz w:val="24"/>
                <w:szCs w:val="24"/>
              </w:rPr>
            </w:pPr>
            <w:r w:rsidRPr="00AD1F7D">
              <w:rPr>
                <w:bCs/>
                <w:i/>
                <w:sz w:val="24"/>
                <w:szCs w:val="24"/>
              </w:rPr>
              <w:t>Retraitement personnel extérieur</w:t>
            </w:r>
          </w:p>
        </w:tc>
        <w:tc>
          <w:tcPr>
            <w:tcW w:w="851" w:type="dxa"/>
          </w:tcPr>
          <w:p w:rsidR="00C87F42" w:rsidRPr="00AD1F7D" w:rsidRDefault="00C87F42" w:rsidP="00AD1F7D">
            <w:pPr>
              <w:jc w:val="center"/>
              <w:rPr>
                <w:bCs/>
                <w:i/>
                <w:sz w:val="24"/>
                <w:szCs w:val="24"/>
              </w:rPr>
            </w:pPr>
            <w:r w:rsidRPr="00AD1F7D">
              <w:rPr>
                <w:bCs/>
                <w:i/>
                <w:sz w:val="24"/>
                <w:szCs w:val="24"/>
              </w:rPr>
              <w:t>1</w:t>
            </w:r>
          </w:p>
        </w:tc>
        <w:tc>
          <w:tcPr>
            <w:tcW w:w="992" w:type="dxa"/>
          </w:tcPr>
          <w:p w:rsidR="00C87F42" w:rsidRPr="00AD1F7D" w:rsidRDefault="00C87F42" w:rsidP="00AD1F7D">
            <w:pPr>
              <w:jc w:val="center"/>
              <w:rPr>
                <w:bCs/>
                <w:i/>
                <w:sz w:val="24"/>
                <w:szCs w:val="24"/>
              </w:rPr>
            </w:pPr>
            <w:r w:rsidRPr="00AD1F7D">
              <w:rPr>
                <w:bCs/>
                <w:i/>
                <w:sz w:val="24"/>
                <w:szCs w:val="24"/>
              </w:rPr>
              <w:t>1</w:t>
            </w:r>
          </w:p>
        </w:tc>
      </w:tr>
      <w:tr w:rsidR="00C87F42" w:rsidRPr="00AD1F7D" w:rsidTr="00AD1F7D">
        <w:tc>
          <w:tcPr>
            <w:tcW w:w="4219" w:type="dxa"/>
          </w:tcPr>
          <w:p w:rsidR="00C87F42" w:rsidRPr="00AD1F7D" w:rsidRDefault="00C87F42">
            <w:pPr>
              <w:rPr>
                <w:bCs/>
                <w:i/>
                <w:sz w:val="24"/>
                <w:szCs w:val="24"/>
              </w:rPr>
            </w:pPr>
            <w:r w:rsidRPr="00AD1F7D">
              <w:rPr>
                <w:bCs/>
                <w:i/>
                <w:sz w:val="24"/>
                <w:szCs w:val="24"/>
              </w:rPr>
              <w:t>Retraitement subvention d'exploitation</w:t>
            </w:r>
          </w:p>
        </w:tc>
        <w:tc>
          <w:tcPr>
            <w:tcW w:w="851" w:type="dxa"/>
          </w:tcPr>
          <w:p w:rsidR="00C87F42" w:rsidRPr="00AD1F7D" w:rsidRDefault="00C87F42" w:rsidP="00AD1F7D">
            <w:pPr>
              <w:jc w:val="center"/>
              <w:rPr>
                <w:bCs/>
                <w:i/>
                <w:sz w:val="24"/>
                <w:szCs w:val="24"/>
              </w:rPr>
            </w:pPr>
          </w:p>
        </w:tc>
        <w:tc>
          <w:tcPr>
            <w:tcW w:w="992" w:type="dxa"/>
          </w:tcPr>
          <w:p w:rsidR="00C87F42" w:rsidRPr="00AD1F7D" w:rsidRDefault="00C87F42" w:rsidP="00AD1F7D">
            <w:pPr>
              <w:jc w:val="center"/>
              <w:rPr>
                <w:bCs/>
                <w:i/>
                <w:sz w:val="24"/>
                <w:szCs w:val="24"/>
              </w:rPr>
            </w:pPr>
            <w:r w:rsidRPr="00AD1F7D">
              <w:rPr>
                <w:bCs/>
                <w:i/>
                <w:sz w:val="24"/>
                <w:szCs w:val="24"/>
              </w:rPr>
              <w:t>1</w:t>
            </w:r>
          </w:p>
        </w:tc>
      </w:tr>
    </w:tbl>
    <w:p w:rsidR="00C87F42" w:rsidRPr="0033070B" w:rsidRDefault="00C87F42">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51"/>
        <w:gridCol w:w="992"/>
      </w:tblGrid>
      <w:tr w:rsidR="00C87F42" w:rsidRPr="00AD1F7D" w:rsidTr="00AD1F7D">
        <w:tc>
          <w:tcPr>
            <w:tcW w:w="4219" w:type="dxa"/>
          </w:tcPr>
          <w:p w:rsidR="00C87F42" w:rsidRPr="00AD1F7D" w:rsidRDefault="00C87F42" w:rsidP="00612DA8">
            <w:pPr>
              <w:rPr>
                <w:bCs/>
                <w:i/>
                <w:sz w:val="24"/>
                <w:szCs w:val="24"/>
              </w:rPr>
            </w:pPr>
            <w:r w:rsidRPr="00AD1F7D">
              <w:rPr>
                <w:bCs/>
                <w:sz w:val="24"/>
                <w:szCs w:val="24"/>
              </w:rPr>
              <w:t>Calcul du RBE</w:t>
            </w:r>
          </w:p>
        </w:tc>
        <w:tc>
          <w:tcPr>
            <w:tcW w:w="851" w:type="dxa"/>
          </w:tcPr>
          <w:p w:rsidR="00C87F42" w:rsidRPr="00AD1F7D" w:rsidRDefault="00C87F42" w:rsidP="00AD1F7D">
            <w:pPr>
              <w:jc w:val="center"/>
              <w:rPr>
                <w:bCs/>
                <w:i/>
                <w:sz w:val="24"/>
                <w:szCs w:val="24"/>
              </w:rPr>
            </w:pPr>
            <w:r w:rsidRPr="00AD1F7D">
              <w:rPr>
                <w:bCs/>
                <w:i/>
                <w:sz w:val="24"/>
                <w:szCs w:val="24"/>
              </w:rPr>
              <w:t>2008</w:t>
            </w:r>
          </w:p>
        </w:tc>
        <w:tc>
          <w:tcPr>
            <w:tcW w:w="992" w:type="dxa"/>
          </w:tcPr>
          <w:p w:rsidR="00C87F42" w:rsidRPr="00AD1F7D" w:rsidRDefault="00C87F42" w:rsidP="00AD1F7D">
            <w:pPr>
              <w:jc w:val="center"/>
              <w:rPr>
                <w:bCs/>
                <w:i/>
                <w:sz w:val="24"/>
                <w:szCs w:val="24"/>
              </w:rPr>
            </w:pPr>
            <w:r w:rsidRPr="00AD1F7D">
              <w:rPr>
                <w:bCs/>
                <w:i/>
                <w:sz w:val="24"/>
                <w:szCs w:val="24"/>
              </w:rPr>
              <w:t>2007</w:t>
            </w:r>
          </w:p>
        </w:tc>
      </w:tr>
      <w:tr w:rsidR="00C87F42" w:rsidRPr="00AD1F7D" w:rsidTr="00AD1F7D">
        <w:tc>
          <w:tcPr>
            <w:tcW w:w="4219" w:type="dxa"/>
          </w:tcPr>
          <w:p w:rsidR="00C87F42" w:rsidRPr="00AD1F7D" w:rsidRDefault="00C87F42" w:rsidP="009341CC">
            <w:pPr>
              <w:rPr>
                <w:bCs/>
                <w:i/>
                <w:sz w:val="24"/>
                <w:szCs w:val="24"/>
              </w:rPr>
            </w:pPr>
            <w:r w:rsidRPr="00AD1F7D">
              <w:rPr>
                <w:bCs/>
                <w:i/>
                <w:sz w:val="24"/>
                <w:szCs w:val="24"/>
              </w:rPr>
              <w:t xml:space="preserve">Retraitement crédit bail </w:t>
            </w:r>
          </w:p>
        </w:tc>
        <w:tc>
          <w:tcPr>
            <w:tcW w:w="851" w:type="dxa"/>
          </w:tcPr>
          <w:p w:rsidR="00C87F42" w:rsidRPr="00AD1F7D" w:rsidRDefault="00C87F42" w:rsidP="00AD1F7D">
            <w:pPr>
              <w:jc w:val="center"/>
              <w:rPr>
                <w:bCs/>
                <w:i/>
                <w:sz w:val="24"/>
                <w:szCs w:val="24"/>
              </w:rPr>
            </w:pPr>
            <w:r w:rsidRPr="00AD1F7D">
              <w:rPr>
                <w:bCs/>
                <w:i/>
                <w:sz w:val="24"/>
                <w:szCs w:val="24"/>
              </w:rPr>
              <w:t>2</w:t>
            </w:r>
          </w:p>
        </w:tc>
        <w:tc>
          <w:tcPr>
            <w:tcW w:w="992" w:type="dxa"/>
          </w:tcPr>
          <w:p w:rsidR="00C87F42" w:rsidRPr="00AD1F7D" w:rsidRDefault="00C87F42" w:rsidP="00AD1F7D">
            <w:pPr>
              <w:jc w:val="center"/>
              <w:rPr>
                <w:bCs/>
                <w:i/>
                <w:sz w:val="24"/>
                <w:szCs w:val="24"/>
              </w:rPr>
            </w:pPr>
          </w:p>
        </w:tc>
      </w:tr>
      <w:tr w:rsidR="00C87F42" w:rsidRPr="00AD1F7D" w:rsidTr="00AD1F7D">
        <w:tc>
          <w:tcPr>
            <w:tcW w:w="4219" w:type="dxa"/>
          </w:tcPr>
          <w:p w:rsidR="00C87F42" w:rsidRPr="00AD1F7D" w:rsidRDefault="00C87F42" w:rsidP="009341CC">
            <w:pPr>
              <w:rPr>
                <w:bCs/>
                <w:i/>
                <w:sz w:val="24"/>
                <w:szCs w:val="24"/>
              </w:rPr>
            </w:pPr>
            <w:r w:rsidRPr="00AD1F7D">
              <w:rPr>
                <w:bCs/>
                <w:i/>
                <w:sz w:val="24"/>
                <w:szCs w:val="24"/>
              </w:rPr>
              <w:t xml:space="preserve">Autres produits </w:t>
            </w:r>
          </w:p>
        </w:tc>
        <w:tc>
          <w:tcPr>
            <w:tcW w:w="851" w:type="dxa"/>
          </w:tcPr>
          <w:p w:rsidR="00C87F42" w:rsidRPr="00AD1F7D" w:rsidRDefault="00C87F42" w:rsidP="00AD1F7D">
            <w:pPr>
              <w:jc w:val="center"/>
              <w:rPr>
                <w:bCs/>
                <w:i/>
                <w:sz w:val="24"/>
                <w:szCs w:val="24"/>
              </w:rPr>
            </w:pPr>
          </w:p>
        </w:tc>
        <w:tc>
          <w:tcPr>
            <w:tcW w:w="992" w:type="dxa"/>
          </w:tcPr>
          <w:p w:rsidR="00C87F42" w:rsidRPr="00AD1F7D" w:rsidRDefault="00C87F42" w:rsidP="00AD1F7D">
            <w:pPr>
              <w:jc w:val="center"/>
              <w:rPr>
                <w:bCs/>
                <w:i/>
                <w:sz w:val="24"/>
                <w:szCs w:val="24"/>
              </w:rPr>
            </w:pPr>
            <w:r w:rsidRPr="00AD1F7D">
              <w:rPr>
                <w:bCs/>
                <w:i/>
                <w:sz w:val="24"/>
                <w:szCs w:val="24"/>
              </w:rPr>
              <w:t>0,5</w:t>
            </w:r>
          </w:p>
        </w:tc>
      </w:tr>
      <w:tr w:rsidR="00C87F42" w:rsidRPr="00AD1F7D" w:rsidTr="00AD1F7D">
        <w:tc>
          <w:tcPr>
            <w:tcW w:w="4219" w:type="dxa"/>
          </w:tcPr>
          <w:p w:rsidR="00C87F42" w:rsidRPr="00AD1F7D" w:rsidRDefault="00C87F42" w:rsidP="009341CC">
            <w:pPr>
              <w:rPr>
                <w:bCs/>
                <w:i/>
                <w:sz w:val="24"/>
                <w:szCs w:val="24"/>
              </w:rPr>
            </w:pPr>
            <w:r w:rsidRPr="00AD1F7D">
              <w:rPr>
                <w:bCs/>
                <w:i/>
                <w:sz w:val="24"/>
                <w:szCs w:val="24"/>
              </w:rPr>
              <w:t>Autres charges</w:t>
            </w:r>
          </w:p>
        </w:tc>
        <w:tc>
          <w:tcPr>
            <w:tcW w:w="851" w:type="dxa"/>
          </w:tcPr>
          <w:p w:rsidR="00C87F42" w:rsidRPr="00AD1F7D" w:rsidRDefault="00C87F42" w:rsidP="00AD1F7D">
            <w:pPr>
              <w:jc w:val="center"/>
              <w:rPr>
                <w:bCs/>
                <w:i/>
                <w:sz w:val="24"/>
                <w:szCs w:val="24"/>
              </w:rPr>
            </w:pPr>
          </w:p>
        </w:tc>
        <w:tc>
          <w:tcPr>
            <w:tcW w:w="992" w:type="dxa"/>
          </w:tcPr>
          <w:p w:rsidR="00C87F42" w:rsidRPr="00AD1F7D" w:rsidRDefault="00C87F42" w:rsidP="00AD1F7D">
            <w:pPr>
              <w:jc w:val="center"/>
              <w:rPr>
                <w:bCs/>
                <w:i/>
                <w:sz w:val="24"/>
                <w:szCs w:val="24"/>
              </w:rPr>
            </w:pPr>
            <w:r w:rsidRPr="00AD1F7D">
              <w:rPr>
                <w:bCs/>
                <w:i/>
                <w:sz w:val="24"/>
                <w:szCs w:val="24"/>
              </w:rPr>
              <w:t>0,5</w:t>
            </w:r>
          </w:p>
        </w:tc>
      </w:tr>
    </w:tbl>
    <w:p w:rsidR="009341CC" w:rsidRDefault="009341CC">
      <w:pPr>
        <w:rPr>
          <w:sz w:val="24"/>
          <w:szCs w:val="24"/>
        </w:rPr>
      </w:pPr>
      <w:r>
        <w:rPr>
          <w:sz w:val="24"/>
          <w:szCs w:val="24"/>
        </w:rPr>
        <w:lastRenderedPageBreak/>
        <w:t>Ces soldes peuvent être calculés directement o</w:t>
      </w:r>
      <w:r w:rsidR="00612DA8">
        <w:rPr>
          <w:sz w:val="24"/>
          <w:szCs w:val="24"/>
        </w:rPr>
        <w:t>u par correction des soldes PCG :</w:t>
      </w:r>
    </w:p>
    <w:p w:rsidR="00612DA8" w:rsidRDefault="00612DA8">
      <w:pPr>
        <w:rPr>
          <w:sz w:val="24"/>
          <w:szCs w:val="24"/>
        </w:rPr>
      </w:pPr>
    </w:p>
    <w:p w:rsidR="009341CC" w:rsidRDefault="009341CC">
      <w:pPr>
        <w:numPr>
          <w:ilvl w:val="0"/>
          <w:numId w:val="2"/>
        </w:numPr>
        <w:rPr>
          <w:sz w:val="24"/>
          <w:szCs w:val="24"/>
        </w:rPr>
      </w:pPr>
      <w:r>
        <w:rPr>
          <w:sz w:val="24"/>
          <w:szCs w:val="24"/>
          <w:u w:val="single"/>
        </w:rPr>
        <w:t>Calcul direct</w:t>
      </w:r>
    </w:p>
    <w:tbl>
      <w:tblPr>
        <w:tblW w:w="0" w:type="auto"/>
        <w:tblInd w:w="55" w:type="dxa"/>
        <w:tblCellMar>
          <w:left w:w="70" w:type="dxa"/>
          <w:right w:w="70" w:type="dxa"/>
        </w:tblCellMar>
        <w:tblLook w:val="0000" w:firstRow="0" w:lastRow="0" w:firstColumn="0" w:lastColumn="0" w:noHBand="0" w:noVBand="0"/>
      </w:tblPr>
      <w:tblGrid>
        <w:gridCol w:w="2693"/>
        <w:gridCol w:w="920"/>
        <w:gridCol w:w="920"/>
      </w:tblGrid>
      <w:tr w:rsidR="009341CC">
        <w:trPr>
          <w:trHeight w:val="240"/>
        </w:trPr>
        <w:tc>
          <w:tcPr>
            <w:tcW w:w="0" w:type="auto"/>
            <w:tcBorders>
              <w:top w:val="single" w:sz="4" w:space="0" w:color="auto"/>
              <w:left w:val="single" w:sz="4" w:space="0" w:color="auto"/>
              <w:bottom w:val="nil"/>
              <w:right w:val="nil"/>
            </w:tcBorders>
            <w:noWrap/>
            <w:vAlign w:val="bottom"/>
          </w:tcPr>
          <w:p w:rsidR="009341CC" w:rsidRDefault="009341CC">
            <w:pPr>
              <w:rPr>
                <w:sz w:val="24"/>
                <w:szCs w:val="24"/>
              </w:rPr>
            </w:pPr>
            <w:r>
              <w:rPr>
                <w:sz w:val="24"/>
                <w:szCs w:val="24"/>
              </w:rPr>
              <w:t>Production vendue</w:t>
            </w:r>
          </w:p>
        </w:tc>
        <w:tc>
          <w:tcPr>
            <w:tcW w:w="0" w:type="auto"/>
            <w:tcBorders>
              <w:top w:val="single" w:sz="4" w:space="0" w:color="auto"/>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369 458</w:t>
            </w:r>
          </w:p>
        </w:tc>
        <w:tc>
          <w:tcPr>
            <w:tcW w:w="0" w:type="auto"/>
            <w:tcBorders>
              <w:top w:val="single" w:sz="4" w:space="0" w:color="auto"/>
              <w:left w:val="nil"/>
              <w:bottom w:val="nil"/>
              <w:right w:val="single" w:sz="4" w:space="0" w:color="auto"/>
            </w:tcBorders>
            <w:noWrap/>
            <w:vAlign w:val="bottom"/>
          </w:tcPr>
          <w:p w:rsidR="009341CC" w:rsidRDefault="009341CC">
            <w:pPr>
              <w:jc w:val="right"/>
              <w:rPr>
                <w:sz w:val="24"/>
                <w:szCs w:val="24"/>
              </w:rPr>
            </w:pPr>
            <w:r>
              <w:rPr>
                <w:sz w:val="24"/>
                <w:szCs w:val="24"/>
              </w:rPr>
              <w:t>394 023</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Production stockée</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1 162</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2 541</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Subvention d'</w:t>
            </w:r>
            <w:proofErr w:type="spellStart"/>
            <w:r>
              <w:rPr>
                <w:sz w:val="24"/>
                <w:szCs w:val="24"/>
              </w:rPr>
              <w:t>expl</w:t>
            </w:r>
            <w:proofErr w:type="spellEnd"/>
          </w:p>
        </w:tc>
        <w:tc>
          <w:tcPr>
            <w:tcW w:w="0" w:type="auto"/>
            <w:tcBorders>
              <w:top w:val="nil"/>
              <w:left w:val="single" w:sz="4" w:space="0" w:color="auto"/>
              <w:bottom w:val="nil"/>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3 500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Achats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-79 674</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-84 250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Variation de stocks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-6 774</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-6 635</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Achats et ch. externes</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-42 300</w:t>
            </w:r>
          </w:p>
        </w:tc>
        <w:tc>
          <w:tcPr>
            <w:tcW w:w="0" w:type="auto"/>
            <w:tcBorders>
              <w:top w:val="nil"/>
              <w:left w:val="nil"/>
              <w:bottom w:val="single" w:sz="4" w:space="0" w:color="auto"/>
              <w:right w:val="single" w:sz="4" w:space="0" w:color="auto"/>
            </w:tcBorders>
            <w:noWrap/>
            <w:vAlign w:val="bottom"/>
          </w:tcPr>
          <w:p w:rsidR="009341CC" w:rsidRDefault="009341CC">
            <w:pPr>
              <w:jc w:val="right"/>
              <w:rPr>
                <w:sz w:val="24"/>
                <w:szCs w:val="24"/>
              </w:rPr>
            </w:pPr>
            <w:r>
              <w:rPr>
                <w:sz w:val="24"/>
                <w:szCs w:val="24"/>
              </w:rPr>
              <w:t>-58 620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b/>
                <w:bCs/>
                <w:sz w:val="24"/>
                <w:szCs w:val="24"/>
              </w:rPr>
            </w:pPr>
            <w:r>
              <w:rPr>
                <w:b/>
                <w:bCs/>
                <w:sz w:val="24"/>
                <w:szCs w:val="24"/>
              </w:rPr>
              <w:t>VA (CDB)</w:t>
            </w:r>
          </w:p>
        </w:tc>
        <w:tc>
          <w:tcPr>
            <w:tcW w:w="0" w:type="auto"/>
            <w:tcBorders>
              <w:top w:val="nil"/>
              <w:left w:val="single" w:sz="4" w:space="0" w:color="auto"/>
              <w:bottom w:val="nil"/>
              <w:right w:val="single" w:sz="4" w:space="0" w:color="auto"/>
            </w:tcBorders>
            <w:noWrap/>
            <w:vAlign w:val="bottom"/>
          </w:tcPr>
          <w:p w:rsidR="009341CC" w:rsidRDefault="009341CC">
            <w:pPr>
              <w:jc w:val="right"/>
              <w:rPr>
                <w:b/>
                <w:bCs/>
                <w:sz w:val="24"/>
                <w:szCs w:val="24"/>
              </w:rPr>
            </w:pPr>
            <w:r>
              <w:rPr>
                <w:b/>
                <w:bCs/>
                <w:sz w:val="24"/>
                <w:szCs w:val="24"/>
              </w:rPr>
              <w:t>241 872</w:t>
            </w:r>
          </w:p>
        </w:tc>
        <w:tc>
          <w:tcPr>
            <w:tcW w:w="0" w:type="auto"/>
            <w:tcBorders>
              <w:top w:val="nil"/>
              <w:left w:val="nil"/>
              <w:bottom w:val="nil"/>
              <w:right w:val="single" w:sz="4" w:space="0" w:color="auto"/>
            </w:tcBorders>
            <w:noWrap/>
            <w:vAlign w:val="bottom"/>
          </w:tcPr>
          <w:p w:rsidR="009341CC" w:rsidRDefault="009341CC">
            <w:pPr>
              <w:jc w:val="right"/>
              <w:rPr>
                <w:b/>
                <w:bCs/>
                <w:sz w:val="24"/>
                <w:szCs w:val="24"/>
              </w:rPr>
            </w:pPr>
            <w:r>
              <w:rPr>
                <w:b/>
                <w:bCs/>
                <w:sz w:val="24"/>
                <w:szCs w:val="24"/>
              </w:rPr>
              <w:t>250 559</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impôts et taxes</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-29 491</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-41 536</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charges de personnel </w:t>
            </w:r>
            <w:r>
              <w:rPr>
                <w:b/>
                <w:bCs/>
                <w:sz w:val="24"/>
                <w:szCs w:val="24"/>
              </w:rPr>
              <w:t>(1)</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-90 545</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-91 030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autres produits</w:t>
            </w:r>
          </w:p>
        </w:tc>
        <w:tc>
          <w:tcPr>
            <w:tcW w:w="0" w:type="auto"/>
            <w:tcBorders>
              <w:top w:val="nil"/>
              <w:left w:val="single" w:sz="4" w:space="0" w:color="auto"/>
              <w:bottom w:val="nil"/>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450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autres charges</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single" w:sz="4" w:space="0" w:color="auto"/>
              <w:right w:val="single" w:sz="4" w:space="0" w:color="auto"/>
            </w:tcBorders>
            <w:noWrap/>
            <w:vAlign w:val="bottom"/>
          </w:tcPr>
          <w:p w:rsidR="009341CC" w:rsidRDefault="009341CC">
            <w:pPr>
              <w:jc w:val="right"/>
              <w:rPr>
                <w:sz w:val="24"/>
                <w:szCs w:val="24"/>
              </w:rPr>
            </w:pPr>
            <w:r>
              <w:rPr>
                <w:sz w:val="24"/>
                <w:szCs w:val="24"/>
              </w:rPr>
              <w:t>-330</w:t>
            </w:r>
          </w:p>
        </w:tc>
      </w:tr>
      <w:tr w:rsidR="009341CC">
        <w:trPr>
          <w:trHeight w:val="240"/>
        </w:trPr>
        <w:tc>
          <w:tcPr>
            <w:tcW w:w="0" w:type="auto"/>
            <w:tcBorders>
              <w:top w:val="nil"/>
              <w:left w:val="single" w:sz="4" w:space="0" w:color="auto"/>
              <w:bottom w:val="single" w:sz="4" w:space="0" w:color="auto"/>
              <w:right w:val="nil"/>
            </w:tcBorders>
            <w:noWrap/>
            <w:vAlign w:val="bottom"/>
          </w:tcPr>
          <w:p w:rsidR="009341CC" w:rsidRDefault="009341CC">
            <w:pPr>
              <w:rPr>
                <w:b/>
                <w:bCs/>
                <w:sz w:val="24"/>
                <w:szCs w:val="24"/>
              </w:rPr>
            </w:pPr>
            <w:r>
              <w:rPr>
                <w:b/>
                <w:bCs/>
                <w:sz w:val="24"/>
                <w:szCs w:val="24"/>
              </w:rPr>
              <w:t>RBE</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121 836</w:t>
            </w:r>
          </w:p>
        </w:tc>
        <w:tc>
          <w:tcPr>
            <w:tcW w:w="0" w:type="auto"/>
            <w:tcBorders>
              <w:top w:val="nil"/>
              <w:left w:val="nil"/>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118 113</w:t>
            </w:r>
          </w:p>
        </w:tc>
      </w:tr>
    </w:tbl>
    <w:p w:rsidR="009341CC" w:rsidRDefault="009341CC">
      <w:pPr>
        <w:ind w:left="57"/>
      </w:pPr>
    </w:p>
    <w:p w:rsidR="009341CC" w:rsidRDefault="009341CC">
      <w:pPr>
        <w:ind w:left="57"/>
      </w:pPr>
      <w:r>
        <w:t>(1) 90545 = 81095 + 9450</w:t>
      </w:r>
    </w:p>
    <w:p w:rsidR="009341CC" w:rsidRDefault="009341CC">
      <w:pPr>
        <w:ind w:left="57" w:firstLine="227"/>
      </w:pPr>
      <w:r>
        <w:t xml:space="preserve">  91030 = 82530 + 8500</w:t>
      </w:r>
    </w:p>
    <w:p w:rsidR="009341CC" w:rsidRDefault="009341CC">
      <w:pPr>
        <w:ind w:left="57"/>
      </w:pPr>
    </w:p>
    <w:p w:rsidR="009341CC" w:rsidRDefault="009341CC">
      <w:pPr>
        <w:numPr>
          <w:ilvl w:val="0"/>
          <w:numId w:val="1"/>
        </w:numPr>
        <w:rPr>
          <w:sz w:val="24"/>
          <w:szCs w:val="24"/>
        </w:rPr>
      </w:pPr>
      <w:r>
        <w:rPr>
          <w:sz w:val="24"/>
          <w:szCs w:val="24"/>
          <w:u w:val="single"/>
        </w:rPr>
        <w:t>Correction des soldes PCG</w:t>
      </w:r>
    </w:p>
    <w:p w:rsidR="009341CC" w:rsidRDefault="009341CC">
      <w:pPr>
        <w:ind w:left="57"/>
        <w:rPr>
          <w:sz w:val="24"/>
          <w:szCs w:val="24"/>
        </w:rPr>
      </w:pPr>
    </w:p>
    <w:tbl>
      <w:tblPr>
        <w:tblW w:w="0" w:type="auto"/>
        <w:tblInd w:w="55" w:type="dxa"/>
        <w:tblCellMar>
          <w:left w:w="70" w:type="dxa"/>
          <w:right w:w="70" w:type="dxa"/>
        </w:tblCellMar>
        <w:tblLook w:val="0000" w:firstRow="0" w:lastRow="0" w:firstColumn="0" w:lastColumn="0" w:noHBand="0" w:noVBand="0"/>
      </w:tblPr>
      <w:tblGrid>
        <w:gridCol w:w="2242"/>
        <w:gridCol w:w="920"/>
        <w:gridCol w:w="920"/>
      </w:tblGrid>
      <w:tr w:rsidR="009341CC">
        <w:trPr>
          <w:trHeight w:val="240"/>
        </w:trPr>
        <w:tc>
          <w:tcPr>
            <w:tcW w:w="0" w:type="auto"/>
            <w:tcBorders>
              <w:top w:val="single" w:sz="4" w:space="0" w:color="auto"/>
              <w:left w:val="single" w:sz="4" w:space="0" w:color="auto"/>
              <w:bottom w:val="nil"/>
              <w:right w:val="nil"/>
            </w:tcBorders>
            <w:noWrap/>
            <w:vAlign w:val="bottom"/>
          </w:tcPr>
          <w:p w:rsidR="009341CC" w:rsidRDefault="009341CC">
            <w:pPr>
              <w:rPr>
                <w:sz w:val="24"/>
                <w:szCs w:val="24"/>
              </w:rPr>
            </w:pPr>
            <w:r>
              <w:rPr>
                <w:sz w:val="24"/>
                <w:szCs w:val="24"/>
              </w:rPr>
              <w:t>VA PCG</w:t>
            </w:r>
          </w:p>
        </w:tc>
        <w:tc>
          <w:tcPr>
            <w:tcW w:w="0" w:type="auto"/>
            <w:tcBorders>
              <w:top w:val="single" w:sz="4" w:space="0" w:color="auto"/>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221 172</w:t>
            </w:r>
          </w:p>
        </w:tc>
        <w:tc>
          <w:tcPr>
            <w:tcW w:w="0" w:type="auto"/>
            <w:tcBorders>
              <w:top w:val="single" w:sz="4" w:space="0" w:color="auto"/>
              <w:left w:val="nil"/>
              <w:bottom w:val="nil"/>
              <w:right w:val="single" w:sz="4" w:space="0" w:color="auto"/>
            </w:tcBorders>
            <w:noWrap/>
            <w:vAlign w:val="bottom"/>
          </w:tcPr>
          <w:p w:rsidR="009341CC" w:rsidRDefault="009341CC">
            <w:pPr>
              <w:jc w:val="right"/>
              <w:rPr>
                <w:sz w:val="24"/>
                <w:szCs w:val="24"/>
              </w:rPr>
            </w:pPr>
            <w:r>
              <w:rPr>
                <w:sz w:val="24"/>
                <w:szCs w:val="24"/>
              </w:rPr>
              <w:t>238 559</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subvention </w:t>
            </w:r>
            <w:proofErr w:type="spellStart"/>
            <w:r>
              <w:rPr>
                <w:sz w:val="24"/>
                <w:szCs w:val="24"/>
              </w:rPr>
              <w:t>expl</w:t>
            </w:r>
            <w:proofErr w:type="spellEnd"/>
          </w:p>
        </w:tc>
        <w:tc>
          <w:tcPr>
            <w:tcW w:w="0" w:type="auto"/>
            <w:tcBorders>
              <w:top w:val="nil"/>
              <w:left w:val="single" w:sz="4" w:space="0" w:color="auto"/>
              <w:bottom w:val="nil"/>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3 500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loyer crédit-bail</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11 250</w:t>
            </w:r>
          </w:p>
        </w:tc>
        <w:tc>
          <w:tcPr>
            <w:tcW w:w="0" w:type="auto"/>
            <w:tcBorders>
              <w:top w:val="nil"/>
              <w:left w:val="nil"/>
              <w:bottom w:val="nil"/>
              <w:right w:val="single" w:sz="4" w:space="0" w:color="auto"/>
            </w:tcBorders>
            <w:noWrap/>
            <w:vAlign w:val="bottom"/>
          </w:tcPr>
          <w:p w:rsidR="009341CC" w:rsidRDefault="009341CC">
            <w:pPr>
              <w:rPr>
                <w:sz w:val="24"/>
                <w:szCs w:val="24"/>
              </w:rPr>
            </w:pPr>
            <w:r>
              <w:rPr>
                <w:sz w:val="24"/>
                <w:szCs w:val="24"/>
              </w:rPr>
              <w:t> </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personnel extérieur</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sz w:val="24"/>
                <w:szCs w:val="24"/>
              </w:rPr>
            </w:pPr>
            <w:r>
              <w:rPr>
                <w:sz w:val="24"/>
                <w:szCs w:val="24"/>
              </w:rPr>
              <w:t>9 450</w:t>
            </w:r>
          </w:p>
        </w:tc>
        <w:tc>
          <w:tcPr>
            <w:tcW w:w="0" w:type="auto"/>
            <w:tcBorders>
              <w:top w:val="nil"/>
              <w:left w:val="nil"/>
              <w:bottom w:val="single" w:sz="4" w:space="0" w:color="auto"/>
              <w:right w:val="single" w:sz="4" w:space="0" w:color="auto"/>
            </w:tcBorders>
            <w:noWrap/>
            <w:vAlign w:val="bottom"/>
          </w:tcPr>
          <w:p w:rsidR="009341CC" w:rsidRDefault="009341CC">
            <w:pPr>
              <w:jc w:val="right"/>
              <w:rPr>
                <w:sz w:val="24"/>
                <w:szCs w:val="24"/>
              </w:rPr>
            </w:pPr>
            <w:r>
              <w:rPr>
                <w:sz w:val="24"/>
                <w:szCs w:val="24"/>
              </w:rPr>
              <w:t>8 500</w:t>
            </w:r>
          </w:p>
        </w:tc>
      </w:tr>
      <w:tr w:rsidR="009341CC">
        <w:trPr>
          <w:trHeight w:val="240"/>
        </w:trPr>
        <w:tc>
          <w:tcPr>
            <w:tcW w:w="0" w:type="auto"/>
            <w:tcBorders>
              <w:top w:val="nil"/>
              <w:left w:val="single" w:sz="4" w:space="0" w:color="auto"/>
              <w:bottom w:val="single" w:sz="4" w:space="0" w:color="auto"/>
              <w:right w:val="nil"/>
            </w:tcBorders>
            <w:noWrap/>
            <w:vAlign w:val="bottom"/>
          </w:tcPr>
          <w:p w:rsidR="009341CC" w:rsidRDefault="009341CC">
            <w:pPr>
              <w:rPr>
                <w:b/>
                <w:bCs/>
                <w:sz w:val="24"/>
                <w:szCs w:val="24"/>
              </w:rPr>
            </w:pPr>
            <w:r>
              <w:rPr>
                <w:b/>
                <w:bCs/>
                <w:sz w:val="24"/>
                <w:szCs w:val="24"/>
              </w:rPr>
              <w:t>VA (CDB)</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241 872</w:t>
            </w:r>
          </w:p>
        </w:tc>
        <w:tc>
          <w:tcPr>
            <w:tcW w:w="0" w:type="auto"/>
            <w:tcBorders>
              <w:top w:val="nil"/>
              <w:left w:val="nil"/>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250 559</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w:t>
            </w:r>
          </w:p>
        </w:tc>
        <w:tc>
          <w:tcPr>
            <w:tcW w:w="0" w:type="auto"/>
            <w:tcBorders>
              <w:top w:val="nil"/>
              <w:left w:val="single" w:sz="4" w:space="0" w:color="auto"/>
              <w:bottom w:val="nil"/>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nil"/>
              <w:right w:val="single" w:sz="4" w:space="0" w:color="auto"/>
            </w:tcBorders>
            <w:noWrap/>
            <w:vAlign w:val="bottom"/>
          </w:tcPr>
          <w:p w:rsidR="009341CC" w:rsidRDefault="009341CC">
            <w:pPr>
              <w:rPr>
                <w:sz w:val="24"/>
                <w:szCs w:val="24"/>
              </w:rPr>
            </w:pPr>
            <w:r>
              <w:rPr>
                <w:sz w:val="24"/>
                <w:szCs w:val="24"/>
              </w:rPr>
              <w:t> </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EBE</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110 586</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117 993</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loyer crédit-bail</w:t>
            </w:r>
          </w:p>
        </w:tc>
        <w:tc>
          <w:tcPr>
            <w:tcW w:w="0" w:type="auto"/>
            <w:tcBorders>
              <w:top w:val="nil"/>
              <w:left w:val="single" w:sz="4" w:space="0" w:color="auto"/>
              <w:bottom w:val="nil"/>
              <w:right w:val="single" w:sz="4" w:space="0" w:color="auto"/>
            </w:tcBorders>
            <w:noWrap/>
            <w:vAlign w:val="bottom"/>
          </w:tcPr>
          <w:p w:rsidR="009341CC" w:rsidRDefault="009341CC">
            <w:pPr>
              <w:jc w:val="right"/>
              <w:rPr>
                <w:sz w:val="24"/>
                <w:szCs w:val="24"/>
              </w:rPr>
            </w:pPr>
            <w:r>
              <w:rPr>
                <w:sz w:val="24"/>
                <w:szCs w:val="24"/>
              </w:rPr>
              <w:t>11 250</w:t>
            </w:r>
          </w:p>
        </w:tc>
        <w:tc>
          <w:tcPr>
            <w:tcW w:w="0" w:type="auto"/>
            <w:tcBorders>
              <w:top w:val="nil"/>
              <w:left w:val="nil"/>
              <w:bottom w:val="nil"/>
              <w:right w:val="single" w:sz="4" w:space="0" w:color="auto"/>
            </w:tcBorders>
            <w:noWrap/>
            <w:vAlign w:val="bottom"/>
          </w:tcPr>
          <w:p w:rsidR="009341CC" w:rsidRDefault="009341CC">
            <w:pPr>
              <w:rPr>
                <w:sz w:val="24"/>
                <w:szCs w:val="24"/>
              </w:rPr>
            </w:pPr>
            <w:r>
              <w:rPr>
                <w:sz w:val="24"/>
                <w:szCs w:val="24"/>
              </w:rPr>
              <w:t> </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autres produits</w:t>
            </w:r>
          </w:p>
        </w:tc>
        <w:tc>
          <w:tcPr>
            <w:tcW w:w="0" w:type="auto"/>
            <w:tcBorders>
              <w:top w:val="nil"/>
              <w:left w:val="single" w:sz="4" w:space="0" w:color="auto"/>
              <w:bottom w:val="nil"/>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nil"/>
              <w:right w:val="single" w:sz="4" w:space="0" w:color="auto"/>
            </w:tcBorders>
            <w:noWrap/>
            <w:vAlign w:val="bottom"/>
          </w:tcPr>
          <w:p w:rsidR="009341CC" w:rsidRDefault="009341CC">
            <w:pPr>
              <w:jc w:val="right"/>
              <w:rPr>
                <w:sz w:val="24"/>
                <w:szCs w:val="24"/>
              </w:rPr>
            </w:pPr>
            <w:r>
              <w:rPr>
                <w:sz w:val="24"/>
                <w:szCs w:val="24"/>
              </w:rPr>
              <w:t>450</w:t>
            </w:r>
          </w:p>
        </w:tc>
      </w:tr>
      <w:tr w:rsidR="009341CC">
        <w:trPr>
          <w:trHeight w:val="240"/>
        </w:trPr>
        <w:tc>
          <w:tcPr>
            <w:tcW w:w="0" w:type="auto"/>
            <w:tcBorders>
              <w:top w:val="nil"/>
              <w:left w:val="single" w:sz="4" w:space="0" w:color="auto"/>
              <w:bottom w:val="nil"/>
              <w:right w:val="nil"/>
            </w:tcBorders>
            <w:noWrap/>
            <w:vAlign w:val="bottom"/>
          </w:tcPr>
          <w:p w:rsidR="009341CC" w:rsidRDefault="009341CC">
            <w:pPr>
              <w:rPr>
                <w:sz w:val="24"/>
                <w:szCs w:val="24"/>
              </w:rPr>
            </w:pPr>
            <w:r>
              <w:rPr>
                <w:sz w:val="24"/>
                <w:szCs w:val="24"/>
              </w:rPr>
              <w:t xml:space="preserve"> - autres charges</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rPr>
                <w:sz w:val="24"/>
                <w:szCs w:val="24"/>
              </w:rPr>
            </w:pPr>
            <w:r>
              <w:rPr>
                <w:sz w:val="24"/>
                <w:szCs w:val="24"/>
              </w:rPr>
              <w:t> </w:t>
            </w:r>
          </w:p>
        </w:tc>
        <w:tc>
          <w:tcPr>
            <w:tcW w:w="0" w:type="auto"/>
            <w:tcBorders>
              <w:top w:val="nil"/>
              <w:left w:val="nil"/>
              <w:bottom w:val="single" w:sz="4" w:space="0" w:color="auto"/>
              <w:right w:val="single" w:sz="4" w:space="0" w:color="auto"/>
            </w:tcBorders>
            <w:noWrap/>
            <w:vAlign w:val="bottom"/>
          </w:tcPr>
          <w:p w:rsidR="009341CC" w:rsidRDefault="009341CC">
            <w:pPr>
              <w:jc w:val="right"/>
              <w:rPr>
                <w:sz w:val="24"/>
                <w:szCs w:val="24"/>
              </w:rPr>
            </w:pPr>
            <w:r>
              <w:rPr>
                <w:sz w:val="24"/>
                <w:szCs w:val="24"/>
              </w:rPr>
              <w:t>-330</w:t>
            </w:r>
          </w:p>
        </w:tc>
      </w:tr>
      <w:tr w:rsidR="009341CC">
        <w:trPr>
          <w:trHeight w:val="240"/>
        </w:trPr>
        <w:tc>
          <w:tcPr>
            <w:tcW w:w="0" w:type="auto"/>
            <w:tcBorders>
              <w:top w:val="nil"/>
              <w:left w:val="single" w:sz="4" w:space="0" w:color="auto"/>
              <w:bottom w:val="single" w:sz="4" w:space="0" w:color="auto"/>
              <w:right w:val="nil"/>
            </w:tcBorders>
            <w:noWrap/>
            <w:vAlign w:val="bottom"/>
          </w:tcPr>
          <w:p w:rsidR="009341CC" w:rsidRDefault="009341CC">
            <w:pPr>
              <w:rPr>
                <w:b/>
                <w:bCs/>
                <w:sz w:val="24"/>
                <w:szCs w:val="24"/>
              </w:rPr>
            </w:pPr>
            <w:r>
              <w:rPr>
                <w:b/>
                <w:bCs/>
                <w:sz w:val="24"/>
                <w:szCs w:val="24"/>
              </w:rPr>
              <w:t>RBE</w:t>
            </w:r>
          </w:p>
        </w:tc>
        <w:tc>
          <w:tcPr>
            <w:tcW w:w="0" w:type="auto"/>
            <w:tcBorders>
              <w:top w:val="nil"/>
              <w:left w:val="single" w:sz="4" w:space="0" w:color="auto"/>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121 836</w:t>
            </w:r>
          </w:p>
        </w:tc>
        <w:tc>
          <w:tcPr>
            <w:tcW w:w="0" w:type="auto"/>
            <w:tcBorders>
              <w:top w:val="nil"/>
              <w:left w:val="nil"/>
              <w:bottom w:val="single" w:sz="4" w:space="0" w:color="auto"/>
              <w:right w:val="single" w:sz="4" w:space="0" w:color="auto"/>
            </w:tcBorders>
            <w:noWrap/>
            <w:vAlign w:val="bottom"/>
          </w:tcPr>
          <w:p w:rsidR="009341CC" w:rsidRDefault="009341CC">
            <w:pPr>
              <w:jc w:val="right"/>
              <w:rPr>
                <w:b/>
                <w:bCs/>
                <w:sz w:val="24"/>
                <w:szCs w:val="24"/>
              </w:rPr>
            </w:pPr>
            <w:r>
              <w:rPr>
                <w:b/>
                <w:bCs/>
                <w:sz w:val="24"/>
                <w:szCs w:val="24"/>
              </w:rPr>
              <w:t>118 113</w:t>
            </w:r>
          </w:p>
        </w:tc>
      </w:tr>
    </w:tbl>
    <w:p w:rsidR="009341CC" w:rsidRDefault="009341CC">
      <w:pPr>
        <w:ind w:left="57"/>
        <w:rPr>
          <w:sz w:val="24"/>
          <w:szCs w:val="24"/>
        </w:rPr>
      </w:pPr>
    </w:p>
    <w:p w:rsidR="009341CC" w:rsidRDefault="00353DB1">
      <w:pPr>
        <w:ind w:left="57"/>
        <w:rPr>
          <w:b/>
          <w:bCs/>
          <w:sz w:val="24"/>
          <w:szCs w:val="24"/>
        </w:rPr>
      </w:pPr>
      <w:r>
        <w:rPr>
          <w:b/>
          <w:bCs/>
          <w:sz w:val="24"/>
          <w:szCs w:val="24"/>
        </w:rPr>
        <w:t>●</w:t>
      </w:r>
      <w:r w:rsidR="009341CC">
        <w:rPr>
          <w:b/>
          <w:bCs/>
          <w:sz w:val="24"/>
          <w:szCs w:val="24"/>
        </w:rPr>
        <w:t xml:space="preserve"> Commentaire.</w:t>
      </w:r>
    </w:p>
    <w:p w:rsidR="009341CC" w:rsidRDefault="009341CC">
      <w:pPr>
        <w:ind w:left="57"/>
        <w:rPr>
          <w:sz w:val="24"/>
          <w:szCs w:val="24"/>
        </w:rPr>
      </w:pPr>
      <w:r>
        <w:rPr>
          <w:sz w:val="24"/>
          <w:szCs w:val="24"/>
        </w:rPr>
        <w:t>Taux de variation de VA (CDB) = -3,5 %</w:t>
      </w:r>
    </w:p>
    <w:p w:rsidR="009341CC" w:rsidRDefault="009341CC">
      <w:pPr>
        <w:ind w:left="57"/>
        <w:rPr>
          <w:sz w:val="24"/>
          <w:szCs w:val="24"/>
        </w:rPr>
      </w:pPr>
      <w:r>
        <w:rPr>
          <w:sz w:val="24"/>
          <w:szCs w:val="24"/>
        </w:rPr>
        <w:t>Taux de variation du RBE = 3,2 %</w:t>
      </w:r>
    </w:p>
    <w:p w:rsidR="009341CC" w:rsidRDefault="009341CC">
      <w:pPr>
        <w:ind w:left="57"/>
        <w:rPr>
          <w:sz w:val="24"/>
          <w:szCs w:val="24"/>
        </w:rPr>
      </w:pPr>
    </w:p>
    <w:p w:rsidR="009341CC" w:rsidRDefault="009341CC">
      <w:pPr>
        <w:ind w:left="57"/>
        <w:jc w:val="both"/>
        <w:rPr>
          <w:sz w:val="24"/>
          <w:szCs w:val="24"/>
        </w:rPr>
      </w:pPr>
      <w:r>
        <w:rPr>
          <w:sz w:val="24"/>
          <w:szCs w:val="24"/>
        </w:rPr>
        <w:t xml:space="preserve">Les soldes CDB sont d’un niveau plus élevé que ceux du PCG et présentent des évolutions qui sont meilleures : </w:t>
      </w:r>
      <w:smartTag w:uri="urn:schemas-microsoft-com:office:smarttags" w:element="PersonName">
        <w:smartTagPr>
          <w:attr w:name="ProductID" w:val="la VA"/>
        </w:smartTagPr>
        <w:r>
          <w:rPr>
            <w:sz w:val="24"/>
            <w:szCs w:val="24"/>
          </w:rPr>
          <w:t>la VA</w:t>
        </w:r>
      </w:smartTag>
      <w:r>
        <w:rPr>
          <w:sz w:val="24"/>
          <w:szCs w:val="24"/>
        </w:rPr>
        <w:t xml:space="preserve"> ne baisse plus que de 3,5 % pour une diminution de l’activité de 6 %. Et le RBE augmente de 3,2 % alors que l’EBE chute de 6 %.</w:t>
      </w:r>
    </w:p>
    <w:p w:rsidR="009341CC" w:rsidRDefault="009341CC">
      <w:pPr>
        <w:ind w:left="57"/>
        <w:jc w:val="both"/>
        <w:rPr>
          <w:sz w:val="24"/>
          <w:szCs w:val="24"/>
        </w:rPr>
      </w:pPr>
      <w:r>
        <w:rPr>
          <w:sz w:val="24"/>
          <w:szCs w:val="24"/>
        </w:rPr>
        <w:t>Les retraitements ont donc pour effet d’améliorer la présentation de ces deux résultats pour l’année 2008.</w:t>
      </w:r>
    </w:p>
    <w:p w:rsidR="009341CC" w:rsidRDefault="009341CC">
      <w:pPr>
        <w:ind w:left="57"/>
        <w:rPr>
          <w:sz w:val="24"/>
          <w:szCs w:val="24"/>
        </w:rPr>
      </w:pPr>
    </w:p>
    <w:p w:rsidR="009341CC" w:rsidRDefault="009341CC">
      <w:pPr>
        <w:ind w:left="57"/>
        <w:rPr>
          <w:b/>
          <w:bCs/>
          <w:sz w:val="24"/>
          <w:szCs w:val="24"/>
        </w:rPr>
      </w:pPr>
      <w:r>
        <w:rPr>
          <w:b/>
          <w:bCs/>
          <w:sz w:val="24"/>
          <w:szCs w:val="24"/>
        </w:rPr>
        <w:t>3) Justification des retraitements effectués.</w:t>
      </w:r>
    </w:p>
    <w:p w:rsidR="00612DA8" w:rsidRDefault="00612DA8">
      <w:pPr>
        <w:ind w:left="57"/>
        <w:rPr>
          <w:b/>
          <w:bCs/>
          <w:sz w:val="24"/>
          <w:szCs w:val="24"/>
        </w:rPr>
      </w:pPr>
    </w:p>
    <w:p w:rsidR="00ED22B9" w:rsidRDefault="00ED22B9" w:rsidP="00612DA8">
      <w:pPr>
        <w:ind w:left="57"/>
        <w:jc w:val="both"/>
        <w:rPr>
          <w:sz w:val="24"/>
          <w:szCs w:val="24"/>
        </w:rPr>
      </w:pPr>
      <w:r>
        <w:rPr>
          <w:sz w:val="24"/>
          <w:szCs w:val="24"/>
        </w:rPr>
        <w:t xml:space="preserve">Les retraitements effectués sont préconisés par </w:t>
      </w:r>
      <w:smartTag w:uri="urn:schemas-microsoft-com:office:smarttags" w:element="PersonName">
        <w:smartTagPr>
          <w:attr w:name="ProductID" w:val="la CDB"/>
        </w:smartTagPr>
        <w:r>
          <w:rPr>
            <w:sz w:val="24"/>
            <w:szCs w:val="24"/>
          </w:rPr>
          <w:t>la CDB</w:t>
        </w:r>
      </w:smartTag>
      <w:r>
        <w:rPr>
          <w:sz w:val="24"/>
          <w:szCs w:val="24"/>
        </w:rPr>
        <w:t xml:space="preserve"> et concernent les redevances crédit-bail, le personnel extérieur et la subvention d’exploitation. </w:t>
      </w:r>
    </w:p>
    <w:p w:rsidR="00ED22B9" w:rsidRDefault="00ED22B9" w:rsidP="00612DA8">
      <w:pPr>
        <w:ind w:left="57"/>
        <w:jc w:val="both"/>
        <w:rPr>
          <w:sz w:val="24"/>
          <w:szCs w:val="24"/>
        </w:rPr>
      </w:pPr>
      <w:r>
        <w:rPr>
          <w:sz w:val="24"/>
          <w:szCs w:val="24"/>
        </w:rPr>
        <w:t>Ces retraitements ont comme principaux objectifs :</w:t>
      </w:r>
    </w:p>
    <w:p w:rsidR="00ED22B9" w:rsidRDefault="00AB54E0" w:rsidP="00612DA8">
      <w:pPr>
        <w:ind w:left="57"/>
        <w:jc w:val="both"/>
        <w:rPr>
          <w:sz w:val="24"/>
          <w:szCs w:val="24"/>
        </w:rPr>
      </w:pPr>
      <w:r>
        <w:rPr>
          <w:sz w:val="24"/>
          <w:szCs w:val="24"/>
        </w:rPr>
        <w:t xml:space="preserve">● </w:t>
      </w:r>
      <w:r w:rsidR="00ED22B9">
        <w:rPr>
          <w:sz w:val="24"/>
          <w:szCs w:val="24"/>
        </w:rPr>
        <w:t xml:space="preserve">De faciliter les comparaisons entre entreprises d'un même secteur d'activité ; par exemple une entreprise peut avoir choisi de financer son investissement soit par un emprunt, soit par crédit-bail. Le retraitement de </w:t>
      </w:r>
      <w:smartTag w:uri="urn:schemas-microsoft-com:office:smarttags" w:element="PersonName">
        <w:smartTagPr>
          <w:attr w:name="ProductID" w:val="la CDB"/>
        </w:smartTagPr>
        <w:r w:rsidR="00ED22B9">
          <w:rPr>
            <w:sz w:val="24"/>
            <w:szCs w:val="24"/>
          </w:rPr>
          <w:t>la CDB</w:t>
        </w:r>
      </w:smartTag>
      <w:r w:rsidR="00ED22B9">
        <w:rPr>
          <w:sz w:val="24"/>
          <w:szCs w:val="24"/>
        </w:rPr>
        <w:t xml:space="preserve"> permet de faire abstraction de ce choix.</w:t>
      </w:r>
    </w:p>
    <w:p w:rsidR="009341CC" w:rsidRDefault="00AB54E0" w:rsidP="00612DA8">
      <w:pPr>
        <w:ind w:left="57"/>
        <w:jc w:val="both"/>
        <w:rPr>
          <w:sz w:val="24"/>
          <w:szCs w:val="24"/>
        </w:rPr>
      </w:pPr>
      <w:r>
        <w:rPr>
          <w:sz w:val="24"/>
          <w:szCs w:val="24"/>
        </w:rPr>
        <w:lastRenderedPageBreak/>
        <w:t xml:space="preserve">● </w:t>
      </w:r>
      <w:r w:rsidR="00ED22B9">
        <w:rPr>
          <w:sz w:val="24"/>
          <w:szCs w:val="24"/>
        </w:rPr>
        <w:t>De s</w:t>
      </w:r>
      <w:r>
        <w:rPr>
          <w:sz w:val="24"/>
          <w:szCs w:val="24"/>
        </w:rPr>
        <w:t>e rapprocher de la réalité économique d</w:t>
      </w:r>
      <w:r w:rsidR="00ED22B9">
        <w:rPr>
          <w:sz w:val="24"/>
          <w:szCs w:val="24"/>
        </w:rPr>
        <w:t>u fonctionnement de  l'entreprise ; par exemple, le personnel extérieur  participe de la même façon que le personnel sous contrat à la création de richesse de l'entreprise; il est donc logique d'intégrer ces charges externes dans  le coût du personnel.</w:t>
      </w:r>
    </w:p>
    <w:p w:rsidR="00ED22B9" w:rsidRDefault="00ED22B9" w:rsidP="00612DA8">
      <w:pPr>
        <w:jc w:val="both"/>
        <w:rPr>
          <w:sz w:val="20"/>
          <w:szCs w:val="24"/>
        </w:rPr>
      </w:pPr>
    </w:p>
    <w:p w:rsidR="009341CC" w:rsidRDefault="00353DB1">
      <w:pPr>
        <w:ind w:left="57"/>
        <w:rPr>
          <w:b/>
          <w:bCs/>
          <w:sz w:val="24"/>
          <w:szCs w:val="24"/>
          <w:u w:val="single"/>
        </w:rPr>
      </w:pPr>
      <w:r>
        <w:rPr>
          <w:b/>
          <w:bCs/>
          <w:sz w:val="24"/>
          <w:szCs w:val="24"/>
          <w:u w:val="single"/>
        </w:rPr>
        <w:t xml:space="preserve">Deuxième Partie </w:t>
      </w:r>
    </w:p>
    <w:p w:rsidR="009341CC" w:rsidRDefault="009341CC">
      <w:pPr>
        <w:ind w:left="57"/>
        <w:rPr>
          <w:b/>
          <w:bCs/>
          <w:sz w:val="24"/>
          <w:szCs w:val="24"/>
          <w:u w:val="single"/>
        </w:rPr>
      </w:pPr>
    </w:p>
    <w:p w:rsidR="009341CC" w:rsidRDefault="009341CC" w:rsidP="00353DB1">
      <w:pPr>
        <w:pStyle w:val="Retraitcorpsdetexte2"/>
        <w:numPr>
          <w:ilvl w:val="0"/>
          <w:numId w:val="3"/>
        </w:numPr>
      </w:pPr>
      <w:r>
        <w:t>11. Différence essentielle entre un tableau de flux de trésorerie et un tableau de financement.</w:t>
      </w:r>
    </w:p>
    <w:p w:rsidR="009341CC" w:rsidRDefault="009341CC">
      <w:pPr>
        <w:ind w:left="57"/>
        <w:rPr>
          <w:sz w:val="20"/>
          <w:szCs w:val="24"/>
        </w:rPr>
      </w:pPr>
    </w:p>
    <w:p w:rsidR="009341CC" w:rsidRDefault="009341CC">
      <w:pPr>
        <w:ind w:left="57"/>
        <w:jc w:val="both"/>
        <w:rPr>
          <w:sz w:val="24"/>
          <w:szCs w:val="24"/>
        </w:rPr>
      </w:pPr>
      <w:r>
        <w:rPr>
          <w:sz w:val="24"/>
          <w:szCs w:val="24"/>
        </w:rPr>
        <w:t xml:space="preserve">Le tableau de flux de trésorerie est centré sur la trésorerie alors que le tableau de financement est centré sur </w:t>
      </w:r>
      <w:r w:rsidR="00ED22B9">
        <w:rPr>
          <w:sz w:val="24"/>
          <w:szCs w:val="24"/>
        </w:rPr>
        <w:t>le suivi de l'équilibre financier.</w:t>
      </w:r>
    </w:p>
    <w:p w:rsidR="009341CC" w:rsidRDefault="009341CC">
      <w:pPr>
        <w:ind w:left="57"/>
        <w:jc w:val="both"/>
        <w:rPr>
          <w:sz w:val="24"/>
          <w:szCs w:val="24"/>
        </w:rPr>
      </w:pPr>
      <w:r>
        <w:rPr>
          <w:sz w:val="24"/>
          <w:szCs w:val="24"/>
        </w:rPr>
        <w:t>Ainsi, un tableau de flux de trésorerie présente la trésorerie générée sur un exercice par chacun des trois cycles d’opérations (activité, investissement, financement) et met en évidence la contribution de chacun d’eux à la variation de la trésorerie sur un exercice.</w:t>
      </w:r>
    </w:p>
    <w:p w:rsidR="009341CC" w:rsidRDefault="009341CC">
      <w:pPr>
        <w:ind w:left="57"/>
        <w:jc w:val="both"/>
        <w:rPr>
          <w:sz w:val="20"/>
          <w:szCs w:val="24"/>
        </w:rPr>
      </w:pPr>
    </w:p>
    <w:p w:rsidR="009341CC" w:rsidRDefault="009341CC">
      <w:pPr>
        <w:ind w:left="57"/>
        <w:jc w:val="both"/>
        <w:rPr>
          <w:b/>
          <w:bCs/>
          <w:sz w:val="24"/>
          <w:szCs w:val="24"/>
        </w:rPr>
      </w:pPr>
      <w:r>
        <w:rPr>
          <w:b/>
          <w:bCs/>
          <w:sz w:val="24"/>
          <w:szCs w:val="24"/>
        </w:rPr>
        <w:t>12. Intérêt pour la gestion.</w:t>
      </w:r>
    </w:p>
    <w:p w:rsidR="009341CC" w:rsidRDefault="009341CC">
      <w:pPr>
        <w:ind w:left="57"/>
        <w:jc w:val="both"/>
        <w:rPr>
          <w:b/>
          <w:bCs/>
          <w:sz w:val="24"/>
          <w:szCs w:val="24"/>
        </w:rPr>
      </w:pPr>
    </w:p>
    <w:p w:rsidR="00F55A66" w:rsidRDefault="009341CC">
      <w:pPr>
        <w:ind w:left="57"/>
        <w:jc w:val="both"/>
        <w:rPr>
          <w:sz w:val="24"/>
          <w:szCs w:val="24"/>
        </w:rPr>
      </w:pPr>
      <w:r>
        <w:rPr>
          <w:sz w:val="24"/>
          <w:szCs w:val="24"/>
        </w:rPr>
        <w:t>La trésorerie est un indicateur clé de la gestion et de l’analyse financière. En effet, elle assure la solvabilité de l’entreprise et</w:t>
      </w:r>
      <w:r w:rsidR="00F55A66">
        <w:rPr>
          <w:sz w:val="24"/>
          <w:szCs w:val="24"/>
        </w:rPr>
        <w:t xml:space="preserve"> donc sa pérennité.  </w:t>
      </w:r>
    </w:p>
    <w:p w:rsidR="009341CC" w:rsidRDefault="00F55A66">
      <w:pPr>
        <w:ind w:left="57"/>
        <w:jc w:val="both"/>
        <w:rPr>
          <w:sz w:val="24"/>
          <w:szCs w:val="24"/>
        </w:rPr>
      </w:pPr>
      <w:r>
        <w:rPr>
          <w:sz w:val="24"/>
          <w:szCs w:val="24"/>
        </w:rPr>
        <w:t xml:space="preserve">D'autre part elle  </w:t>
      </w:r>
      <w:r w:rsidR="009341CC">
        <w:rPr>
          <w:sz w:val="24"/>
          <w:szCs w:val="24"/>
        </w:rPr>
        <w:t xml:space="preserve"> permet le financement de la croissance.</w:t>
      </w:r>
    </w:p>
    <w:p w:rsidR="009341CC" w:rsidRDefault="009341CC">
      <w:pPr>
        <w:ind w:left="57"/>
        <w:jc w:val="both"/>
        <w:rPr>
          <w:sz w:val="24"/>
          <w:szCs w:val="24"/>
        </w:rPr>
      </w:pPr>
      <w:r>
        <w:rPr>
          <w:sz w:val="24"/>
          <w:szCs w:val="24"/>
        </w:rPr>
        <w:t>Il est donc essentiel pour une entreprise de pouvoir suivre et analyser sa trésorerie.</w:t>
      </w:r>
    </w:p>
    <w:p w:rsidR="009341CC" w:rsidRDefault="009341CC">
      <w:pPr>
        <w:ind w:left="57"/>
        <w:jc w:val="both"/>
        <w:rPr>
          <w:sz w:val="24"/>
          <w:szCs w:val="24"/>
        </w:rPr>
      </w:pPr>
    </w:p>
    <w:p w:rsidR="009341CC" w:rsidRDefault="009341CC">
      <w:pPr>
        <w:ind w:left="57"/>
        <w:rPr>
          <w:b/>
          <w:bCs/>
          <w:sz w:val="24"/>
          <w:szCs w:val="24"/>
        </w:rPr>
      </w:pPr>
      <w:r>
        <w:rPr>
          <w:b/>
          <w:bCs/>
          <w:sz w:val="24"/>
          <w:szCs w:val="24"/>
        </w:rPr>
        <w:t xml:space="preserve">2) Tableau de flux de </w:t>
      </w:r>
      <w:smartTag w:uri="urn:schemas-microsoft-com:office:smarttags" w:element="PersonName">
        <w:smartTagPr>
          <w:attr w:name="ProductID" w:val="la CDB."/>
        </w:smartTagPr>
        <w:r>
          <w:rPr>
            <w:b/>
            <w:bCs/>
            <w:sz w:val="24"/>
            <w:szCs w:val="24"/>
          </w:rPr>
          <w:t>la CDB.</w:t>
        </w:r>
      </w:smartTag>
    </w:p>
    <w:tbl>
      <w:tblPr>
        <w:tblW w:w="0" w:type="auto"/>
        <w:tblCellMar>
          <w:left w:w="70" w:type="dxa"/>
          <w:right w:w="70" w:type="dxa"/>
        </w:tblCellMar>
        <w:tblLook w:val="0000" w:firstRow="0" w:lastRow="0" w:firstColumn="0" w:lastColumn="0" w:noHBand="0" w:noVBand="0"/>
      </w:tblPr>
      <w:tblGrid>
        <w:gridCol w:w="5885"/>
        <w:gridCol w:w="920"/>
      </w:tblGrid>
      <w:tr w:rsidR="00E37393">
        <w:trPr>
          <w:trHeight w:val="240"/>
        </w:trPr>
        <w:tc>
          <w:tcPr>
            <w:tcW w:w="0" w:type="auto"/>
            <w:tcBorders>
              <w:top w:val="single" w:sz="4" w:space="0" w:color="auto"/>
              <w:left w:val="single" w:sz="4" w:space="0" w:color="auto"/>
              <w:bottom w:val="nil"/>
              <w:right w:val="nil"/>
            </w:tcBorders>
            <w:noWrap/>
            <w:vAlign w:val="bottom"/>
          </w:tcPr>
          <w:p w:rsidR="00E37393" w:rsidRDefault="00E37393">
            <w:pPr>
              <w:rPr>
                <w:b/>
                <w:bCs/>
                <w:sz w:val="24"/>
                <w:szCs w:val="24"/>
              </w:rPr>
            </w:pPr>
            <w:r>
              <w:rPr>
                <w:b/>
                <w:bCs/>
                <w:sz w:val="24"/>
                <w:szCs w:val="24"/>
              </w:rPr>
              <w:t>Activité</w:t>
            </w:r>
          </w:p>
        </w:tc>
        <w:tc>
          <w:tcPr>
            <w:tcW w:w="0" w:type="auto"/>
            <w:tcBorders>
              <w:top w:val="single" w:sz="4" w:space="0" w:color="auto"/>
              <w:left w:val="single" w:sz="4" w:space="0" w:color="auto"/>
              <w:bottom w:val="nil"/>
              <w:right w:val="single" w:sz="4" w:space="0" w:color="auto"/>
            </w:tcBorders>
            <w:noWrap/>
            <w:vAlign w:val="bottom"/>
          </w:tcPr>
          <w:p w:rsidR="00E37393" w:rsidRDefault="00E37393">
            <w:pPr>
              <w:rPr>
                <w:sz w:val="24"/>
                <w:szCs w:val="24"/>
              </w:rPr>
            </w:pPr>
            <w:r>
              <w:rPr>
                <w:sz w:val="24"/>
                <w:szCs w:val="24"/>
              </w:rPr>
              <w:t> </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Chiffre d'affaires hors taxes et autres produits d'exploitation</w:t>
            </w:r>
          </w:p>
        </w:tc>
        <w:tc>
          <w:tcPr>
            <w:tcW w:w="0" w:type="auto"/>
            <w:tcBorders>
              <w:top w:val="nil"/>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369 458</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Variation Clients et autres créances exploitation</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-7 019</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w:t>
            </w:r>
            <w:r>
              <w:rPr>
                <w:b/>
                <w:bCs/>
                <w:i/>
                <w:iCs/>
                <w:sz w:val="24"/>
                <w:szCs w:val="24"/>
              </w:rPr>
              <w:t>Encaissements sur produits d'exploitation                 (a)</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362 439</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Achats et autres charges d'exploitation</w:t>
            </w:r>
          </w:p>
        </w:tc>
        <w:tc>
          <w:tcPr>
            <w:tcW w:w="0" w:type="auto"/>
            <w:tcBorders>
              <w:top w:val="nil"/>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242 010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Variation Fournisseurs et autres dettes exploitation</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8 862</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b/>
                <w:bCs/>
                <w:i/>
                <w:iCs/>
                <w:sz w:val="24"/>
                <w:szCs w:val="24"/>
              </w:rPr>
            </w:pPr>
            <w:r>
              <w:rPr>
                <w:b/>
                <w:bCs/>
                <w:i/>
                <w:iCs/>
                <w:sz w:val="24"/>
                <w:szCs w:val="24"/>
              </w:rPr>
              <w:t xml:space="preserve"> = Décaissements sur charges d'exploitation                (b)</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250 872</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pPr>
              <w:jc w:val="right"/>
              <w:rPr>
                <w:sz w:val="24"/>
                <w:szCs w:val="24"/>
              </w:rPr>
            </w:pPr>
            <w:r>
              <w:rPr>
                <w:sz w:val="24"/>
                <w:szCs w:val="24"/>
              </w:rPr>
              <w:t xml:space="preserve">FLUX DE TRESORERIE D'EXPLOITATION     (a) - (b) </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111 567</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Flux liés aux opérations hors exploitation</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1 200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Charges d'intérêt </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-17 450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Impôt sur les bénéfices décaissé</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-3 711</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Flux affecté à la participation des salariés</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rPr>
                <w:sz w:val="24"/>
                <w:szCs w:val="24"/>
              </w:rPr>
            </w:pPr>
            <w:r>
              <w:rPr>
                <w:sz w:val="24"/>
                <w:szCs w:val="24"/>
              </w:rPr>
              <w:t> </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Distributions mises en paiement</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-13 261</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pPr>
              <w:jc w:val="right"/>
              <w:rPr>
                <w:sz w:val="24"/>
                <w:szCs w:val="24"/>
              </w:rPr>
            </w:pPr>
            <w:r>
              <w:rPr>
                <w:sz w:val="24"/>
                <w:szCs w:val="24"/>
              </w:rPr>
              <w:t>FLUX DE TRESORERIE INTERNE</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78 345</w:t>
            </w:r>
          </w:p>
        </w:tc>
      </w:tr>
    </w:tbl>
    <w:p w:rsidR="009341CC" w:rsidRDefault="009341CC">
      <w:pPr>
        <w:ind w:left="57"/>
        <w:rPr>
          <w:b/>
          <w:bCs/>
        </w:rPr>
      </w:pPr>
    </w:p>
    <w:p w:rsidR="008B6969" w:rsidRDefault="008B6969">
      <w:pPr>
        <w:ind w:left="57"/>
        <w:rPr>
          <w:b/>
          <w:bCs/>
        </w:rPr>
      </w:pPr>
    </w:p>
    <w:tbl>
      <w:tblPr>
        <w:tblW w:w="0" w:type="auto"/>
        <w:tblInd w:w="55" w:type="dxa"/>
        <w:tblCellMar>
          <w:left w:w="70" w:type="dxa"/>
          <w:right w:w="70" w:type="dxa"/>
        </w:tblCellMar>
        <w:tblLook w:val="0000" w:firstRow="0" w:lastRow="0" w:firstColumn="0" w:lastColumn="0" w:noHBand="0" w:noVBand="0"/>
      </w:tblPr>
      <w:tblGrid>
        <w:gridCol w:w="4692"/>
        <w:gridCol w:w="680"/>
      </w:tblGrid>
      <w:tr w:rsidR="00E37393">
        <w:trPr>
          <w:trHeight w:val="240"/>
        </w:trPr>
        <w:tc>
          <w:tcPr>
            <w:tcW w:w="0" w:type="auto"/>
            <w:tcBorders>
              <w:top w:val="single" w:sz="4" w:space="0" w:color="auto"/>
              <w:left w:val="single" w:sz="4" w:space="0" w:color="auto"/>
              <w:bottom w:val="nil"/>
              <w:right w:val="nil"/>
            </w:tcBorders>
            <w:noWrap/>
            <w:vAlign w:val="bottom"/>
          </w:tcPr>
          <w:p w:rsidR="00E37393" w:rsidRDefault="00E37393">
            <w:pPr>
              <w:rPr>
                <w:sz w:val="24"/>
                <w:szCs w:val="24"/>
              </w:rPr>
            </w:pPr>
            <w:r>
              <w:rPr>
                <w:sz w:val="24"/>
                <w:szCs w:val="24"/>
              </w:rPr>
              <w:t>Variation clients et comptes rattachés   (</w:t>
            </w:r>
            <w:proofErr w:type="spellStart"/>
            <w:r>
              <w:rPr>
                <w:sz w:val="24"/>
                <w:szCs w:val="24"/>
              </w:rPr>
              <w:t>TdF</w:t>
            </w:r>
            <w:proofErr w:type="spellEnd"/>
            <w:r>
              <w:rPr>
                <w:sz w:val="24"/>
                <w:szCs w:val="24"/>
              </w:rPr>
              <w:t>)</w:t>
            </w:r>
          </w:p>
        </w:tc>
        <w:tc>
          <w:tcPr>
            <w:tcW w:w="0" w:type="auto"/>
            <w:tcBorders>
              <w:top w:val="single" w:sz="4" w:space="0" w:color="auto"/>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6 809</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Variation EENE</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210</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Variation clients et autres créances exploitation</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7 019</w:t>
            </w:r>
          </w:p>
        </w:tc>
      </w:tr>
    </w:tbl>
    <w:p w:rsidR="009341CC" w:rsidRDefault="009341CC">
      <w:pPr>
        <w:ind w:left="57"/>
        <w:rPr>
          <w:b/>
          <w:bCs/>
        </w:rPr>
      </w:pPr>
    </w:p>
    <w:tbl>
      <w:tblPr>
        <w:tblW w:w="5540" w:type="dxa"/>
        <w:tblInd w:w="55" w:type="dxa"/>
        <w:tblCellMar>
          <w:left w:w="70" w:type="dxa"/>
          <w:right w:w="70" w:type="dxa"/>
        </w:tblCellMar>
        <w:tblLook w:val="0000" w:firstRow="0" w:lastRow="0" w:firstColumn="0" w:lastColumn="0" w:noHBand="0" w:noVBand="0"/>
      </w:tblPr>
      <w:tblGrid>
        <w:gridCol w:w="4460"/>
        <w:gridCol w:w="1080"/>
      </w:tblGrid>
      <w:tr w:rsidR="00E37393" w:rsidTr="00E37393">
        <w:trPr>
          <w:trHeight w:val="240"/>
        </w:trPr>
        <w:tc>
          <w:tcPr>
            <w:tcW w:w="4460" w:type="dxa"/>
            <w:tcBorders>
              <w:top w:val="single" w:sz="4" w:space="0" w:color="auto"/>
              <w:left w:val="single" w:sz="4" w:space="0" w:color="auto"/>
              <w:bottom w:val="nil"/>
              <w:right w:val="nil"/>
            </w:tcBorders>
            <w:noWrap/>
            <w:vAlign w:val="bottom"/>
          </w:tcPr>
          <w:p w:rsidR="00E37393" w:rsidRDefault="00E37393">
            <w:pPr>
              <w:rPr>
                <w:sz w:val="24"/>
                <w:szCs w:val="24"/>
              </w:rPr>
            </w:pPr>
            <w:r>
              <w:rPr>
                <w:sz w:val="24"/>
                <w:szCs w:val="24"/>
              </w:rPr>
              <w:t>Achats matières et approvisionnements</w:t>
            </w:r>
          </w:p>
        </w:tc>
        <w:tc>
          <w:tcPr>
            <w:tcW w:w="1080" w:type="dxa"/>
            <w:tcBorders>
              <w:top w:val="single" w:sz="4" w:space="0" w:color="auto"/>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79 674</w:t>
            </w:r>
          </w:p>
        </w:tc>
      </w:tr>
      <w:tr w:rsidR="00E37393" w:rsidTr="00E37393">
        <w:trPr>
          <w:trHeight w:val="240"/>
        </w:trPr>
        <w:tc>
          <w:tcPr>
            <w:tcW w:w="4460" w:type="dxa"/>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Autres achats et charges externes </w:t>
            </w:r>
            <w:r>
              <w:rPr>
                <w:b/>
                <w:bCs/>
                <w:sz w:val="24"/>
                <w:szCs w:val="24"/>
              </w:rPr>
              <w:t>(1)</w:t>
            </w:r>
            <w:r>
              <w:rPr>
                <w:sz w:val="24"/>
                <w:szCs w:val="24"/>
              </w:rPr>
              <w:t xml:space="preserve"> </w:t>
            </w:r>
          </w:p>
        </w:tc>
        <w:tc>
          <w:tcPr>
            <w:tcW w:w="1080" w:type="dxa"/>
            <w:tcBorders>
              <w:top w:val="nil"/>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51 750</w:t>
            </w:r>
          </w:p>
        </w:tc>
      </w:tr>
      <w:tr w:rsidR="00E37393" w:rsidTr="00E37393">
        <w:trPr>
          <w:trHeight w:val="240"/>
        </w:trPr>
        <w:tc>
          <w:tcPr>
            <w:tcW w:w="4460" w:type="dxa"/>
            <w:tcBorders>
              <w:top w:val="nil"/>
              <w:left w:val="single" w:sz="4" w:space="0" w:color="auto"/>
              <w:bottom w:val="nil"/>
              <w:right w:val="nil"/>
            </w:tcBorders>
            <w:noWrap/>
            <w:vAlign w:val="bottom"/>
          </w:tcPr>
          <w:p w:rsidR="00E37393" w:rsidRDefault="00E37393">
            <w:pPr>
              <w:rPr>
                <w:sz w:val="24"/>
                <w:szCs w:val="24"/>
              </w:rPr>
            </w:pPr>
            <w:r>
              <w:rPr>
                <w:sz w:val="24"/>
                <w:szCs w:val="24"/>
              </w:rPr>
              <w:t>Impôts et taxes</w:t>
            </w:r>
          </w:p>
        </w:tc>
        <w:tc>
          <w:tcPr>
            <w:tcW w:w="1080" w:type="dxa"/>
            <w:tcBorders>
              <w:top w:val="nil"/>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29 491</w:t>
            </w:r>
          </w:p>
        </w:tc>
      </w:tr>
      <w:tr w:rsidR="00E37393" w:rsidTr="00E37393">
        <w:trPr>
          <w:trHeight w:val="240"/>
        </w:trPr>
        <w:tc>
          <w:tcPr>
            <w:tcW w:w="4460" w:type="dxa"/>
            <w:tcBorders>
              <w:top w:val="nil"/>
              <w:left w:val="single" w:sz="4" w:space="0" w:color="auto"/>
              <w:bottom w:val="nil"/>
              <w:right w:val="nil"/>
            </w:tcBorders>
            <w:noWrap/>
            <w:vAlign w:val="bottom"/>
          </w:tcPr>
          <w:p w:rsidR="00E37393" w:rsidRDefault="00E37393">
            <w:pPr>
              <w:rPr>
                <w:sz w:val="24"/>
                <w:szCs w:val="24"/>
              </w:rPr>
            </w:pPr>
            <w:r>
              <w:rPr>
                <w:sz w:val="24"/>
                <w:szCs w:val="24"/>
              </w:rPr>
              <w:t>Charges de personnel</w:t>
            </w:r>
          </w:p>
        </w:tc>
        <w:tc>
          <w:tcPr>
            <w:tcW w:w="1080" w:type="dxa"/>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81 095</w:t>
            </w:r>
          </w:p>
        </w:tc>
      </w:tr>
      <w:tr w:rsidR="00E37393" w:rsidTr="00E37393">
        <w:trPr>
          <w:trHeight w:val="240"/>
        </w:trPr>
        <w:tc>
          <w:tcPr>
            <w:tcW w:w="4460" w:type="dxa"/>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Achats et autres charges d'exploitation</w:t>
            </w:r>
          </w:p>
        </w:tc>
        <w:tc>
          <w:tcPr>
            <w:tcW w:w="1080" w:type="dxa"/>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242 010</w:t>
            </w:r>
          </w:p>
        </w:tc>
      </w:tr>
    </w:tbl>
    <w:p w:rsidR="009341CC" w:rsidRDefault="009341CC">
      <w:pPr>
        <w:ind w:left="57"/>
        <w:rPr>
          <w:b/>
          <w:bCs/>
        </w:rPr>
      </w:pPr>
      <w:r>
        <w:rPr>
          <w:b/>
          <w:bCs/>
        </w:rPr>
        <w:t>(1) 63 000 – 11 250 = 51750</w:t>
      </w:r>
    </w:p>
    <w:p w:rsidR="009341CC" w:rsidRDefault="00E37393">
      <w:pPr>
        <w:ind w:left="57"/>
        <w:rPr>
          <w:b/>
          <w:bCs/>
        </w:rPr>
      </w:pPr>
      <w:r>
        <w:rPr>
          <w:b/>
          <w:bCs/>
        </w:rPr>
        <w:br w:type="page"/>
      </w:r>
    </w:p>
    <w:tbl>
      <w:tblPr>
        <w:tblW w:w="5540" w:type="dxa"/>
        <w:tblInd w:w="55" w:type="dxa"/>
        <w:tblCellMar>
          <w:left w:w="70" w:type="dxa"/>
          <w:right w:w="70" w:type="dxa"/>
        </w:tblCellMar>
        <w:tblLook w:val="0000" w:firstRow="0" w:lastRow="0" w:firstColumn="0" w:lastColumn="0" w:noHBand="0" w:noVBand="0"/>
      </w:tblPr>
      <w:tblGrid>
        <w:gridCol w:w="4460"/>
        <w:gridCol w:w="1080"/>
      </w:tblGrid>
      <w:tr w:rsidR="00E37393" w:rsidTr="00E37393">
        <w:trPr>
          <w:trHeight w:val="240"/>
        </w:trPr>
        <w:tc>
          <w:tcPr>
            <w:tcW w:w="4460" w:type="dxa"/>
            <w:tcBorders>
              <w:top w:val="single" w:sz="4" w:space="0" w:color="auto"/>
              <w:left w:val="single" w:sz="4" w:space="0" w:color="auto"/>
              <w:bottom w:val="nil"/>
              <w:right w:val="nil"/>
            </w:tcBorders>
            <w:noWrap/>
            <w:vAlign w:val="bottom"/>
          </w:tcPr>
          <w:p w:rsidR="00E37393" w:rsidRDefault="00E37393">
            <w:pPr>
              <w:rPr>
                <w:sz w:val="24"/>
                <w:szCs w:val="24"/>
              </w:rPr>
            </w:pPr>
            <w:r>
              <w:rPr>
                <w:sz w:val="24"/>
                <w:szCs w:val="24"/>
              </w:rPr>
              <w:lastRenderedPageBreak/>
              <w:t>Charges d'intérêt</w:t>
            </w:r>
          </w:p>
        </w:tc>
        <w:tc>
          <w:tcPr>
            <w:tcW w:w="1080" w:type="dxa"/>
            <w:tcBorders>
              <w:top w:val="single" w:sz="4" w:space="0" w:color="auto"/>
              <w:left w:val="single" w:sz="4" w:space="0" w:color="auto"/>
              <w:bottom w:val="nil"/>
              <w:right w:val="single" w:sz="4" w:space="0" w:color="auto"/>
            </w:tcBorders>
            <w:noWrap/>
            <w:vAlign w:val="bottom"/>
          </w:tcPr>
          <w:p w:rsidR="00E37393" w:rsidRDefault="00E37393">
            <w:pPr>
              <w:jc w:val="right"/>
              <w:rPr>
                <w:sz w:val="24"/>
                <w:szCs w:val="24"/>
              </w:rPr>
            </w:pPr>
            <w:r>
              <w:rPr>
                <w:sz w:val="24"/>
                <w:szCs w:val="24"/>
              </w:rPr>
              <w:t>15 200</w:t>
            </w:r>
          </w:p>
        </w:tc>
      </w:tr>
      <w:tr w:rsidR="00E37393" w:rsidTr="00E37393">
        <w:trPr>
          <w:trHeight w:val="240"/>
        </w:trPr>
        <w:tc>
          <w:tcPr>
            <w:tcW w:w="4460" w:type="dxa"/>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Intérêt dans redevance CB </w:t>
            </w:r>
            <w:r>
              <w:rPr>
                <w:b/>
                <w:bCs/>
                <w:sz w:val="24"/>
                <w:szCs w:val="24"/>
              </w:rPr>
              <w:t>(1)</w:t>
            </w:r>
            <w:r>
              <w:rPr>
                <w:sz w:val="24"/>
                <w:szCs w:val="24"/>
              </w:rPr>
              <w:t xml:space="preserve"> </w:t>
            </w:r>
          </w:p>
        </w:tc>
        <w:tc>
          <w:tcPr>
            <w:tcW w:w="1080" w:type="dxa"/>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2 250</w:t>
            </w:r>
          </w:p>
        </w:tc>
      </w:tr>
      <w:tr w:rsidR="00E37393" w:rsidTr="00E37393">
        <w:trPr>
          <w:trHeight w:val="240"/>
        </w:trPr>
        <w:tc>
          <w:tcPr>
            <w:tcW w:w="4460" w:type="dxa"/>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Charges d'intérêt corrigées</w:t>
            </w:r>
          </w:p>
        </w:tc>
        <w:tc>
          <w:tcPr>
            <w:tcW w:w="1080" w:type="dxa"/>
            <w:tcBorders>
              <w:top w:val="nil"/>
              <w:left w:val="single" w:sz="4" w:space="0" w:color="auto"/>
              <w:bottom w:val="single" w:sz="4" w:space="0" w:color="auto"/>
              <w:right w:val="single" w:sz="4" w:space="0" w:color="auto"/>
            </w:tcBorders>
            <w:noWrap/>
            <w:vAlign w:val="bottom"/>
          </w:tcPr>
          <w:p w:rsidR="00E37393" w:rsidRDefault="00E37393">
            <w:pPr>
              <w:jc w:val="right"/>
              <w:rPr>
                <w:sz w:val="24"/>
                <w:szCs w:val="24"/>
              </w:rPr>
            </w:pPr>
            <w:r>
              <w:rPr>
                <w:sz w:val="24"/>
                <w:szCs w:val="24"/>
              </w:rPr>
              <w:t>17 450</w:t>
            </w:r>
          </w:p>
        </w:tc>
      </w:tr>
    </w:tbl>
    <w:p w:rsidR="009341CC" w:rsidRDefault="009341CC">
      <w:pPr>
        <w:ind w:left="57"/>
        <w:rPr>
          <w:b/>
          <w:bCs/>
        </w:rPr>
      </w:pPr>
    </w:p>
    <w:p w:rsidR="009341CC" w:rsidRDefault="009341CC">
      <w:pPr>
        <w:ind w:left="57"/>
        <w:rPr>
          <w:b/>
          <w:bCs/>
        </w:rPr>
      </w:pPr>
      <w:r>
        <w:rPr>
          <w:b/>
          <w:bCs/>
        </w:rPr>
        <w:t>(1) 54 000 / 6 = 9 000 donc 11 250 – 9 000 = 2 250</w:t>
      </w:r>
    </w:p>
    <w:p w:rsidR="009341CC" w:rsidRDefault="009341CC">
      <w:pPr>
        <w:ind w:left="57"/>
        <w:rPr>
          <w:b/>
          <w:bCs/>
        </w:rPr>
      </w:pPr>
    </w:p>
    <w:p w:rsidR="009341CC" w:rsidRDefault="009341CC" w:rsidP="009E6FBF">
      <w:pPr>
        <w:numPr>
          <w:ilvl w:val="0"/>
          <w:numId w:val="5"/>
        </w:numPr>
        <w:rPr>
          <w:b/>
          <w:bCs/>
          <w:sz w:val="24"/>
          <w:szCs w:val="24"/>
        </w:rPr>
      </w:pPr>
      <w:r>
        <w:rPr>
          <w:b/>
          <w:bCs/>
          <w:sz w:val="24"/>
          <w:szCs w:val="24"/>
        </w:rPr>
        <w:t>Commentaire du tableau.</w:t>
      </w:r>
    </w:p>
    <w:p w:rsidR="00E37393" w:rsidRDefault="00E37393">
      <w:pPr>
        <w:ind w:left="57"/>
        <w:jc w:val="both"/>
        <w:rPr>
          <w:sz w:val="24"/>
          <w:szCs w:val="24"/>
        </w:rPr>
      </w:pPr>
    </w:p>
    <w:p w:rsidR="009341CC" w:rsidRDefault="009341CC">
      <w:pPr>
        <w:ind w:left="57"/>
        <w:jc w:val="both"/>
        <w:rPr>
          <w:sz w:val="24"/>
          <w:szCs w:val="24"/>
        </w:rPr>
      </w:pPr>
      <w:r>
        <w:rPr>
          <w:sz w:val="24"/>
          <w:szCs w:val="24"/>
        </w:rPr>
        <w:t xml:space="preserve">Le flux de trésorerie interne est largement positif et permet de couvrir une part  importante (43 %) du flux de trésorerie lié à l’investissement. </w:t>
      </w:r>
    </w:p>
    <w:p w:rsidR="009341CC" w:rsidRDefault="009341CC">
      <w:pPr>
        <w:ind w:left="57"/>
        <w:jc w:val="both"/>
        <w:rPr>
          <w:sz w:val="24"/>
          <w:szCs w:val="24"/>
        </w:rPr>
      </w:pPr>
      <w:r>
        <w:rPr>
          <w:sz w:val="24"/>
          <w:szCs w:val="24"/>
        </w:rPr>
        <w:t xml:space="preserve">Les investissements opérés durant l’exercice ont également été financés par un montant élevé de cessions d’immobilisations. </w:t>
      </w:r>
    </w:p>
    <w:p w:rsidR="009341CC" w:rsidRDefault="009341CC">
      <w:pPr>
        <w:ind w:left="57"/>
        <w:jc w:val="both"/>
        <w:rPr>
          <w:sz w:val="24"/>
          <w:szCs w:val="24"/>
        </w:rPr>
      </w:pPr>
      <w:r>
        <w:rPr>
          <w:sz w:val="24"/>
          <w:szCs w:val="24"/>
        </w:rPr>
        <w:t xml:space="preserve">Leur financement a été complété par un fort endettement supplémentaire, par une augmentation de capital ainsi que par un faible prélèvement sur la trésorerie – actif. </w:t>
      </w:r>
    </w:p>
    <w:p w:rsidR="009341CC" w:rsidRDefault="009341CC">
      <w:pPr>
        <w:ind w:left="57"/>
        <w:jc w:val="both"/>
        <w:rPr>
          <w:sz w:val="24"/>
          <w:szCs w:val="24"/>
        </w:rPr>
      </w:pPr>
      <w:r>
        <w:rPr>
          <w:sz w:val="24"/>
          <w:szCs w:val="24"/>
        </w:rPr>
        <w:t>L’entreprise s’endette donc davantage alors que ses remboursements sont déjà élevés, tout en restant couverts par le flux de trésorerie interne.</w:t>
      </w:r>
    </w:p>
    <w:p w:rsidR="009341CC" w:rsidRDefault="009341CC">
      <w:pPr>
        <w:ind w:left="57"/>
        <w:jc w:val="both"/>
        <w:rPr>
          <w:sz w:val="24"/>
          <w:szCs w:val="24"/>
        </w:rPr>
      </w:pPr>
    </w:p>
    <w:p w:rsidR="009341CC" w:rsidRPr="00FF60BA" w:rsidRDefault="005B54C9">
      <w:pPr>
        <w:ind w:left="57"/>
        <w:jc w:val="center"/>
        <w:rPr>
          <w:b/>
          <w:bCs/>
          <w:sz w:val="24"/>
          <w:szCs w:val="24"/>
        </w:rPr>
      </w:pPr>
      <w:r>
        <w:rPr>
          <w:b/>
          <w:bCs/>
          <w:sz w:val="24"/>
          <w:szCs w:val="24"/>
          <w:u w:val="single"/>
        </w:rPr>
        <w:t>DOSSIER 2</w:t>
      </w:r>
      <w:r w:rsidR="00FF60BA">
        <w:rPr>
          <w:b/>
          <w:bCs/>
          <w:sz w:val="24"/>
          <w:szCs w:val="24"/>
          <w:u w:val="single"/>
        </w:rPr>
        <w:t xml:space="preserve"> </w:t>
      </w:r>
      <w:r w:rsidRPr="00FF60BA">
        <w:rPr>
          <w:b/>
          <w:bCs/>
          <w:sz w:val="24"/>
          <w:szCs w:val="24"/>
        </w:rPr>
        <w:t xml:space="preserve">  </w:t>
      </w:r>
    </w:p>
    <w:p w:rsidR="009341CC" w:rsidRDefault="009341CC">
      <w:pPr>
        <w:ind w:left="57"/>
        <w:rPr>
          <w:b/>
          <w:bCs/>
          <w:sz w:val="24"/>
          <w:szCs w:val="24"/>
          <w:u w:val="single"/>
        </w:rPr>
      </w:pPr>
    </w:p>
    <w:p w:rsidR="009341CC" w:rsidRPr="00FF60BA" w:rsidRDefault="009341CC">
      <w:pPr>
        <w:ind w:left="57"/>
        <w:rPr>
          <w:b/>
          <w:bCs/>
          <w:sz w:val="24"/>
          <w:szCs w:val="24"/>
        </w:rPr>
      </w:pPr>
      <w:r>
        <w:rPr>
          <w:b/>
          <w:bCs/>
          <w:sz w:val="24"/>
          <w:szCs w:val="24"/>
          <w:u w:val="single"/>
        </w:rPr>
        <w:t>Première partie.</w:t>
      </w:r>
      <w:r w:rsidR="00FF60BA">
        <w:rPr>
          <w:b/>
          <w:bCs/>
          <w:sz w:val="24"/>
          <w:szCs w:val="24"/>
          <w:u w:val="single"/>
        </w:rPr>
        <w:t xml:space="preserve"> </w:t>
      </w:r>
    </w:p>
    <w:p w:rsidR="009341CC" w:rsidRDefault="009341CC">
      <w:pPr>
        <w:ind w:left="57"/>
        <w:rPr>
          <w:b/>
          <w:bCs/>
          <w:sz w:val="24"/>
          <w:szCs w:val="24"/>
          <w:u w:val="single"/>
        </w:rPr>
      </w:pPr>
    </w:p>
    <w:p w:rsidR="009341CC" w:rsidRDefault="009341CC">
      <w:pPr>
        <w:ind w:left="57"/>
        <w:rPr>
          <w:b/>
          <w:bCs/>
          <w:sz w:val="24"/>
          <w:szCs w:val="24"/>
        </w:rPr>
      </w:pPr>
      <w:r>
        <w:rPr>
          <w:b/>
          <w:bCs/>
          <w:sz w:val="24"/>
          <w:szCs w:val="24"/>
        </w:rPr>
        <w:t xml:space="preserve">1) </w:t>
      </w:r>
      <w:r w:rsidR="00FF60BA">
        <w:rPr>
          <w:b/>
          <w:bCs/>
          <w:sz w:val="24"/>
          <w:szCs w:val="24"/>
        </w:rPr>
        <w:t>I</w:t>
      </w:r>
      <w:r>
        <w:rPr>
          <w:b/>
          <w:bCs/>
          <w:sz w:val="24"/>
          <w:szCs w:val="24"/>
        </w:rPr>
        <w:t>ntérêt de la notion de BFR normatif.</w:t>
      </w:r>
    </w:p>
    <w:p w:rsidR="00E37393" w:rsidRDefault="00E37393">
      <w:pPr>
        <w:ind w:left="57"/>
        <w:rPr>
          <w:b/>
          <w:bCs/>
          <w:sz w:val="24"/>
          <w:szCs w:val="24"/>
        </w:rPr>
      </w:pPr>
    </w:p>
    <w:p w:rsidR="009341CC" w:rsidRDefault="009341CC">
      <w:pPr>
        <w:ind w:left="57"/>
        <w:jc w:val="both"/>
        <w:rPr>
          <w:sz w:val="24"/>
          <w:szCs w:val="24"/>
        </w:rPr>
      </w:pPr>
      <w:r>
        <w:rPr>
          <w:sz w:val="24"/>
          <w:szCs w:val="24"/>
        </w:rPr>
        <w:t>- Le BFR normatif, exprimé en jours de CA HT, permet de prévoir l’investissement en BFR</w:t>
      </w:r>
      <w:r w:rsidR="00F55A66">
        <w:rPr>
          <w:sz w:val="24"/>
          <w:szCs w:val="24"/>
        </w:rPr>
        <w:t xml:space="preserve"> et donc le FRNG nécessaire.</w:t>
      </w:r>
    </w:p>
    <w:p w:rsidR="009341CC" w:rsidRDefault="009341CC">
      <w:pPr>
        <w:ind w:left="57"/>
        <w:jc w:val="both"/>
        <w:rPr>
          <w:sz w:val="24"/>
          <w:szCs w:val="24"/>
        </w:rPr>
      </w:pPr>
      <w:r>
        <w:rPr>
          <w:sz w:val="24"/>
          <w:szCs w:val="24"/>
        </w:rPr>
        <w:t>- Le BFR normatif permet de faire une analyse du BFR constaté au bilan.</w:t>
      </w:r>
    </w:p>
    <w:p w:rsidR="00F55A66" w:rsidRDefault="00F55A66">
      <w:pPr>
        <w:ind w:left="57"/>
        <w:jc w:val="both"/>
        <w:rPr>
          <w:sz w:val="24"/>
          <w:szCs w:val="24"/>
        </w:rPr>
      </w:pPr>
      <w:r>
        <w:rPr>
          <w:sz w:val="24"/>
          <w:szCs w:val="24"/>
        </w:rPr>
        <w:t xml:space="preserve">- le BFR normatif permet de réaliser des simulations et d'étudier l'impact de la variation d'un poste  sur la trésorerie. </w:t>
      </w:r>
    </w:p>
    <w:p w:rsidR="00F55A66" w:rsidRDefault="00F55A66">
      <w:pPr>
        <w:ind w:left="57"/>
        <w:rPr>
          <w:sz w:val="24"/>
          <w:szCs w:val="24"/>
        </w:rPr>
      </w:pPr>
    </w:p>
    <w:p w:rsidR="009341CC" w:rsidRDefault="009341CC">
      <w:pPr>
        <w:ind w:left="57"/>
        <w:rPr>
          <w:b/>
          <w:bCs/>
          <w:sz w:val="24"/>
          <w:szCs w:val="24"/>
        </w:rPr>
      </w:pPr>
      <w:r>
        <w:rPr>
          <w:b/>
          <w:bCs/>
          <w:sz w:val="24"/>
          <w:szCs w:val="24"/>
        </w:rPr>
        <w:t>2) Calcul du BFR normatif en jours de CA HT.</w:t>
      </w:r>
    </w:p>
    <w:p w:rsidR="00E37393" w:rsidRDefault="00E37393">
      <w:pPr>
        <w:ind w:left="57"/>
        <w:rPr>
          <w:b/>
          <w:bCs/>
          <w:sz w:val="24"/>
          <w:szCs w:val="24"/>
        </w:rPr>
      </w:pPr>
    </w:p>
    <w:tbl>
      <w:tblPr>
        <w:tblW w:w="6991" w:type="dxa"/>
        <w:jc w:val="center"/>
        <w:tblCellMar>
          <w:left w:w="70" w:type="dxa"/>
          <w:right w:w="70" w:type="dxa"/>
        </w:tblCellMar>
        <w:tblLook w:val="0000" w:firstRow="0" w:lastRow="0" w:firstColumn="0" w:lastColumn="0" w:noHBand="0" w:noVBand="0"/>
      </w:tblPr>
      <w:tblGrid>
        <w:gridCol w:w="2140"/>
        <w:gridCol w:w="1180"/>
        <w:gridCol w:w="1260"/>
        <w:gridCol w:w="1191"/>
        <w:gridCol w:w="1220"/>
      </w:tblGrid>
      <w:tr w:rsidR="00E37393" w:rsidTr="00E37393">
        <w:trPr>
          <w:trHeight w:val="48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 </w:t>
            </w:r>
          </w:p>
        </w:tc>
        <w:tc>
          <w:tcPr>
            <w:tcW w:w="1180" w:type="dxa"/>
            <w:tcBorders>
              <w:top w:val="single" w:sz="4" w:space="0" w:color="auto"/>
              <w:left w:val="single" w:sz="4" w:space="0" w:color="auto"/>
              <w:bottom w:val="single" w:sz="4" w:space="0" w:color="auto"/>
              <w:right w:val="single" w:sz="4" w:space="0" w:color="auto"/>
            </w:tcBorders>
            <w:noWrap/>
            <w:vAlign w:val="center"/>
          </w:tcPr>
          <w:p w:rsidR="00E37393" w:rsidRDefault="00E37393">
            <w:pPr>
              <w:jc w:val="center"/>
              <w:rPr>
                <w:sz w:val="24"/>
                <w:szCs w:val="24"/>
              </w:rPr>
            </w:pPr>
            <w:r>
              <w:rPr>
                <w:sz w:val="24"/>
                <w:szCs w:val="24"/>
              </w:rPr>
              <w:t>Délais</w:t>
            </w:r>
          </w:p>
        </w:tc>
        <w:tc>
          <w:tcPr>
            <w:tcW w:w="1260" w:type="dxa"/>
            <w:tcBorders>
              <w:top w:val="single" w:sz="4" w:space="0" w:color="auto"/>
              <w:left w:val="nil"/>
              <w:bottom w:val="single" w:sz="4" w:space="0" w:color="auto"/>
              <w:right w:val="single" w:sz="4" w:space="0" w:color="auto"/>
            </w:tcBorders>
            <w:vAlign w:val="center"/>
          </w:tcPr>
          <w:p w:rsidR="00E37393" w:rsidRDefault="00E37393">
            <w:pPr>
              <w:jc w:val="center"/>
              <w:rPr>
                <w:sz w:val="24"/>
                <w:szCs w:val="24"/>
              </w:rPr>
            </w:pPr>
            <w:r>
              <w:rPr>
                <w:sz w:val="24"/>
                <w:szCs w:val="24"/>
              </w:rPr>
              <w:t>coefficients de structure</w:t>
            </w:r>
          </w:p>
        </w:tc>
        <w:tc>
          <w:tcPr>
            <w:tcW w:w="2411" w:type="dxa"/>
            <w:gridSpan w:val="2"/>
            <w:tcBorders>
              <w:top w:val="single" w:sz="4" w:space="0" w:color="auto"/>
              <w:left w:val="nil"/>
              <w:bottom w:val="single" w:sz="4" w:space="0" w:color="auto"/>
              <w:right w:val="single" w:sz="4" w:space="0" w:color="000000"/>
            </w:tcBorders>
            <w:noWrap/>
            <w:vAlign w:val="center"/>
          </w:tcPr>
          <w:p w:rsidR="00E37393" w:rsidRDefault="00E37393">
            <w:pPr>
              <w:jc w:val="center"/>
              <w:rPr>
                <w:sz w:val="24"/>
                <w:szCs w:val="24"/>
              </w:rPr>
            </w:pPr>
            <w:r>
              <w:rPr>
                <w:sz w:val="24"/>
                <w:szCs w:val="24"/>
              </w:rPr>
              <w:t>j. de CA HT</w:t>
            </w:r>
          </w:p>
        </w:tc>
      </w:tr>
      <w:tr w:rsidR="00E37393" w:rsidTr="00E37393">
        <w:trPr>
          <w:trHeight w:val="240"/>
          <w:jc w:val="center"/>
        </w:trPr>
        <w:tc>
          <w:tcPr>
            <w:tcW w:w="2140" w:type="dxa"/>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 </w:t>
            </w:r>
          </w:p>
        </w:tc>
        <w:tc>
          <w:tcPr>
            <w:tcW w:w="1180" w:type="dxa"/>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260" w:type="dxa"/>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191" w:type="dxa"/>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Emplois</w:t>
            </w:r>
          </w:p>
        </w:tc>
        <w:tc>
          <w:tcPr>
            <w:tcW w:w="1220" w:type="dxa"/>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Ressources</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Stocks matières</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75</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34,0%</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25,5</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Stocks en-cours</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15</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59,5%</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8,9</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Stocks produits finis</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40</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85%</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34</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Clients France</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60</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83,70%</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50,2</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Clients Export</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90</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30%</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27</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TVA déductible</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36</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8,4%</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3,02</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 xml:space="preserve">Fournisseurs matières </w:t>
            </w:r>
            <w:proofErr w:type="spellStart"/>
            <w:r>
              <w:rPr>
                <w:sz w:val="24"/>
                <w:szCs w:val="24"/>
              </w:rPr>
              <w:t>prem</w:t>
            </w:r>
            <w:proofErr w:type="spellEnd"/>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60</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33,80%</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20,3</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proofErr w:type="spellStart"/>
            <w:r>
              <w:rPr>
                <w:sz w:val="24"/>
                <w:szCs w:val="24"/>
              </w:rPr>
              <w:t>Fourn</w:t>
            </w:r>
            <w:proofErr w:type="spellEnd"/>
            <w:r>
              <w:rPr>
                <w:sz w:val="24"/>
                <w:szCs w:val="24"/>
              </w:rPr>
              <w:t>. autres ch. externes</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21</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17,30%</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3,6</w:t>
            </w:r>
          </w:p>
        </w:tc>
      </w:tr>
      <w:tr w:rsidR="00E37393" w:rsidTr="00E37393">
        <w:trPr>
          <w:trHeight w:val="240"/>
          <w:jc w:val="center"/>
        </w:trPr>
        <w:tc>
          <w:tcPr>
            <w:tcW w:w="2140" w:type="dxa"/>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TVA collectée</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36</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13,72%</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22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4,94</w:t>
            </w:r>
          </w:p>
        </w:tc>
      </w:tr>
      <w:tr w:rsidR="00E37393" w:rsidTr="00E37393">
        <w:trPr>
          <w:trHeight w:val="240"/>
          <w:jc w:val="center"/>
        </w:trPr>
        <w:tc>
          <w:tcPr>
            <w:tcW w:w="2140" w:type="dxa"/>
            <w:tcBorders>
              <w:top w:val="single" w:sz="4" w:space="0" w:color="auto"/>
              <w:left w:val="single" w:sz="4" w:space="0" w:color="auto"/>
              <w:bottom w:val="nil"/>
              <w:right w:val="nil"/>
            </w:tcBorders>
            <w:noWrap/>
            <w:vAlign w:val="bottom"/>
          </w:tcPr>
          <w:p w:rsidR="00E37393" w:rsidRDefault="00E37393">
            <w:pPr>
              <w:rPr>
                <w:sz w:val="24"/>
                <w:szCs w:val="24"/>
              </w:rPr>
            </w:pPr>
            <w:r>
              <w:rPr>
                <w:sz w:val="24"/>
                <w:szCs w:val="24"/>
              </w:rPr>
              <w:t> </w:t>
            </w:r>
          </w:p>
        </w:tc>
        <w:tc>
          <w:tcPr>
            <w:tcW w:w="1180" w:type="dxa"/>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260"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1191" w:type="dxa"/>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148,62</w:t>
            </w:r>
          </w:p>
        </w:tc>
        <w:tc>
          <w:tcPr>
            <w:tcW w:w="1220" w:type="dxa"/>
            <w:tcBorders>
              <w:top w:val="single" w:sz="4" w:space="0" w:color="auto"/>
              <w:left w:val="nil"/>
              <w:bottom w:val="single" w:sz="4" w:space="0" w:color="auto"/>
              <w:right w:val="single" w:sz="4" w:space="0" w:color="auto"/>
            </w:tcBorders>
            <w:noWrap/>
            <w:vAlign w:val="bottom"/>
          </w:tcPr>
          <w:p w:rsidR="00E37393" w:rsidRDefault="00E37393" w:rsidP="00FF60BA">
            <w:pPr>
              <w:rPr>
                <w:sz w:val="24"/>
                <w:szCs w:val="24"/>
              </w:rPr>
            </w:pPr>
            <w:r>
              <w:rPr>
                <w:sz w:val="24"/>
                <w:szCs w:val="24"/>
              </w:rPr>
              <w:t>28,84</w:t>
            </w:r>
          </w:p>
        </w:tc>
      </w:tr>
      <w:tr w:rsidR="00E37393" w:rsidTr="00E37393">
        <w:trPr>
          <w:trHeight w:val="240"/>
          <w:jc w:val="center"/>
        </w:trPr>
        <w:tc>
          <w:tcPr>
            <w:tcW w:w="2140" w:type="dxa"/>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 </w:t>
            </w:r>
          </w:p>
        </w:tc>
        <w:tc>
          <w:tcPr>
            <w:tcW w:w="2440" w:type="dxa"/>
            <w:gridSpan w:val="2"/>
            <w:tcBorders>
              <w:top w:val="single" w:sz="4" w:space="0" w:color="auto"/>
              <w:left w:val="single" w:sz="4" w:space="0" w:color="auto"/>
              <w:bottom w:val="single" w:sz="4" w:space="0" w:color="auto"/>
              <w:right w:val="nil"/>
            </w:tcBorders>
            <w:noWrap/>
            <w:vAlign w:val="bottom"/>
          </w:tcPr>
          <w:p w:rsidR="00E37393" w:rsidRDefault="00E37393">
            <w:pPr>
              <w:jc w:val="center"/>
              <w:rPr>
                <w:sz w:val="24"/>
                <w:szCs w:val="24"/>
              </w:rPr>
            </w:pPr>
            <w:r>
              <w:rPr>
                <w:sz w:val="24"/>
                <w:szCs w:val="24"/>
              </w:rPr>
              <w:t>BFR normatif =</w:t>
            </w:r>
          </w:p>
        </w:tc>
        <w:tc>
          <w:tcPr>
            <w:tcW w:w="2411" w:type="dxa"/>
            <w:gridSpan w:val="2"/>
            <w:tcBorders>
              <w:top w:val="nil"/>
              <w:left w:val="nil"/>
              <w:bottom w:val="single" w:sz="4" w:space="0" w:color="auto"/>
              <w:right w:val="single" w:sz="4" w:space="0" w:color="auto"/>
            </w:tcBorders>
            <w:noWrap/>
            <w:vAlign w:val="bottom"/>
          </w:tcPr>
          <w:p w:rsidR="00E37393" w:rsidRDefault="00E37393">
            <w:pPr>
              <w:rPr>
                <w:sz w:val="24"/>
                <w:szCs w:val="24"/>
              </w:rPr>
            </w:pPr>
            <w:r>
              <w:rPr>
                <w:sz w:val="24"/>
                <w:szCs w:val="24"/>
              </w:rPr>
              <w:t>119,78 j. de CA HT</w:t>
            </w:r>
          </w:p>
        </w:tc>
      </w:tr>
    </w:tbl>
    <w:p w:rsidR="009341CC" w:rsidRDefault="009341CC">
      <w:pPr>
        <w:ind w:left="57"/>
        <w:rPr>
          <w:b/>
          <w:bCs/>
        </w:rPr>
      </w:pPr>
    </w:p>
    <w:p w:rsidR="009341CC" w:rsidRDefault="009341CC">
      <w:pPr>
        <w:ind w:left="57"/>
        <w:rPr>
          <w:sz w:val="24"/>
          <w:szCs w:val="24"/>
        </w:rPr>
      </w:pPr>
      <w:r>
        <w:rPr>
          <w:sz w:val="24"/>
          <w:szCs w:val="24"/>
        </w:rPr>
        <w:t>Clients France : c</w:t>
      </w:r>
      <w:r w:rsidR="00D92FC7">
        <w:rPr>
          <w:sz w:val="24"/>
          <w:szCs w:val="24"/>
        </w:rPr>
        <w:t xml:space="preserve">oefficient </w:t>
      </w:r>
      <w:r>
        <w:rPr>
          <w:sz w:val="24"/>
          <w:szCs w:val="24"/>
        </w:rPr>
        <w:t xml:space="preserve"> = 70 % × 1,196 = 83,7 %</w:t>
      </w:r>
    </w:p>
    <w:p w:rsidR="009341CC" w:rsidRDefault="009341CC">
      <w:pPr>
        <w:ind w:left="57"/>
        <w:rPr>
          <w:sz w:val="24"/>
          <w:szCs w:val="24"/>
        </w:rPr>
      </w:pPr>
      <w:r>
        <w:rPr>
          <w:sz w:val="24"/>
          <w:szCs w:val="24"/>
        </w:rPr>
        <w:t xml:space="preserve">Fournisseurs autres charges externes : </w:t>
      </w:r>
      <w:r w:rsidR="00D92FC7">
        <w:rPr>
          <w:sz w:val="24"/>
          <w:szCs w:val="24"/>
        </w:rPr>
        <w:t xml:space="preserve">durée </w:t>
      </w:r>
      <w:r>
        <w:rPr>
          <w:sz w:val="24"/>
          <w:szCs w:val="24"/>
        </w:rPr>
        <w:t xml:space="preserve"> = 30 × 70 % = 21 jours</w:t>
      </w:r>
    </w:p>
    <w:p w:rsidR="009341CC" w:rsidRPr="00E37393" w:rsidRDefault="009341CC">
      <w:pPr>
        <w:ind w:left="57"/>
        <w:rPr>
          <w:sz w:val="16"/>
          <w:szCs w:val="16"/>
        </w:rPr>
      </w:pPr>
    </w:p>
    <w:p w:rsidR="009341CC" w:rsidRDefault="009341CC">
      <w:pPr>
        <w:ind w:left="57"/>
        <w:rPr>
          <w:b/>
          <w:bCs/>
          <w:sz w:val="24"/>
          <w:szCs w:val="24"/>
        </w:rPr>
      </w:pPr>
      <w:r>
        <w:rPr>
          <w:b/>
          <w:bCs/>
          <w:sz w:val="24"/>
          <w:szCs w:val="24"/>
        </w:rPr>
        <w:lastRenderedPageBreak/>
        <w:t>3) Analyse du résultat retenu</w:t>
      </w:r>
      <w:r w:rsidR="00973EAB">
        <w:rPr>
          <w:b/>
          <w:bCs/>
          <w:sz w:val="24"/>
          <w:szCs w:val="24"/>
        </w:rPr>
        <w:t xml:space="preserve"> et indiquer les mesures</w:t>
      </w:r>
    </w:p>
    <w:p w:rsidR="00E37393" w:rsidRDefault="00E37393">
      <w:pPr>
        <w:ind w:left="57"/>
        <w:rPr>
          <w:b/>
          <w:bCs/>
          <w:sz w:val="24"/>
          <w:szCs w:val="24"/>
        </w:rPr>
      </w:pPr>
    </w:p>
    <w:p w:rsidR="009341CC" w:rsidRDefault="009341CC" w:rsidP="00973EAB">
      <w:pPr>
        <w:pStyle w:val="Retraitcorpsdetexte"/>
      </w:pPr>
      <w:r>
        <w:t>Le BFR normatif de la société METALUX représente 120 jours de CA HT, ce qui paraît particulièrement élevé.</w:t>
      </w:r>
      <w:r w:rsidR="00973EAB">
        <w:t xml:space="preserve"> </w:t>
      </w:r>
      <w:r>
        <w:t>Pour le secteur d’activité, le BFR normatif représente en moyenne 90 jours de CA HT. Le besoin de financement de l’activité de la société METALUX est donc supérieur d’1/3 à celui présenté en moyenne par le secteur d’activité.</w:t>
      </w:r>
    </w:p>
    <w:p w:rsidR="009341CC" w:rsidRDefault="009341CC">
      <w:pPr>
        <w:ind w:left="57"/>
        <w:jc w:val="both"/>
        <w:rPr>
          <w:sz w:val="24"/>
          <w:szCs w:val="24"/>
        </w:rPr>
      </w:pPr>
      <w:r>
        <w:rPr>
          <w:sz w:val="24"/>
          <w:szCs w:val="24"/>
        </w:rPr>
        <w:t>Cet écart, très important, est dû :</w:t>
      </w:r>
    </w:p>
    <w:p w:rsidR="009341CC" w:rsidRDefault="009341CC">
      <w:pPr>
        <w:ind w:left="57"/>
        <w:jc w:val="both"/>
        <w:rPr>
          <w:sz w:val="24"/>
          <w:szCs w:val="24"/>
        </w:rPr>
      </w:pPr>
      <w:r>
        <w:rPr>
          <w:sz w:val="24"/>
          <w:szCs w:val="24"/>
        </w:rPr>
        <w:t>- à des délais de stockage beaucoup plus longs (plus du double pour les matières et 15 jours de plus pour les produits). La gestion des stocks paraît donc problématique.</w:t>
      </w:r>
    </w:p>
    <w:p w:rsidR="009341CC" w:rsidRDefault="009341CC">
      <w:pPr>
        <w:ind w:left="57"/>
        <w:jc w:val="both"/>
        <w:rPr>
          <w:sz w:val="24"/>
          <w:szCs w:val="24"/>
        </w:rPr>
      </w:pPr>
      <w:r>
        <w:rPr>
          <w:sz w:val="24"/>
          <w:szCs w:val="24"/>
        </w:rPr>
        <w:t>- à des délais de paiement des clients beaucoup plus élevés que ceux pratiqués dans le secteur d’activité (45 jours pour le secteur d’activité contre 69 jours, tous clients confondus, pour la société METALUX).</w:t>
      </w:r>
    </w:p>
    <w:p w:rsidR="009341CC" w:rsidRDefault="009341CC">
      <w:pPr>
        <w:ind w:left="57"/>
        <w:jc w:val="both"/>
        <w:rPr>
          <w:sz w:val="24"/>
          <w:szCs w:val="24"/>
        </w:rPr>
      </w:pPr>
      <w:r>
        <w:rPr>
          <w:sz w:val="24"/>
          <w:szCs w:val="24"/>
        </w:rPr>
        <w:t>L’entreprise semble avoir utilisé les délais de paiement pour conquérir des parts de marché.</w:t>
      </w:r>
    </w:p>
    <w:p w:rsidR="009341CC" w:rsidRPr="00E37393" w:rsidRDefault="009341CC">
      <w:pPr>
        <w:rPr>
          <w:sz w:val="16"/>
          <w:szCs w:val="16"/>
        </w:rPr>
      </w:pPr>
    </w:p>
    <w:p w:rsidR="009341CC" w:rsidRPr="004A22C4" w:rsidRDefault="004A22C4">
      <w:pPr>
        <w:ind w:left="57"/>
        <w:rPr>
          <w:bCs/>
          <w:sz w:val="24"/>
          <w:szCs w:val="24"/>
        </w:rPr>
      </w:pPr>
      <w:r w:rsidRPr="004A22C4">
        <w:rPr>
          <w:bCs/>
          <w:sz w:val="24"/>
          <w:szCs w:val="24"/>
        </w:rPr>
        <w:t xml:space="preserve">Les </w:t>
      </w:r>
      <w:r w:rsidR="009341CC" w:rsidRPr="004A22C4">
        <w:rPr>
          <w:bCs/>
          <w:sz w:val="24"/>
          <w:szCs w:val="24"/>
        </w:rPr>
        <w:t xml:space="preserve"> </w:t>
      </w:r>
      <w:r w:rsidRPr="004A22C4">
        <w:rPr>
          <w:bCs/>
          <w:sz w:val="24"/>
          <w:szCs w:val="24"/>
        </w:rPr>
        <w:t>m</w:t>
      </w:r>
      <w:r w:rsidR="009341CC" w:rsidRPr="004A22C4">
        <w:rPr>
          <w:bCs/>
          <w:sz w:val="24"/>
          <w:szCs w:val="24"/>
        </w:rPr>
        <w:t>esures qui pourraient être envisagées pour améliorer cette situation :</w:t>
      </w:r>
    </w:p>
    <w:p w:rsidR="00973EAB" w:rsidRDefault="00973EAB">
      <w:pPr>
        <w:pStyle w:val="Retraitcorpsdetexte"/>
      </w:pPr>
      <w:r>
        <w:t xml:space="preserve">● </w:t>
      </w:r>
      <w:r w:rsidR="009341CC">
        <w:t>Réduire les stocks</w:t>
      </w:r>
      <w:r>
        <w:t xml:space="preserve"> ;</w:t>
      </w:r>
    </w:p>
    <w:p w:rsidR="009341CC" w:rsidRDefault="00973EAB">
      <w:pPr>
        <w:pStyle w:val="Retraitcorpsdetexte"/>
      </w:pPr>
      <w:r>
        <w:t>● R</w:t>
      </w:r>
      <w:r w:rsidR="009341CC">
        <w:t>approcher les délais de paiement des clients de ceux existant au niveau du secteur d’activité.</w:t>
      </w:r>
    </w:p>
    <w:p w:rsidR="009341CC" w:rsidRDefault="009341CC">
      <w:pPr>
        <w:ind w:left="57"/>
        <w:rPr>
          <w:sz w:val="24"/>
          <w:szCs w:val="24"/>
        </w:rPr>
      </w:pPr>
    </w:p>
    <w:p w:rsidR="009341CC" w:rsidRDefault="004A22C4">
      <w:pPr>
        <w:ind w:left="57"/>
        <w:rPr>
          <w:b/>
          <w:bCs/>
          <w:sz w:val="24"/>
          <w:szCs w:val="24"/>
          <w:u w:val="single"/>
        </w:rPr>
      </w:pPr>
      <w:r>
        <w:rPr>
          <w:b/>
          <w:bCs/>
          <w:sz w:val="24"/>
          <w:szCs w:val="24"/>
          <w:u w:val="single"/>
        </w:rPr>
        <w:t xml:space="preserve">Deuxième Partie </w:t>
      </w:r>
    </w:p>
    <w:p w:rsidR="009341CC" w:rsidRDefault="009341CC">
      <w:pPr>
        <w:ind w:left="57"/>
        <w:rPr>
          <w:b/>
          <w:bCs/>
          <w:sz w:val="24"/>
          <w:szCs w:val="24"/>
          <w:u w:val="single"/>
        </w:rPr>
      </w:pPr>
    </w:p>
    <w:p w:rsidR="009341CC" w:rsidRDefault="009341CC" w:rsidP="004A22C4">
      <w:pPr>
        <w:numPr>
          <w:ilvl w:val="0"/>
          <w:numId w:val="4"/>
        </w:numPr>
        <w:rPr>
          <w:b/>
          <w:bCs/>
          <w:sz w:val="24"/>
          <w:szCs w:val="24"/>
        </w:rPr>
      </w:pPr>
      <w:r>
        <w:rPr>
          <w:b/>
          <w:bCs/>
          <w:sz w:val="24"/>
          <w:szCs w:val="24"/>
        </w:rPr>
        <w:t>Taux d’actualisation.</w:t>
      </w:r>
      <w:r w:rsidR="004A22C4">
        <w:rPr>
          <w:b/>
          <w:bCs/>
          <w:sz w:val="24"/>
          <w:szCs w:val="24"/>
        </w:rPr>
        <w:t xml:space="preserve"> </w:t>
      </w:r>
    </w:p>
    <w:p w:rsidR="00612DA8" w:rsidRPr="00E37393" w:rsidRDefault="00612DA8">
      <w:pPr>
        <w:ind w:left="57"/>
        <w:jc w:val="both"/>
        <w:rPr>
          <w:sz w:val="16"/>
          <w:szCs w:val="16"/>
        </w:rPr>
      </w:pPr>
    </w:p>
    <w:p w:rsidR="009341CC" w:rsidRDefault="009341CC">
      <w:pPr>
        <w:ind w:left="57"/>
        <w:jc w:val="both"/>
        <w:rPr>
          <w:sz w:val="24"/>
          <w:szCs w:val="24"/>
        </w:rPr>
      </w:pPr>
      <w:r>
        <w:rPr>
          <w:sz w:val="24"/>
          <w:szCs w:val="24"/>
        </w:rPr>
        <w:t xml:space="preserve">Le taux d’actualisation </w:t>
      </w:r>
      <w:r w:rsidR="00973EAB">
        <w:rPr>
          <w:sz w:val="24"/>
          <w:szCs w:val="24"/>
        </w:rPr>
        <w:t>peut être déterminé à partir de :</w:t>
      </w:r>
    </w:p>
    <w:p w:rsidR="00973EAB" w:rsidRDefault="00973EAB">
      <w:pPr>
        <w:ind w:left="57"/>
        <w:jc w:val="both"/>
        <w:rPr>
          <w:sz w:val="24"/>
          <w:szCs w:val="24"/>
        </w:rPr>
      </w:pPr>
      <w:r>
        <w:rPr>
          <w:sz w:val="24"/>
          <w:szCs w:val="24"/>
        </w:rPr>
        <w:t xml:space="preserve">- le coût du financement </w:t>
      </w:r>
    </w:p>
    <w:p w:rsidR="009341CC" w:rsidRDefault="00973EAB">
      <w:pPr>
        <w:ind w:left="57"/>
        <w:jc w:val="both"/>
        <w:rPr>
          <w:sz w:val="24"/>
          <w:szCs w:val="24"/>
        </w:rPr>
      </w:pPr>
      <w:r>
        <w:rPr>
          <w:sz w:val="24"/>
          <w:szCs w:val="24"/>
        </w:rPr>
        <w:t xml:space="preserve">- </w:t>
      </w:r>
      <w:r w:rsidR="009341CC">
        <w:rPr>
          <w:sz w:val="24"/>
          <w:szCs w:val="24"/>
        </w:rPr>
        <w:t xml:space="preserve"> le taux requis par les apporteurs de capitaux (actionnaires et prêteurs)</w:t>
      </w:r>
    </w:p>
    <w:p w:rsidR="009341CC" w:rsidRDefault="009341CC">
      <w:pPr>
        <w:pStyle w:val="Retraitcorpsdetexte"/>
      </w:pPr>
      <w:r>
        <w:t>-  le taux de rentabilité minimum exigé par l’entreprise.</w:t>
      </w:r>
    </w:p>
    <w:p w:rsidR="009341CC" w:rsidRPr="00973EAB" w:rsidRDefault="00973EAB">
      <w:pPr>
        <w:rPr>
          <w:bCs/>
          <w:sz w:val="24"/>
          <w:szCs w:val="24"/>
        </w:rPr>
      </w:pPr>
      <w:r>
        <w:rPr>
          <w:bCs/>
          <w:sz w:val="24"/>
          <w:szCs w:val="24"/>
        </w:rPr>
        <w:t>-   le coût d'opportunité.</w:t>
      </w:r>
    </w:p>
    <w:p w:rsidR="00973EAB" w:rsidRDefault="00973EAB">
      <w:pPr>
        <w:rPr>
          <w:b/>
          <w:bCs/>
          <w:sz w:val="24"/>
          <w:szCs w:val="24"/>
          <w:u w:val="single"/>
        </w:rPr>
      </w:pPr>
    </w:p>
    <w:p w:rsidR="009341CC" w:rsidRDefault="009341CC">
      <w:pPr>
        <w:ind w:left="57"/>
        <w:rPr>
          <w:b/>
          <w:bCs/>
          <w:sz w:val="24"/>
          <w:szCs w:val="24"/>
        </w:rPr>
      </w:pPr>
      <w:r>
        <w:rPr>
          <w:b/>
          <w:bCs/>
          <w:sz w:val="24"/>
          <w:szCs w:val="24"/>
        </w:rPr>
        <w:t>2) Tableau des flux nets de trésorerie liés à l’investissement.</w:t>
      </w:r>
    </w:p>
    <w:p w:rsidR="00612DA8" w:rsidRDefault="00612DA8">
      <w:pPr>
        <w:ind w:left="57"/>
        <w:rPr>
          <w:b/>
          <w:bCs/>
          <w:sz w:val="24"/>
          <w:szCs w:val="24"/>
        </w:rPr>
      </w:pPr>
    </w:p>
    <w:p w:rsidR="004A22C4" w:rsidRDefault="004A22C4">
      <w:pPr>
        <w:ind w:left="57"/>
        <w:rPr>
          <w:b/>
          <w:bCs/>
          <w:sz w:val="24"/>
          <w:szCs w:val="24"/>
        </w:rPr>
      </w:pPr>
      <w:r>
        <w:rPr>
          <w:b/>
          <w:bCs/>
          <w:sz w:val="24"/>
          <w:szCs w:val="24"/>
        </w:rPr>
        <w:t>Deux versions de corrigé sont proposé</w:t>
      </w:r>
      <w:r w:rsidR="00612DA8">
        <w:rPr>
          <w:b/>
          <w:bCs/>
          <w:sz w:val="24"/>
          <w:szCs w:val="24"/>
        </w:rPr>
        <w:t>e</w:t>
      </w:r>
      <w:r>
        <w:rPr>
          <w:b/>
          <w:bCs/>
          <w:sz w:val="24"/>
          <w:szCs w:val="24"/>
        </w:rPr>
        <w:t>s suivant le montant des dotations aux amortissements calculés avec ou sans tenir compte de la valeur résiduelle</w:t>
      </w:r>
      <w:r w:rsidR="00612DA8">
        <w:rPr>
          <w:b/>
          <w:bCs/>
          <w:sz w:val="24"/>
          <w:szCs w:val="24"/>
        </w:rPr>
        <w:t> :</w:t>
      </w:r>
    </w:p>
    <w:p w:rsidR="00612DA8" w:rsidRPr="00E37393" w:rsidRDefault="00612DA8">
      <w:pPr>
        <w:ind w:left="57"/>
        <w:rPr>
          <w:b/>
          <w:sz w:val="16"/>
          <w:szCs w:val="16"/>
        </w:rPr>
      </w:pPr>
    </w:p>
    <w:p w:rsidR="004A22C4" w:rsidRPr="004A22C4" w:rsidRDefault="004A22C4">
      <w:pPr>
        <w:ind w:left="57"/>
        <w:rPr>
          <w:b/>
          <w:sz w:val="24"/>
          <w:szCs w:val="24"/>
        </w:rPr>
      </w:pPr>
      <w:r w:rsidRPr="004A22C4">
        <w:rPr>
          <w:b/>
          <w:sz w:val="24"/>
          <w:szCs w:val="24"/>
        </w:rPr>
        <w:t>Version 1</w:t>
      </w:r>
      <w:r w:rsidR="00904CC2">
        <w:rPr>
          <w:b/>
          <w:sz w:val="24"/>
          <w:szCs w:val="24"/>
        </w:rPr>
        <w:t xml:space="preserve"> (dotation aux amortissements = 60 000)</w:t>
      </w:r>
    </w:p>
    <w:p w:rsidR="009341CC" w:rsidRDefault="009341CC">
      <w:pPr>
        <w:ind w:left="57"/>
        <w:rPr>
          <w:sz w:val="24"/>
          <w:szCs w:val="24"/>
        </w:rPr>
      </w:pPr>
      <w:r>
        <w:rPr>
          <w:sz w:val="24"/>
          <w:szCs w:val="24"/>
        </w:rPr>
        <w:t>Calcul des CAF</w:t>
      </w:r>
    </w:p>
    <w:tbl>
      <w:tblPr>
        <w:tblW w:w="0" w:type="auto"/>
        <w:tblInd w:w="55" w:type="dxa"/>
        <w:tblCellMar>
          <w:left w:w="70" w:type="dxa"/>
          <w:right w:w="70" w:type="dxa"/>
        </w:tblCellMar>
        <w:tblLook w:val="0000" w:firstRow="0" w:lastRow="0" w:firstColumn="0" w:lastColumn="0" w:noHBand="0" w:noVBand="0"/>
      </w:tblPr>
      <w:tblGrid>
        <w:gridCol w:w="2297"/>
        <w:gridCol w:w="940"/>
        <w:gridCol w:w="940"/>
        <w:gridCol w:w="940"/>
        <w:gridCol w:w="940"/>
      </w:tblGrid>
      <w:tr w:rsidR="00E37393">
        <w:trPr>
          <w:trHeight w:val="240"/>
        </w:trPr>
        <w:tc>
          <w:tcPr>
            <w:tcW w:w="0" w:type="auto"/>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2009</w:t>
            </w:r>
          </w:p>
        </w:tc>
        <w:tc>
          <w:tcPr>
            <w:tcW w:w="0" w:type="auto"/>
            <w:tcBorders>
              <w:top w:val="single" w:sz="4" w:space="0" w:color="auto"/>
              <w:left w:val="nil"/>
              <w:bottom w:val="single" w:sz="4" w:space="0" w:color="auto"/>
              <w:right w:val="nil"/>
            </w:tcBorders>
            <w:noWrap/>
            <w:vAlign w:val="bottom"/>
          </w:tcPr>
          <w:p w:rsidR="00E37393" w:rsidRDefault="00E37393">
            <w:pPr>
              <w:jc w:val="center"/>
              <w:rPr>
                <w:sz w:val="24"/>
                <w:szCs w:val="24"/>
              </w:rPr>
            </w:pPr>
            <w:r>
              <w:rPr>
                <w:sz w:val="24"/>
                <w:szCs w:val="24"/>
              </w:rPr>
              <w:t>2010</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2011</w:t>
            </w:r>
          </w:p>
        </w:tc>
        <w:tc>
          <w:tcPr>
            <w:tcW w:w="0" w:type="auto"/>
            <w:tcBorders>
              <w:top w:val="single" w:sz="4" w:space="0" w:color="auto"/>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2012</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Chiffre d'affaires</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700 000</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735000</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771750</w:t>
            </w:r>
          </w:p>
        </w:tc>
        <w:tc>
          <w:tcPr>
            <w:tcW w:w="0" w:type="auto"/>
            <w:tcBorders>
              <w:top w:val="nil"/>
              <w:left w:val="nil"/>
              <w:bottom w:val="nil"/>
              <w:right w:val="single" w:sz="4" w:space="0" w:color="auto"/>
            </w:tcBorders>
            <w:noWrap/>
            <w:vAlign w:val="bottom"/>
          </w:tcPr>
          <w:p w:rsidR="00E37393" w:rsidRDefault="00E37393">
            <w:pPr>
              <w:jc w:val="center"/>
              <w:rPr>
                <w:sz w:val="24"/>
                <w:szCs w:val="24"/>
              </w:rPr>
            </w:pPr>
            <w:r>
              <w:rPr>
                <w:sz w:val="24"/>
                <w:szCs w:val="24"/>
              </w:rPr>
              <w:t>771750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coût variable</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-490000</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-514500</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-540225</w:t>
            </w:r>
          </w:p>
        </w:tc>
        <w:tc>
          <w:tcPr>
            <w:tcW w:w="0" w:type="auto"/>
            <w:tcBorders>
              <w:top w:val="nil"/>
              <w:left w:val="nil"/>
              <w:bottom w:val="nil"/>
              <w:right w:val="single" w:sz="4" w:space="0" w:color="auto"/>
            </w:tcBorders>
            <w:noWrap/>
            <w:vAlign w:val="bottom"/>
          </w:tcPr>
          <w:p w:rsidR="00E37393" w:rsidRDefault="00E37393">
            <w:pPr>
              <w:jc w:val="center"/>
              <w:rPr>
                <w:sz w:val="24"/>
                <w:szCs w:val="24"/>
              </w:rPr>
            </w:pPr>
            <w:r>
              <w:rPr>
                <w:sz w:val="24"/>
                <w:szCs w:val="24"/>
              </w:rPr>
              <w:t>-540225</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charges fixes</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-80 000</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-80 000</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-80 000</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-80 000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EBE avant IS</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130 000</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140 500</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151 525</w:t>
            </w:r>
          </w:p>
        </w:tc>
        <w:tc>
          <w:tcPr>
            <w:tcW w:w="0" w:type="auto"/>
            <w:tcBorders>
              <w:top w:val="nil"/>
              <w:left w:val="nil"/>
              <w:bottom w:val="nil"/>
              <w:right w:val="single" w:sz="4" w:space="0" w:color="auto"/>
            </w:tcBorders>
            <w:noWrap/>
            <w:vAlign w:val="bottom"/>
          </w:tcPr>
          <w:p w:rsidR="00E37393" w:rsidRDefault="00E37393">
            <w:pPr>
              <w:jc w:val="center"/>
              <w:rPr>
                <w:sz w:val="24"/>
                <w:szCs w:val="24"/>
              </w:rPr>
            </w:pPr>
            <w:r>
              <w:rPr>
                <w:sz w:val="24"/>
                <w:szCs w:val="24"/>
              </w:rPr>
              <w:t>151 525</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 xml:space="preserve"> - dot </w:t>
            </w:r>
            <w:proofErr w:type="gramStart"/>
            <w:r>
              <w:rPr>
                <w:sz w:val="24"/>
                <w:szCs w:val="24"/>
              </w:rPr>
              <w:t xml:space="preserve">aux </w:t>
            </w:r>
            <w:proofErr w:type="spellStart"/>
            <w:r>
              <w:rPr>
                <w:sz w:val="24"/>
                <w:szCs w:val="24"/>
              </w:rPr>
              <w:t>amort</w:t>
            </w:r>
            <w:proofErr w:type="spellEnd"/>
            <w:proofErr w:type="gramEnd"/>
            <w:r>
              <w:rPr>
                <w:sz w:val="24"/>
                <w:szCs w:val="24"/>
              </w:rPr>
              <w:t>.</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-60 000</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-60 000</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-60 000</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-60 000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Résultat d'exploitation</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70 000</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80 500</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91 525</w:t>
            </w:r>
          </w:p>
        </w:tc>
        <w:tc>
          <w:tcPr>
            <w:tcW w:w="0" w:type="auto"/>
            <w:tcBorders>
              <w:top w:val="nil"/>
              <w:left w:val="nil"/>
              <w:bottom w:val="nil"/>
              <w:right w:val="single" w:sz="4" w:space="0" w:color="auto"/>
            </w:tcBorders>
            <w:noWrap/>
            <w:vAlign w:val="bottom"/>
          </w:tcPr>
          <w:p w:rsidR="00E37393" w:rsidRDefault="00E37393">
            <w:pPr>
              <w:jc w:val="center"/>
              <w:rPr>
                <w:sz w:val="24"/>
                <w:szCs w:val="24"/>
              </w:rPr>
            </w:pPr>
            <w:r>
              <w:rPr>
                <w:sz w:val="24"/>
                <w:szCs w:val="24"/>
              </w:rPr>
              <w:t>91 525</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IS</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-23333</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-26833</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-30508</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-30508</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Calcul des CAF</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106 667</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113 667</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121 017</w:t>
            </w:r>
          </w:p>
        </w:tc>
        <w:tc>
          <w:tcPr>
            <w:tcW w:w="0" w:type="auto"/>
            <w:tcBorders>
              <w:top w:val="nil"/>
              <w:left w:val="nil"/>
              <w:bottom w:val="single" w:sz="4" w:space="0" w:color="auto"/>
              <w:right w:val="single" w:sz="4" w:space="0" w:color="auto"/>
            </w:tcBorders>
            <w:noWrap/>
            <w:vAlign w:val="bottom"/>
          </w:tcPr>
          <w:p w:rsidR="00E37393" w:rsidRDefault="00E37393">
            <w:pPr>
              <w:jc w:val="center"/>
              <w:rPr>
                <w:sz w:val="24"/>
                <w:szCs w:val="24"/>
              </w:rPr>
            </w:pPr>
            <w:r>
              <w:rPr>
                <w:sz w:val="24"/>
                <w:szCs w:val="24"/>
              </w:rPr>
              <w:t>121 017</w:t>
            </w:r>
          </w:p>
        </w:tc>
      </w:tr>
    </w:tbl>
    <w:p w:rsidR="009341CC" w:rsidRDefault="009341CC">
      <w:pPr>
        <w:ind w:left="57"/>
      </w:pPr>
    </w:p>
    <w:p w:rsidR="009341CC" w:rsidRDefault="009341CC">
      <w:pPr>
        <w:ind w:left="57"/>
      </w:pPr>
      <w:r>
        <w:t>FNT liés à l’investissement :</w:t>
      </w:r>
    </w:p>
    <w:tbl>
      <w:tblPr>
        <w:tblW w:w="0" w:type="auto"/>
        <w:tblInd w:w="55" w:type="dxa"/>
        <w:tblCellMar>
          <w:left w:w="70" w:type="dxa"/>
          <w:right w:w="70" w:type="dxa"/>
        </w:tblCellMar>
        <w:tblLook w:val="0000" w:firstRow="0" w:lastRow="0" w:firstColumn="0" w:lastColumn="0" w:noHBand="0" w:noVBand="0"/>
      </w:tblPr>
      <w:tblGrid>
        <w:gridCol w:w="2837"/>
        <w:gridCol w:w="1000"/>
        <w:gridCol w:w="920"/>
        <w:gridCol w:w="920"/>
        <w:gridCol w:w="920"/>
        <w:gridCol w:w="920"/>
      </w:tblGrid>
      <w:tr w:rsidR="00E37393">
        <w:trPr>
          <w:trHeight w:val="240"/>
        </w:trPr>
        <w:tc>
          <w:tcPr>
            <w:tcW w:w="0" w:type="auto"/>
            <w:tcBorders>
              <w:top w:val="single" w:sz="4" w:space="0" w:color="auto"/>
              <w:left w:val="single" w:sz="4" w:space="0" w:color="auto"/>
              <w:bottom w:val="single" w:sz="4" w:space="0" w:color="auto"/>
              <w:right w:val="nil"/>
            </w:tcBorders>
            <w:noWrap/>
            <w:vAlign w:val="bottom"/>
          </w:tcPr>
          <w:p w:rsidR="00E37393" w:rsidRDefault="00E37393">
            <w:pPr>
              <w:rPr>
                <w:sz w:val="24"/>
                <w:szCs w:val="24"/>
              </w:rPr>
            </w:pPr>
            <w:r>
              <w:rPr>
                <w:sz w:val="24"/>
                <w:szCs w:val="24"/>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2008</w:t>
            </w:r>
          </w:p>
        </w:tc>
        <w:tc>
          <w:tcPr>
            <w:tcW w:w="0" w:type="auto"/>
            <w:tcBorders>
              <w:top w:val="single" w:sz="4" w:space="0" w:color="auto"/>
              <w:left w:val="nil"/>
              <w:bottom w:val="single" w:sz="4" w:space="0" w:color="auto"/>
              <w:right w:val="nil"/>
            </w:tcBorders>
            <w:noWrap/>
            <w:vAlign w:val="bottom"/>
          </w:tcPr>
          <w:p w:rsidR="00E37393" w:rsidRDefault="00E37393">
            <w:pPr>
              <w:jc w:val="center"/>
              <w:rPr>
                <w:sz w:val="24"/>
                <w:szCs w:val="24"/>
              </w:rPr>
            </w:pPr>
            <w:r>
              <w:rPr>
                <w:sz w:val="24"/>
                <w:szCs w:val="24"/>
              </w:rPr>
              <w:t>2009</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2010</w:t>
            </w:r>
          </w:p>
        </w:tc>
        <w:tc>
          <w:tcPr>
            <w:tcW w:w="0" w:type="auto"/>
            <w:tcBorders>
              <w:top w:val="single" w:sz="4" w:space="0" w:color="auto"/>
              <w:left w:val="nil"/>
              <w:bottom w:val="single" w:sz="4" w:space="0" w:color="auto"/>
              <w:right w:val="nil"/>
            </w:tcBorders>
            <w:noWrap/>
            <w:vAlign w:val="bottom"/>
          </w:tcPr>
          <w:p w:rsidR="00E37393" w:rsidRDefault="00E37393">
            <w:pPr>
              <w:jc w:val="center"/>
              <w:rPr>
                <w:sz w:val="24"/>
                <w:szCs w:val="24"/>
              </w:rPr>
            </w:pPr>
            <w:r>
              <w:rPr>
                <w:sz w:val="24"/>
                <w:szCs w:val="24"/>
              </w:rPr>
              <w:t>2011</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2012</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CAF</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 </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106 667</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113 667</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121 017</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121 017</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Variation BFRE</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-233 333</w:t>
            </w:r>
          </w:p>
        </w:tc>
        <w:tc>
          <w:tcPr>
            <w:tcW w:w="0" w:type="auto"/>
            <w:tcBorders>
              <w:top w:val="nil"/>
              <w:left w:val="nil"/>
              <w:bottom w:val="nil"/>
              <w:right w:val="nil"/>
            </w:tcBorders>
            <w:noWrap/>
            <w:vAlign w:val="bottom"/>
          </w:tcPr>
          <w:p w:rsidR="00E37393" w:rsidRDefault="00E37393">
            <w:pPr>
              <w:jc w:val="center"/>
              <w:rPr>
                <w:sz w:val="24"/>
                <w:szCs w:val="24"/>
              </w:rPr>
            </w:pPr>
            <w:r>
              <w:rPr>
                <w:sz w:val="24"/>
                <w:szCs w:val="24"/>
              </w:rPr>
              <w:t>-11 667</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-12 250</w:t>
            </w:r>
          </w:p>
        </w:tc>
        <w:tc>
          <w:tcPr>
            <w:tcW w:w="0" w:type="auto"/>
            <w:tcBorders>
              <w:top w:val="nil"/>
              <w:left w:val="nil"/>
              <w:bottom w:val="nil"/>
              <w:right w:val="nil"/>
            </w:tcBorders>
            <w:noWrap/>
            <w:vAlign w:val="bottom"/>
          </w:tcPr>
          <w:p w:rsidR="00E37393" w:rsidRDefault="00E37393">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257 250</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Acquisition de l'équipement</w:t>
            </w: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-420 000</w:t>
            </w:r>
          </w:p>
        </w:tc>
        <w:tc>
          <w:tcPr>
            <w:tcW w:w="0" w:type="auto"/>
            <w:tcBorders>
              <w:top w:val="nil"/>
              <w:left w:val="nil"/>
              <w:bottom w:val="nil"/>
              <w:right w:val="nil"/>
            </w:tcBorders>
            <w:noWrap/>
            <w:vAlign w:val="bottom"/>
          </w:tcPr>
          <w:p w:rsidR="00E37393" w:rsidRDefault="00E37393">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 </w:t>
            </w:r>
          </w:p>
        </w:tc>
        <w:tc>
          <w:tcPr>
            <w:tcW w:w="0" w:type="auto"/>
            <w:tcBorders>
              <w:top w:val="nil"/>
              <w:left w:val="nil"/>
              <w:bottom w:val="nil"/>
              <w:right w:val="nil"/>
            </w:tcBorders>
            <w:noWrap/>
            <w:vAlign w:val="bottom"/>
          </w:tcPr>
          <w:p w:rsidR="00E37393" w:rsidRDefault="00E37393">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pPr>
              <w:jc w:val="center"/>
              <w:rPr>
                <w:sz w:val="24"/>
                <w:szCs w:val="24"/>
              </w:rPr>
            </w:pPr>
            <w:r>
              <w:rPr>
                <w:sz w:val="24"/>
                <w:szCs w:val="24"/>
              </w:rPr>
              <w:t> </w:t>
            </w:r>
          </w:p>
        </w:tc>
      </w:tr>
      <w:tr w:rsidR="00E37393">
        <w:trPr>
          <w:trHeight w:val="240"/>
        </w:trPr>
        <w:tc>
          <w:tcPr>
            <w:tcW w:w="0" w:type="auto"/>
            <w:tcBorders>
              <w:top w:val="nil"/>
              <w:left w:val="single" w:sz="4" w:space="0" w:color="auto"/>
              <w:bottom w:val="nil"/>
              <w:right w:val="nil"/>
            </w:tcBorders>
            <w:noWrap/>
            <w:vAlign w:val="bottom"/>
          </w:tcPr>
          <w:p w:rsidR="00E37393" w:rsidRDefault="00E37393">
            <w:pPr>
              <w:rPr>
                <w:sz w:val="24"/>
                <w:szCs w:val="24"/>
              </w:rPr>
            </w:pPr>
            <w:r>
              <w:rPr>
                <w:sz w:val="24"/>
                <w:szCs w:val="24"/>
              </w:rPr>
              <w:t>Valeur résiduelle</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 </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 </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 </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180 000</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pPr>
              <w:rPr>
                <w:sz w:val="24"/>
                <w:szCs w:val="24"/>
              </w:rPr>
            </w:pPr>
            <w:r>
              <w:rPr>
                <w:sz w:val="24"/>
                <w:szCs w:val="24"/>
              </w:rPr>
              <w:t>FNT liés à l'</w:t>
            </w:r>
            <w:proofErr w:type="spellStart"/>
            <w:r>
              <w:rPr>
                <w:sz w:val="24"/>
                <w:szCs w:val="24"/>
              </w:rPr>
              <w:t>inv</w:t>
            </w:r>
            <w:proofErr w:type="spellEnd"/>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-653 333</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95 000</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101 417</w:t>
            </w:r>
          </w:p>
        </w:tc>
        <w:tc>
          <w:tcPr>
            <w:tcW w:w="0" w:type="auto"/>
            <w:tcBorders>
              <w:top w:val="nil"/>
              <w:left w:val="nil"/>
              <w:bottom w:val="single" w:sz="4" w:space="0" w:color="auto"/>
              <w:right w:val="nil"/>
            </w:tcBorders>
            <w:noWrap/>
            <w:vAlign w:val="bottom"/>
          </w:tcPr>
          <w:p w:rsidR="00E37393" w:rsidRDefault="00E37393">
            <w:pPr>
              <w:jc w:val="center"/>
              <w:rPr>
                <w:sz w:val="24"/>
                <w:szCs w:val="24"/>
              </w:rPr>
            </w:pPr>
            <w:r>
              <w:rPr>
                <w:sz w:val="24"/>
                <w:szCs w:val="24"/>
              </w:rPr>
              <w:t>121 017</w:t>
            </w:r>
          </w:p>
        </w:tc>
        <w:tc>
          <w:tcPr>
            <w:tcW w:w="0" w:type="auto"/>
            <w:tcBorders>
              <w:top w:val="nil"/>
              <w:left w:val="single" w:sz="4" w:space="0" w:color="auto"/>
              <w:bottom w:val="single" w:sz="4" w:space="0" w:color="auto"/>
              <w:right w:val="single" w:sz="4" w:space="0" w:color="auto"/>
            </w:tcBorders>
            <w:noWrap/>
            <w:vAlign w:val="bottom"/>
          </w:tcPr>
          <w:p w:rsidR="00E37393" w:rsidRDefault="00E37393">
            <w:pPr>
              <w:jc w:val="center"/>
              <w:rPr>
                <w:sz w:val="24"/>
                <w:szCs w:val="24"/>
              </w:rPr>
            </w:pPr>
            <w:r>
              <w:rPr>
                <w:sz w:val="24"/>
                <w:szCs w:val="24"/>
              </w:rPr>
              <w:t>558 267</w:t>
            </w:r>
          </w:p>
        </w:tc>
      </w:tr>
    </w:tbl>
    <w:p w:rsidR="009341CC" w:rsidRDefault="009341CC">
      <w:pPr>
        <w:ind w:left="57"/>
      </w:pPr>
    </w:p>
    <w:p w:rsidR="009341CC" w:rsidRDefault="009E6FBF" w:rsidP="009E6FBF">
      <w:pPr>
        <w:ind w:left="57"/>
        <w:rPr>
          <w:b/>
          <w:bCs/>
          <w:sz w:val="24"/>
          <w:szCs w:val="24"/>
        </w:rPr>
      </w:pPr>
      <w:r>
        <w:rPr>
          <w:b/>
          <w:bCs/>
          <w:sz w:val="24"/>
          <w:szCs w:val="24"/>
        </w:rPr>
        <w:lastRenderedPageBreak/>
        <w:t xml:space="preserve">3) </w:t>
      </w:r>
      <w:r w:rsidR="009341CC">
        <w:rPr>
          <w:b/>
          <w:bCs/>
          <w:sz w:val="24"/>
          <w:szCs w:val="24"/>
        </w:rPr>
        <w:t xml:space="preserve">Calcul de </w:t>
      </w:r>
      <w:smartTag w:uri="urn:schemas-microsoft-com:office:smarttags" w:element="PersonName">
        <w:smartTagPr>
          <w:attr w:name="ProductID" w:val="la VAN."/>
        </w:smartTagPr>
        <w:r w:rsidR="009341CC">
          <w:rPr>
            <w:b/>
            <w:bCs/>
            <w:sz w:val="24"/>
            <w:szCs w:val="24"/>
          </w:rPr>
          <w:t>la VAN.</w:t>
        </w:r>
      </w:smartTag>
      <w:r w:rsidR="00DA7609">
        <w:rPr>
          <w:b/>
          <w:bCs/>
          <w:sz w:val="24"/>
          <w:szCs w:val="24"/>
        </w:rPr>
        <w:t xml:space="preserve">  </w:t>
      </w:r>
    </w:p>
    <w:p w:rsidR="00DA7609" w:rsidRDefault="00DA7609">
      <w:pPr>
        <w:ind w:left="57"/>
        <w:rPr>
          <w:b/>
          <w:bCs/>
          <w:sz w:val="24"/>
          <w:szCs w:val="24"/>
        </w:rPr>
      </w:pPr>
    </w:p>
    <w:p w:rsidR="009341CC" w:rsidRDefault="009341CC">
      <w:pPr>
        <w:ind w:left="57"/>
        <w:rPr>
          <w:sz w:val="24"/>
          <w:szCs w:val="24"/>
        </w:rPr>
      </w:pPr>
      <w:r>
        <w:rPr>
          <w:sz w:val="24"/>
          <w:szCs w:val="24"/>
        </w:rPr>
        <w:t>VAN (10%) = - 653 333 + 95 000 × 1,10</w:t>
      </w:r>
      <w:r>
        <w:rPr>
          <w:sz w:val="24"/>
          <w:szCs w:val="24"/>
          <w:vertAlign w:val="superscript"/>
        </w:rPr>
        <w:t>-1</w:t>
      </w:r>
      <w:r>
        <w:rPr>
          <w:sz w:val="24"/>
          <w:szCs w:val="24"/>
        </w:rPr>
        <w:t xml:space="preserve"> + ...... + 558 267 × 1,10</w:t>
      </w:r>
      <w:r>
        <w:rPr>
          <w:sz w:val="24"/>
          <w:szCs w:val="24"/>
          <w:vertAlign w:val="superscript"/>
        </w:rPr>
        <w:t xml:space="preserve">-4 </w:t>
      </w:r>
      <w:r>
        <w:rPr>
          <w:sz w:val="24"/>
          <w:szCs w:val="24"/>
        </w:rPr>
        <w:t>= - 10 928 €</w:t>
      </w:r>
    </w:p>
    <w:p w:rsidR="009341CC" w:rsidRDefault="009341CC">
      <w:pPr>
        <w:ind w:left="57"/>
        <w:rPr>
          <w:sz w:val="24"/>
          <w:szCs w:val="24"/>
        </w:rPr>
      </w:pPr>
    </w:p>
    <w:p w:rsidR="009341CC" w:rsidRDefault="009341CC">
      <w:pPr>
        <w:ind w:left="57"/>
        <w:jc w:val="both"/>
        <w:rPr>
          <w:sz w:val="24"/>
          <w:szCs w:val="24"/>
        </w:rPr>
      </w:pPr>
      <w:smartTag w:uri="urn:schemas-microsoft-com:office:smarttags" w:element="PersonName">
        <w:smartTagPr>
          <w:attr w:name="ProductID" w:val="La VAN"/>
        </w:smartTagPr>
        <w:r>
          <w:rPr>
            <w:sz w:val="24"/>
            <w:szCs w:val="24"/>
          </w:rPr>
          <w:t>La VAN</w:t>
        </w:r>
      </w:smartTag>
      <w:r>
        <w:rPr>
          <w:sz w:val="24"/>
          <w:szCs w:val="24"/>
        </w:rPr>
        <w:t xml:space="preserve"> est </w:t>
      </w:r>
      <w:proofErr w:type="gramStart"/>
      <w:r>
        <w:rPr>
          <w:sz w:val="24"/>
          <w:szCs w:val="24"/>
        </w:rPr>
        <w:t>négative</w:t>
      </w:r>
      <w:proofErr w:type="gramEnd"/>
      <w:r>
        <w:rPr>
          <w:sz w:val="24"/>
          <w:szCs w:val="24"/>
        </w:rPr>
        <w:t>. L’investissement n’est pas rentable. La réalisation de ce projet détruirait de la valeur.</w:t>
      </w:r>
    </w:p>
    <w:p w:rsidR="009341CC" w:rsidRDefault="009341CC">
      <w:pPr>
        <w:rPr>
          <w:sz w:val="24"/>
          <w:szCs w:val="24"/>
        </w:rPr>
      </w:pPr>
    </w:p>
    <w:p w:rsidR="004A22C4" w:rsidRPr="004A22C4" w:rsidRDefault="004A22C4" w:rsidP="004A22C4">
      <w:pPr>
        <w:ind w:left="57"/>
        <w:rPr>
          <w:b/>
          <w:sz w:val="24"/>
          <w:szCs w:val="24"/>
        </w:rPr>
      </w:pPr>
      <w:r w:rsidRPr="004A22C4">
        <w:rPr>
          <w:b/>
          <w:sz w:val="24"/>
          <w:szCs w:val="24"/>
        </w:rPr>
        <w:t xml:space="preserve">Version </w:t>
      </w:r>
      <w:r>
        <w:rPr>
          <w:b/>
          <w:sz w:val="24"/>
          <w:szCs w:val="24"/>
        </w:rPr>
        <w:t>2</w:t>
      </w:r>
      <w:r w:rsidR="00904CC2">
        <w:rPr>
          <w:b/>
          <w:sz w:val="24"/>
          <w:szCs w:val="24"/>
        </w:rPr>
        <w:t xml:space="preserve"> (dotation aux amortissements = 105 000)</w:t>
      </w:r>
    </w:p>
    <w:p w:rsidR="004A22C4" w:rsidRDefault="004A22C4" w:rsidP="004A22C4">
      <w:pPr>
        <w:ind w:left="57"/>
        <w:rPr>
          <w:sz w:val="24"/>
          <w:szCs w:val="24"/>
        </w:rPr>
      </w:pPr>
      <w:r>
        <w:rPr>
          <w:sz w:val="24"/>
          <w:szCs w:val="24"/>
        </w:rPr>
        <w:t>Calcul des CAF</w:t>
      </w:r>
    </w:p>
    <w:tbl>
      <w:tblPr>
        <w:tblW w:w="0" w:type="auto"/>
        <w:tblInd w:w="55" w:type="dxa"/>
        <w:tblCellMar>
          <w:left w:w="70" w:type="dxa"/>
          <w:right w:w="70" w:type="dxa"/>
        </w:tblCellMar>
        <w:tblLook w:val="0000" w:firstRow="0" w:lastRow="0" w:firstColumn="0" w:lastColumn="0" w:noHBand="0" w:noVBand="0"/>
      </w:tblPr>
      <w:tblGrid>
        <w:gridCol w:w="2297"/>
        <w:gridCol w:w="1000"/>
        <w:gridCol w:w="1000"/>
        <w:gridCol w:w="1000"/>
        <w:gridCol w:w="1000"/>
      </w:tblGrid>
      <w:tr w:rsidR="00E37393">
        <w:trPr>
          <w:trHeight w:val="240"/>
        </w:trPr>
        <w:tc>
          <w:tcPr>
            <w:tcW w:w="0" w:type="auto"/>
            <w:tcBorders>
              <w:top w:val="single" w:sz="4" w:space="0" w:color="auto"/>
              <w:left w:val="single" w:sz="4" w:space="0" w:color="auto"/>
              <w:bottom w:val="single" w:sz="4" w:space="0" w:color="auto"/>
              <w:right w:val="nil"/>
            </w:tcBorders>
            <w:noWrap/>
            <w:vAlign w:val="bottom"/>
          </w:tcPr>
          <w:p w:rsidR="00E37393" w:rsidRDefault="00E37393" w:rsidP="002313AA">
            <w:pPr>
              <w:rPr>
                <w:sz w:val="24"/>
                <w:szCs w:val="24"/>
              </w:rPr>
            </w:pPr>
            <w:r>
              <w:rPr>
                <w:sz w:val="24"/>
                <w:szCs w:val="24"/>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2009</w:t>
            </w:r>
          </w:p>
        </w:tc>
        <w:tc>
          <w:tcPr>
            <w:tcW w:w="0" w:type="auto"/>
            <w:tcBorders>
              <w:top w:val="single" w:sz="4" w:space="0" w:color="auto"/>
              <w:left w:val="nil"/>
              <w:bottom w:val="single" w:sz="4" w:space="0" w:color="auto"/>
              <w:right w:val="nil"/>
            </w:tcBorders>
            <w:noWrap/>
            <w:vAlign w:val="bottom"/>
          </w:tcPr>
          <w:p w:rsidR="00E37393" w:rsidRDefault="00E37393" w:rsidP="002313AA">
            <w:pPr>
              <w:jc w:val="center"/>
              <w:rPr>
                <w:sz w:val="24"/>
                <w:szCs w:val="24"/>
              </w:rPr>
            </w:pPr>
            <w:r>
              <w:rPr>
                <w:sz w:val="24"/>
                <w:szCs w:val="24"/>
              </w:rPr>
              <w:t>2010</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2011</w:t>
            </w:r>
          </w:p>
        </w:tc>
        <w:tc>
          <w:tcPr>
            <w:tcW w:w="0" w:type="auto"/>
            <w:tcBorders>
              <w:top w:val="single" w:sz="4" w:space="0" w:color="auto"/>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2012</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Chiffre d'affaires</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700 000</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735000</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771750</w:t>
            </w:r>
          </w:p>
        </w:tc>
        <w:tc>
          <w:tcPr>
            <w:tcW w:w="0" w:type="auto"/>
            <w:tcBorders>
              <w:top w:val="nil"/>
              <w:left w:val="nil"/>
              <w:bottom w:val="nil"/>
              <w:right w:val="single" w:sz="4" w:space="0" w:color="auto"/>
            </w:tcBorders>
            <w:noWrap/>
            <w:vAlign w:val="bottom"/>
          </w:tcPr>
          <w:p w:rsidR="00E37393" w:rsidRDefault="00E37393" w:rsidP="002313AA">
            <w:pPr>
              <w:jc w:val="center"/>
              <w:rPr>
                <w:sz w:val="24"/>
                <w:szCs w:val="24"/>
              </w:rPr>
            </w:pPr>
            <w:r>
              <w:rPr>
                <w:sz w:val="24"/>
                <w:szCs w:val="24"/>
              </w:rPr>
              <w:t>771750</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 xml:space="preserve"> - coût variable</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-490000</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-514500</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-540225</w:t>
            </w:r>
          </w:p>
        </w:tc>
        <w:tc>
          <w:tcPr>
            <w:tcW w:w="0" w:type="auto"/>
            <w:tcBorders>
              <w:top w:val="nil"/>
              <w:left w:val="nil"/>
              <w:bottom w:val="nil"/>
              <w:right w:val="single" w:sz="4" w:space="0" w:color="auto"/>
            </w:tcBorders>
            <w:noWrap/>
            <w:vAlign w:val="bottom"/>
          </w:tcPr>
          <w:p w:rsidR="00E37393" w:rsidRDefault="00E37393" w:rsidP="002313AA">
            <w:pPr>
              <w:jc w:val="center"/>
              <w:rPr>
                <w:sz w:val="24"/>
                <w:szCs w:val="24"/>
              </w:rPr>
            </w:pPr>
            <w:r>
              <w:rPr>
                <w:sz w:val="24"/>
                <w:szCs w:val="24"/>
              </w:rPr>
              <w:t>-540225</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 xml:space="preserve"> - charges fixes</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-80 000</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-80 000</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-80 000</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-80 000</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EBE avant IS</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130 000</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140 500</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151 525</w:t>
            </w:r>
          </w:p>
        </w:tc>
        <w:tc>
          <w:tcPr>
            <w:tcW w:w="0" w:type="auto"/>
            <w:tcBorders>
              <w:top w:val="nil"/>
              <w:left w:val="nil"/>
              <w:bottom w:val="nil"/>
              <w:right w:val="single" w:sz="4" w:space="0" w:color="auto"/>
            </w:tcBorders>
            <w:noWrap/>
            <w:vAlign w:val="bottom"/>
          </w:tcPr>
          <w:p w:rsidR="00E37393" w:rsidRDefault="00E37393" w:rsidP="002313AA">
            <w:pPr>
              <w:jc w:val="center"/>
              <w:rPr>
                <w:sz w:val="24"/>
                <w:szCs w:val="24"/>
              </w:rPr>
            </w:pPr>
            <w:r>
              <w:rPr>
                <w:sz w:val="24"/>
                <w:szCs w:val="24"/>
              </w:rPr>
              <w:t>151 525</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 xml:space="preserve"> - dot </w:t>
            </w:r>
            <w:proofErr w:type="gramStart"/>
            <w:r>
              <w:rPr>
                <w:sz w:val="24"/>
                <w:szCs w:val="24"/>
              </w:rPr>
              <w:t xml:space="preserve">aux </w:t>
            </w:r>
            <w:proofErr w:type="spellStart"/>
            <w:r>
              <w:rPr>
                <w:sz w:val="24"/>
                <w:szCs w:val="24"/>
              </w:rPr>
              <w:t>amort</w:t>
            </w:r>
            <w:proofErr w:type="spellEnd"/>
            <w:proofErr w:type="gramEnd"/>
            <w:r>
              <w:rPr>
                <w:sz w:val="24"/>
                <w:szCs w:val="24"/>
              </w:rPr>
              <w:t>.</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-105 000</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-105 000</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-105 000</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-105 000</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Résultat d'exploitation</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25 000</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35 500</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46 525</w:t>
            </w:r>
          </w:p>
        </w:tc>
        <w:tc>
          <w:tcPr>
            <w:tcW w:w="0" w:type="auto"/>
            <w:tcBorders>
              <w:top w:val="nil"/>
              <w:left w:val="nil"/>
              <w:bottom w:val="nil"/>
              <w:right w:val="single" w:sz="4" w:space="0" w:color="auto"/>
            </w:tcBorders>
            <w:noWrap/>
            <w:vAlign w:val="bottom"/>
          </w:tcPr>
          <w:p w:rsidR="00E37393" w:rsidRDefault="00E37393" w:rsidP="002313AA">
            <w:pPr>
              <w:jc w:val="center"/>
              <w:rPr>
                <w:sz w:val="24"/>
                <w:szCs w:val="24"/>
              </w:rPr>
            </w:pPr>
            <w:r>
              <w:rPr>
                <w:sz w:val="24"/>
                <w:szCs w:val="24"/>
              </w:rPr>
              <w:t>46 525</w:t>
            </w:r>
          </w:p>
        </w:tc>
      </w:tr>
      <w:tr w:rsid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IS</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- 8333</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-11 833</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- 15 508</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- 15 508</w:t>
            </w:r>
          </w:p>
        </w:tc>
      </w:tr>
      <w:tr w:rsidR="00E37393">
        <w:trPr>
          <w:trHeight w:val="240"/>
        </w:trPr>
        <w:tc>
          <w:tcPr>
            <w:tcW w:w="0" w:type="auto"/>
            <w:tcBorders>
              <w:top w:val="nil"/>
              <w:left w:val="single" w:sz="4" w:space="0" w:color="auto"/>
              <w:bottom w:val="single" w:sz="4" w:space="0" w:color="auto"/>
              <w:right w:val="nil"/>
            </w:tcBorders>
            <w:noWrap/>
            <w:vAlign w:val="bottom"/>
          </w:tcPr>
          <w:p w:rsidR="00E37393" w:rsidRDefault="00E37393" w:rsidP="002313AA">
            <w:pPr>
              <w:rPr>
                <w:sz w:val="24"/>
                <w:szCs w:val="24"/>
              </w:rPr>
            </w:pPr>
            <w:r>
              <w:rPr>
                <w:sz w:val="24"/>
                <w:szCs w:val="24"/>
              </w:rPr>
              <w:t>Calcul des CAF</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121 667</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128 667</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136 017</w:t>
            </w:r>
          </w:p>
        </w:tc>
        <w:tc>
          <w:tcPr>
            <w:tcW w:w="0" w:type="auto"/>
            <w:tcBorders>
              <w:top w:val="nil"/>
              <w:left w:val="nil"/>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136 017</w:t>
            </w:r>
          </w:p>
        </w:tc>
      </w:tr>
    </w:tbl>
    <w:p w:rsidR="004A22C4" w:rsidRDefault="004A22C4" w:rsidP="004A22C4">
      <w:pPr>
        <w:ind w:left="57"/>
      </w:pPr>
    </w:p>
    <w:p w:rsidR="004A22C4" w:rsidRDefault="004A22C4" w:rsidP="004A22C4">
      <w:pPr>
        <w:ind w:left="57"/>
      </w:pPr>
      <w:r>
        <w:t>FNT liés à l’investissement :</w:t>
      </w:r>
    </w:p>
    <w:tbl>
      <w:tblPr>
        <w:tblW w:w="7517" w:type="dxa"/>
        <w:tblInd w:w="55" w:type="dxa"/>
        <w:tblCellMar>
          <w:left w:w="70" w:type="dxa"/>
          <w:right w:w="70" w:type="dxa"/>
        </w:tblCellMar>
        <w:tblLook w:val="0000" w:firstRow="0" w:lastRow="0" w:firstColumn="0" w:lastColumn="0" w:noHBand="0" w:noVBand="0"/>
      </w:tblPr>
      <w:tblGrid>
        <w:gridCol w:w="2837"/>
        <w:gridCol w:w="1000"/>
        <w:gridCol w:w="920"/>
        <w:gridCol w:w="920"/>
        <w:gridCol w:w="920"/>
        <w:gridCol w:w="920"/>
      </w:tblGrid>
      <w:tr w:rsidR="00E37393" w:rsidTr="00E37393">
        <w:trPr>
          <w:trHeight w:val="240"/>
        </w:trPr>
        <w:tc>
          <w:tcPr>
            <w:tcW w:w="0" w:type="auto"/>
            <w:tcBorders>
              <w:top w:val="single" w:sz="4" w:space="0" w:color="auto"/>
              <w:left w:val="single" w:sz="4" w:space="0" w:color="auto"/>
              <w:bottom w:val="single" w:sz="4" w:space="0" w:color="auto"/>
              <w:right w:val="nil"/>
            </w:tcBorders>
            <w:noWrap/>
            <w:vAlign w:val="bottom"/>
          </w:tcPr>
          <w:p w:rsidR="00E37393" w:rsidRDefault="00E37393" w:rsidP="002313AA">
            <w:pPr>
              <w:rPr>
                <w:sz w:val="24"/>
                <w:szCs w:val="24"/>
              </w:rPr>
            </w:pPr>
            <w:r>
              <w:rPr>
                <w:sz w:val="24"/>
                <w:szCs w:val="24"/>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2008</w:t>
            </w:r>
          </w:p>
        </w:tc>
        <w:tc>
          <w:tcPr>
            <w:tcW w:w="0" w:type="auto"/>
            <w:tcBorders>
              <w:top w:val="single" w:sz="4" w:space="0" w:color="auto"/>
              <w:left w:val="nil"/>
              <w:bottom w:val="single" w:sz="4" w:space="0" w:color="auto"/>
              <w:right w:val="nil"/>
            </w:tcBorders>
            <w:noWrap/>
            <w:vAlign w:val="bottom"/>
          </w:tcPr>
          <w:p w:rsidR="00E37393" w:rsidRDefault="00E37393" w:rsidP="002313AA">
            <w:pPr>
              <w:jc w:val="center"/>
              <w:rPr>
                <w:sz w:val="24"/>
                <w:szCs w:val="24"/>
              </w:rPr>
            </w:pPr>
            <w:r>
              <w:rPr>
                <w:sz w:val="24"/>
                <w:szCs w:val="24"/>
              </w:rPr>
              <w:t>2009</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2010</w:t>
            </w:r>
          </w:p>
        </w:tc>
        <w:tc>
          <w:tcPr>
            <w:tcW w:w="0" w:type="auto"/>
            <w:tcBorders>
              <w:top w:val="single" w:sz="4" w:space="0" w:color="auto"/>
              <w:left w:val="nil"/>
              <w:bottom w:val="single" w:sz="4" w:space="0" w:color="auto"/>
              <w:right w:val="nil"/>
            </w:tcBorders>
            <w:noWrap/>
            <w:vAlign w:val="bottom"/>
          </w:tcPr>
          <w:p w:rsidR="00E37393" w:rsidRDefault="00E37393" w:rsidP="002313AA">
            <w:pPr>
              <w:jc w:val="center"/>
              <w:rPr>
                <w:sz w:val="24"/>
                <w:szCs w:val="24"/>
              </w:rPr>
            </w:pPr>
            <w:r>
              <w:rPr>
                <w:sz w:val="24"/>
                <w:szCs w:val="24"/>
              </w:rPr>
              <w:t>2011</w:t>
            </w:r>
          </w:p>
        </w:tc>
        <w:tc>
          <w:tcPr>
            <w:tcW w:w="0" w:type="auto"/>
            <w:tcBorders>
              <w:top w:val="single" w:sz="4" w:space="0" w:color="auto"/>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2012</w:t>
            </w:r>
          </w:p>
        </w:tc>
      </w:tr>
      <w:tr w:rsidR="00E37393" w:rsidT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CAF</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 </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121 667</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128 667</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136 017</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136 017</w:t>
            </w:r>
          </w:p>
        </w:tc>
      </w:tr>
      <w:tr w:rsidR="00E37393" w:rsidT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Variation BFRE</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-233 333</w:t>
            </w:r>
          </w:p>
        </w:tc>
        <w:tc>
          <w:tcPr>
            <w:tcW w:w="0" w:type="auto"/>
            <w:tcBorders>
              <w:top w:val="nil"/>
              <w:left w:val="nil"/>
              <w:bottom w:val="nil"/>
              <w:right w:val="nil"/>
            </w:tcBorders>
            <w:noWrap/>
            <w:vAlign w:val="bottom"/>
          </w:tcPr>
          <w:p w:rsidR="00E37393" w:rsidRDefault="00E37393" w:rsidP="002313AA">
            <w:pPr>
              <w:jc w:val="center"/>
              <w:rPr>
                <w:sz w:val="24"/>
                <w:szCs w:val="24"/>
              </w:rPr>
            </w:pPr>
            <w:r>
              <w:rPr>
                <w:sz w:val="24"/>
                <w:szCs w:val="24"/>
              </w:rPr>
              <w:t>-11 667</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-12 250</w:t>
            </w:r>
          </w:p>
        </w:tc>
        <w:tc>
          <w:tcPr>
            <w:tcW w:w="0" w:type="auto"/>
            <w:tcBorders>
              <w:top w:val="nil"/>
              <w:left w:val="nil"/>
              <w:bottom w:val="nil"/>
              <w:right w:val="nil"/>
            </w:tcBorders>
            <w:noWrap/>
            <w:vAlign w:val="bottom"/>
          </w:tcPr>
          <w:p w:rsidR="00E37393" w:rsidRDefault="00E37393" w:rsidP="002313AA">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257 250</w:t>
            </w:r>
          </w:p>
        </w:tc>
      </w:tr>
      <w:tr w:rsidR="00E37393" w:rsidT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Acquisition de l'équipement</w:t>
            </w: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-420 000</w:t>
            </w:r>
          </w:p>
        </w:tc>
        <w:tc>
          <w:tcPr>
            <w:tcW w:w="0" w:type="auto"/>
            <w:tcBorders>
              <w:top w:val="nil"/>
              <w:left w:val="nil"/>
              <w:bottom w:val="nil"/>
              <w:right w:val="nil"/>
            </w:tcBorders>
            <w:noWrap/>
            <w:vAlign w:val="bottom"/>
          </w:tcPr>
          <w:p w:rsidR="00E37393" w:rsidRDefault="00E37393" w:rsidP="002313AA">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 </w:t>
            </w:r>
          </w:p>
        </w:tc>
        <w:tc>
          <w:tcPr>
            <w:tcW w:w="0" w:type="auto"/>
            <w:tcBorders>
              <w:top w:val="nil"/>
              <w:left w:val="nil"/>
              <w:bottom w:val="nil"/>
              <w:right w:val="nil"/>
            </w:tcBorders>
            <w:noWrap/>
            <w:vAlign w:val="bottom"/>
          </w:tcPr>
          <w:p w:rsidR="00E37393" w:rsidRDefault="00E37393" w:rsidP="002313AA">
            <w:pPr>
              <w:jc w:val="center"/>
              <w:rPr>
                <w:sz w:val="24"/>
                <w:szCs w:val="24"/>
              </w:rPr>
            </w:pPr>
          </w:p>
        </w:tc>
        <w:tc>
          <w:tcPr>
            <w:tcW w:w="0" w:type="auto"/>
            <w:tcBorders>
              <w:top w:val="nil"/>
              <w:left w:val="single" w:sz="4" w:space="0" w:color="auto"/>
              <w:bottom w:val="nil"/>
              <w:right w:val="single" w:sz="4" w:space="0" w:color="auto"/>
            </w:tcBorders>
            <w:noWrap/>
            <w:vAlign w:val="bottom"/>
          </w:tcPr>
          <w:p w:rsidR="00E37393" w:rsidRDefault="00E37393" w:rsidP="002313AA">
            <w:pPr>
              <w:jc w:val="center"/>
              <w:rPr>
                <w:sz w:val="24"/>
                <w:szCs w:val="24"/>
              </w:rPr>
            </w:pPr>
            <w:r>
              <w:rPr>
                <w:sz w:val="24"/>
                <w:szCs w:val="24"/>
              </w:rPr>
              <w:t> </w:t>
            </w:r>
          </w:p>
        </w:tc>
      </w:tr>
      <w:tr w:rsidR="00E37393" w:rsidTr="00E37393">
        <w:trPr>
          <w:trHeight w:val="240"/>
        </w:trPr>
        <w:tc>
          <w:tcPr>
            <w:tcW w:w="0" w:type="auto"/>
            <w:tcBorders>
              <w:top w:val="nil"/>
              <w:left w:val="single" w:sz="4" w:space="0" w:color="auto"/>
              <w:bottom w:val="nil"/>
              <w:right w:val="nil"/>
            </w:tcBorders>
            <w:noWrap/>
            <w:vAlign w:val="bottom"/>
          </w:tcPr>
          <w:p w:rsidR="00E37393" w:rsidRDefault="00E37393" w:rsidP="002313AA">
            <w:pPr>
              <w:rPr>
                <w:sz w:val="24"/>
                <w:szCs w:val="24"/>
              </w:rPr>
            </w:pPr>
            <w:r>
              <w:rPr>
                <w:sz w:val="24"/>
                <w:szCs w:val="24"/>
              </w:rPr>
              <w:t>Valeur résiduelle</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 </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 </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 </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 </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180 000</w:t>
            </w:r>
          </w:p>
        </w:tc>
      </w:tr>
      <w:tr w:rsidR="00E37393" w:rsidTr="00E37393">
        <w:trPr>
          <w:trHeight w:val="240"/>
        </w:trPr>
        <w:tc>
          <w:tcPr>
            <w:tcW w:w="0" w:type="auto"/>
            <w:tcBorders>
              <w:top w:val="nil"/>
              <w:left w:val="single" w:sz="4" w:space="0" w:color="auto"/>
              <w:bottom w:val="single" w:sz="4" w:space="0" w:color="auto"/>
              <w:right w:val="nil"/>
            </w:tcBorders>
            <w:noWrap/>
            <w:vAlign w:val="bottom"/>
          </w:tcPr>
          <w:p w:rsidR="00E37393" w:rsidRDefault="00E37393" w:rsidP="002313AA">
            <w:pPr>
              <w:rPr>
                <w:sz w:val="24"/>
                <w:szCs w:val="24"/>
              </w:rPr>
            </w:pPr>
            <w:r>
              <w:rPr>
                <w:sz w:val="24"/>
                <w:szCs w:val="24"/>
              </w:rPr>
              <w:t>FNT liés à l'</w:t>
            </w:r>
            <w:proofErr w:type="spellStart"/>
            <w:r>
              <w:rPr>
                <w:sz w:val="24"/>
                <w:szCs w:val="24"/>
              </w:rPr>
              <w:t>inv</w:t>
            </w:r>
            <w:proofErr w:type="spellEnd"/>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-653333</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110 000</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116 417</w:t>
            </w:r>
          </w:p>
        </w:tc>
        <w:tc>
          <w:tcPr>
            <w:tcW w:w="0" w:type="auto"/>
            <w:tcBorders>
              <w:top w:val="nil"/>
              <w:left w:val="nil"/>
              <w:bottom w:val="single" w:sz="4" w:space="0" w:color="auto"/>
              <w:right w:val="nil"/>
            </w:tcBorders>
            <w:noWrap/>
            <w:vAlign w:val="bottom"/>
          </w:tcPr>
          <w:p w:rsidR="00E37393" w:rsidRDefault="00E37393" w:rsidP="002313AA">
            <w:pPr>
              <w:jc w:val="center"/>
              <w:rPr>
                <w:sz w:val="24"/>
                <w:szCs w:val="24"/>
              </w:rPr>
            </w:pPr>
            <w:r>
              <w:rPr>
                <w:sz w:val="24"/>
                <w:szCs w:val="24"/>
              </w:rPr>
              <w:t>136 017</w:t>
            </w:r>
          </w:p>
        </w:tc>
        <w:tc>
          <w:tcPr>
            <w:tcW w:w="0" w:type="auto"/>
            <w:tcBorders>
              <w:top w:val="nil"/>
              <w:left w:val="single" w:sz="4" w:space="0" w:color="auto"/>
              <w:bottom w:val="single" w:sz="4" w:space="0" w:color="auto"/>
              <w:right w:val="single" w:sz="4" w:space="0" w:color="auto"/>
            </w:tcBorders>
            <w:noWrap/>
            <w:vAlign w:val="bottom"/>
          </w:tcPr>
          <w:p w:rsidR="00E37393" w:rsidRDefault="00E37393" w:rsidP="002313AA">
            <w:pPr>
              <w:jc w:val="center"/>
              <w:rPr>
                <w:sz w:val="24"/>
                <w:szCs w:val="24"/>
              </w:rPr>
            </w:pPr>
            <w:r>
              <w:rPr>
                <w:sz w:val="24"/>
                <w:szCs w:val="24"/>
              </w:rPr>
              <w:t>573 267</w:t>
            </w:r>
          </w:p>
        </w:tc>
      </w:tr>
    </w:tbl>
    <w:p w:rsidR="004A22C4" w:rsidRDefault="004A22C4" w:rsidP="004A22C4">
      <w:pPr>
        <w:ind w:left="57"/>
      </w:pPr>
    </w:p>
    <w:p w:rsidR="004A22C4" w:rsidRDefault="004A22C4" w:rsidP="004A22C4">
      <w:pPr>
        <w:ind w:left="57"/>
        <w:rPr>
          <w:b/>
          <w:bCs/>
          <w:sz w:val="24"/>
          <w:szCs w:val="24"/>
        </w:rPr>
      </w:pPr>
      <w:r>
        <w:rPr>
          <w:b/>
          <w:bCs/>
          <w:sz w:val="24"/>
          <w:szCs w:val="24"/>
        </w:rPr>
        <w:t xml:space="preserve">3) Calcul de </w:t>
      </w:r>
      <w:smartTag w:uri="urn:schemas-microsoft-com:office:smarttags" w:element="PersonName">
        <w:smartTagPr>
          <w:attr w:name="ProductID" w:val="la VAN."/>
        </w:smartTagPr>
        <w:r>
          <w:rPr>
            <w:b/>
            <w:bCs/>
            <w:sz w:val="24"/>
            <w:szCs w:val="24"/>
          </w:rPr>
          <w:t>la VAN.</w:t>
        </w:r>
      </w:smartTag>
    </w:p>
    <w:p w:rsidR="004A22C4" w:rsidRPr="00973EAB" w:rsidRDefault="004A22C4" w:rsidP="004A22C4">
      <w:pPr>
        <w:ind w:left="57"/>
        <w:rPr>
          <w:b/>
          <w:bCs/>
          <w:sz w:val="24"/>
          <w:szCs w:val="24"/>
        </w:rPr>
      </w:pPr>
    </w:p>
    <w:p w:rsidR="004A22C4" w:rsidRDefault="004A22C4" w:rsidP="004A22C4">
      <w:pPr>
        <w:ind w:left="57"/>
        <w:rPr>
          <w:sz w:val="24"/>
          <w:szCs w:val="24"/>
        </w:rPr>
      </w:pPr>
      <w:r>
        <w:rPr>
          <w:sz w:val="24"/>
          <w:szCs w:val="24"/>
        </w:rPr>
        <w:t>VAN (10%) = - 653 333 + 110 000 × 1,10</w:t>
      </w:r>
      <w:r>
        <w:rPr>
          <w:sz w:val="24"/>
          <w:szCs w:val="24"/>
          <w:vertAlign w:val="superscript"/>
        </w:rPr>
        <w:t>-1</w:t>
      </w:r>
      <w:r w:rsidR="00E37393">
        <w:rPr>
          <w:sz w:val="24"/>
          <w:szCs w:val="24"/>
        </w:rPr>
        <w:t xml:space="preserve"> + </w:t>
      </w:r>
      <w:r>
        <w:rPr>
          <w:sz w:val="24"/>
          <w:szCs w:val="24"/>
        </w:rPr>
        <w:t>573 267 × 1,10</w:t>
      </w:r>
      <w:r>
        <w:rPr>
          <w:sz w:val="24"/>
          <w:szCs w:val="24"/>
          <w:vertAlign w:val="superscript"/>
        </w:rPr>
        <w:t xml:space="preserve">-4 </w:t>
      </w:r>
      <w:r>
        <w:rPr>
          <w:sz w:val="24"/>
          <w:szCs w:val="24"/>
        </w:rPr>
        <w:t>= 36 619</w:t>
      </w:r>
    </w:p>
    <w:p w:rsidR="004A22C4" w:rsidRDefault="004A22C4" w:rsidP="004A22C4">
      <w:pPr>
        <w:ind w:left="57"/>
        <w:rPr>
          <w:sz w:val="24"/>
          <w:szCs w:val="24"/>
        </w:rPr>
      </w:pPr>
    </w:p>
    <w:p w:rsidR="004A22C4" w:rsidRDefault="004A22C4" w:rsidP="004A22C4">
      <w:pPr>
        <w:ind w:left="57"/>
        <w:jc w:val="both"/>
        <w:rPr>
          <w:sz w:val="24"/>
          <w:szCs w:val="24"/>
        </w:rPr>
      </w:pPr>
      <w:smartTag w:uri="urn:schemas-microsoft-com:office:smarttags" w:element="PersonName">
        <w:smartTagPr>
          <w:attr w:name="ProductID" w:val="La VAN"/>
        </w:smartTagPr>
        <w:r>
          <w:rPr>
            <w:sz w:val="24"/>
            <w:szCs w:val="24"/>
          </w:rPr>
          <w:t>La VAN</w:t>
        </w:r>
      </w:smartTag>
      <w:r>
        <w:rPr>
          <w:sz w:val="24"/>
          <w:szCs w:val="24"/>
        </w:rPr>
        <w:t xml:space="preserve"> est </w:t>
      </w:r>
      <w:proofErr w:type="gramStart"/>
      <w:r>
        <w:rPr>
          <w:sz w:val="24"/>
          <w:szCs w:val="24"/>
        </w:rPr>
        <w:t>positive</w:t>
      </w:r>
      <w:proofErr w:type="gramEnd"/>
      <w:r>
        <w:rPr>
          <w:sz w:val="24"/>
          <w:szCs w:val="24"/>
        </w:rPr>
        <w:t>. L’investissement est rentable. La réalisation de ce projet créerait de la valeur.</w:t>
      </w:r>
    </w:p>
    <w:p w:rsidR="004A22C4" w:rsidRDefault="004A22C4" w:rsidP="004A22C4">
      <w:pPr>
        <w:rPr>
          <w:sz w:val="24"/>
          <w:szCs w:val="24"/>
        </w:rPr>
      </w:pPr>
    </w:p>
    <w:p w:rsidR="009341CC" w:rsidRPr="008C44FD" w:rsidRDefault="008C44FD">
      <w:pPr>
        <w:ind w:left="57"/>
        <w:jc w:val="center"/>
        <w:rPr>
          <w:b/>
          <w:bCs/>
          <w:sz w:val="24"/>
          <w:szCs w:val="24"/>
        </w:rPr>
      </w:pPr>
      <w:r>
        <w:rPr>
          <w:b/>
          <w:bCs/>
          <w:sz w:val="24"/>
          <w:szCs w:val="24"/>
          <w:u w:val="single"/>
        </w:rPr>
        <w:t xml:space="preserve">DOSSIER 3 </w:t>
      </w:r>
    </w:p>
    <w:p w:rsidR="009341CC" w:rsidRDefault="009341CC">
      <w:pPr>
        <w:ind w:left="57"/>
        <w:jc w:val="center"/>
        <w:rPr>
          <w:b/>
          <w:bCs/>
          <w:sz w:val="24"/>
          <w:szCs w:val="24"/>
          <w:u w:val="single"/>
        </w:rPr>
      </w:pPr>
    </w:p>
    <w:p w:rsidR="009341CC" w:rsidRPr="008C44FD" w:rsidRDefault="008C44FD">
      <w:pPr>
        <w:ind w:left="57"/>
        <w:rPr>
          <w:b/>
          <w:bCs/>
          <w:sz w:val="24"/>
          <w:szCs w:val="24"/>
        </w:rPr>
      </w:pPr>
      <w:r>
        <w:rPr>
          <w:b/>
          <w:bCs/>
          <w:sz w:val="24"/>
          <w:szCs w:val="24"/>
          <w:u w:val="single"/>
        </w:rPr>
        <w:t xml:space="preserve">Première partie </w:t>
      </w:r>
    </w:p>
    <w:p w:rsidR="009341CC" w:rsidRDefault="009341CC">
      <w:pPr>
        <w:ind w:left="57"/>
        <w:rPr>
          <w:b/>
          <w:bCs/>
          <w:sz w:val="24"/>
          <w:szCs w:val="24"/>
          <w:u w:val="single"/>
        </w:rPr>
      </w:pPr>
    </w:p>
    <w:p w:rsidR="009341CC" w:rsidRDefault="009341CC">
      <w:pPr>
        <w:ind w:left="57"/>
        <w:rPr>
          <w:b/>
          <w:bCs/>
          <w:sz w:val="24"/>
          <w:szCs w:val="24"/>
        </w:rPr>
      </w:pPr>
      <w:r>
        <w:rPr>
          <w:b/>
          <w:bCs/>
          <w:sz w:val="24"/>
          <w:szCs w:val="24"/>
        </w:rPr>
        <w:t>1) Position de change en dollars :</w:t>
      </w:r>
    </w:p>
    <w:p w:rsidR="00E37393" w:rsidRDefault="00E37393">
      <w:pPr>
        <w:ind w:left="57"/>
        <w:rPr>
          <w:sz w:val="24"/>
          <w:szCs w:val="24"/>
        </w:rPr>
      </w:pPr>
    </w:p>
    <w:p w:rsidR="009341CC" w:rsidRDefault="009341CC">
      <w:pPr>
        <w:ind w:left="57"/>
        <w:rPr>
          <w:sz w:val="24"/>
          <w:szCs w:val="24"/>
        </w:rPr>
      </w:pPr>
      <w:r>
        <w:rPr>
          <w:sz w:val="24"/>
          <w:szCs w:val="24"/>
        </w:rPr>
        <w:t>Montant des dettes et des commandes fournisseurs :</w:t>
      </w:r>
    </w:p>
    <w:p w:rsidR="009341CC" w:rsidRDefault="009341CC">
      <w:pPr>
        <w:ind w:left="57"/>
        <w:rPr>
          <w:sz w:val="24"/>
          <w:szCs w:val="24"/>
        </w:rPr>
      </w:pPr>
      <w:r>
        <w:rPr>
          <w:sz w:val="24"/>
          <w:szCs w:val="24"/>
        </w:rPr>
        <w:t>8 100 + 34 100 + 1 400 + 15 900 = 59 500</w:t>
      </w:r>
    </w:p>
    <w:p w:rsidR="009341CC" w:rsidRDefault="009341CC">
      <w:pPr>
        <w:ind w:left="57"/>
        <w:rPr>
          <w:sz w:val="24"/>
          <w:szCs w:val="24"/>
        </w:rPr>
      </w:pPr>
    </w:p>
    <w:p w:rsidR="009341CC" w:rsidRDefault="009341CC">
      <w:pPr>
        <w:ind w:left="57"/>
        <w:rPr>
          <w:sz w:val="24"/>
          <w:szCs w:val="24"/>
        </w:rPr>
      </w:pPr>
      <w:r>
        <w:rPr>
          <w:sz w:val="24"/>
          <w:szCs w:val="24"/>
        </w:rPr>
        <w:t>Montant des créances et des commandes clients :</w:t>
      </w:r>
    </w:p>
    <w:p w:rsidR="009341CC" w:rsidRDefault="009341CC">
      <w:pPr>
        <w:ind w:left="57"/>
        <w:rPr>
          <w:sz w:val="24"/>
          <w:szCs w:val="24"/>
        </w:rPr>
      </w:pPr>
      <w:r>
        <w:rPr>
          <w:sz w:val="24"/>
          <w:szCs w:val="24"/>
        </w:rPr>
        <w:t>17 900 + 4 600 + 320 + 45 700 = 68 520</w:t>
      </w:r>
    </w:p>
    <w:p w:rsidR="009341CC" w:rsidRDefault="009341CC">
      <w:pPr>
        <w:ind w:left="57"/>
        <w:rPr>
          <w:sz w:val="24"/>
          <w:szCs w:val="24"/>
        </w:rPr>
      </w:pPr>
    </w:p>
    <w:p w:rsidR="009341CC" w:rsidRDefault="009341CC">
      <w:pPr>
        <w:ind w:left="57"/>
        <w:rPr>
          <w:sz w:val="24"/>
          <w:szCs w:val="24"/>
        </w:rPr>
      </w:pPr>
      <w:r>
        <w:rPr>
          <w:sz w:val="24"/>
          <w:szCs w:val="24"/>
        </w:rPr>
        <w:t>Position de change = 59 500 – 68 520 = - 9</w:t>
      </w:r>
      <w:r w:rsidR="00911D4A">
        <w:rPr>
          <w:sz w:val="24"/>
          <w:szCs w:val="24"/>
        </w:rPr>
        <w:t> </w:t>
      </w:r>
      <w:r>
        <w:rPr>
          <w:sz w:val="24"/>
          <w:szCs w:val="24"/>
        </w:rPr>
        <w:t>020</w:t>
      </w:r>
      <w:r w:rsidR="00911D4A">
        <w:rPr>
          <w:sz w:val="24"/>
          <w:szCs w:val="24"/>
        </w:rPr>
        <w:t xml:space="preserve"> milliers d’euros.</w:t>
      </w:r>
    </w:p>
    <w:p w:rsidR="009341CC" w:rsidRDefault="009341CC">
      <w:pPr>
        <w:rPr>
          <w:sz w:val="24"/>
          <w:szCs w:val="24"/>
        </w:rPr>
      </w:pPr>
    </w:p>
    <w:p w:rsidR="009341CC" w:rsidRDefault="009341CC">
      <w:pPr>
        <w:ind w:left="57"/>
        <w:rPr>
          <w:b/>
          <w:bCs/>
          <w:sz w:val="24"/>
          <w:szCs w:val="24"/>
        </w:rPr>
      </w:pPr>
      <w:r>
        <w:rPr>
          <w:b/>
          <w:bCs/>
          <w:sz w:val="24"/>
          <w:szCs w:val="24"/>
        </w:rPr>
        <w:t>2) Risque de change correspondant.</w:t>
      </w:r>
    </w:p>
    <w:p w:rsidR="00E37393" w:rsidRDefault="00E37393">
      <w:pPr>
        <w:ind w:left="57"/>
        <w:rPr>
          <w:sz w:val="24"/>
          <w:szCs w:val="24"/>
        </w:rPr>
      </w:pPr>
    </w:p>
    <w:p w:rsidR="009341CC" w:rsidRDefault="009341CC">
      <w:pPr>
        <w:ind w:left="57"/>
        <w:rPr>
          <w:sz w:val="24"/>
          <w:szCs w:val="24"/>
        </w:rPr>
      </w:pPr>
      <w:r>
        <w:rPr>
          <w:sz w:val="24"/>
          <w:szCs w:val="24"/>
        </w:rPr>
        <w:t>De par sa position de change, l’entreprise est exposée au risque de diminution du cours de l’USD par rapport à l’euro.</w:t>
      </w:r>
    </w:p>
    <w:p w:rsidR="009341CC" w:rsidRDefault="009341CC">
      <w:pPr>
        <w:ind w:left="57"/>
        <w:rPr>
          <w:sz w:val="24"/>
          <w:szCs w:val="24"/>
        </w:rPr>
      </w:pPr>
    </w:p>
    <w:p w:rsidR="009341CC" w:rsidRDefault="009341CC">
      <w:pPr>
        <w:ind w:left="57"/>
        <w:rPr>
          <w:b/>
          <w:bCs/>
          <w:sz w:val="24"/>
          <w:szCs w:val="24"/>
        </w:rPr>
      </w:pPr>
      <w:r>
        <w:rPr>
          <w:b/>
          <w:bCs/>
          <w:sz w:val="24"/>
          <w:szCs w:val="24"/>
        </w:rPr>
        <w:lastRenderedPageBreak/>
        <w:t>3) Montant de la position de change en € pour un cours de 1,4328 USD</w:t>
      </w:r>
    </w:p>
    <w:p w:rsidR="00E37393" w:rsidRPr="00E37393" w:rsidRDefault="00E37393">
      <w:pPr>
        <w:ind w:left="57"/>
        <w:rPr>
          <w:bCs/>
          <w:i/>
          <w:sz w:val="16"/>
          <w:szCs w:val="16"/>
        </w:rPr>
      </w:pPr>
    </w:p>
    <w:p w:rsidR="009341CC" w:rsidRDefault="009341CC">
      <w:pPr>
        <w:ind w:left="57"/>
        <w:rPr>
          <w:sz w:val="24"/>
          <w:szCs w:val="24"/>
        </w:rPr>
      </w:pPr>
      <w:r>
        <w:rPr>
          <w:sz w:val="24"/>
          <w:szCs w:val="24"/>
        </w:rPr>
        <w:t>9</w:t>
      </w:r>
      <w:r w:rsidR="00911D4A">
        <w:rPr>
          <w:sz w:val="24"/>
          <w:szCs w:val="24"/>
        </w:rPr>
        <w:t> </w:t>
      </w:r>
      <w:r>
        <w:rPr>
          <w:sz w:val="24"/>
          <w:szCs w:val="24"/>
        </w:rPr>
        <w:t>020</w:t>
      </w:r>
      <w:r w:rsidR="00911D4A">
        <w:rPr>
          <w:sz w:val="24"/>
          <w:szCs w:val="24"/>
        </w:rPr>
        <w:t xml:space="preserve"> 000</w:t>
      </w:r>
      <w:r>
        <w:rPr>
          <w:sz w:val="24"/>
          <w:szCs w:val="24"/>
        </w:rPr>
        <w:t xml:space="preserve"> USD = 9</w:t>
      </w:r>
      <w:r w:rsidR="008C44FD">
        <w:rPr>
          <w:sz w:val="24"/>
          <w:szCs w:val="24"/>
        </w:rPr>
        <w:t> </w:t>
      </w:r>
      <w:r>
        <w:rPr>
          <w:sz w:val="24"/>
          <w:szCs w:val="24"/>
        </w:rPr>
        <w:t>020</w:t>
      </w:r>
      <w:r w:rsidR="008C44FD">
        <w:rPr>
          <w:sz w:val="24"/>
          <w:szCs w:val="24"/>
        </w:rPr>
        <w:t xml:space="preserve"> 000</w:t>
      </w:r>
      <w:r>
        <w:rPr>
          <w:sz w:val="24"/>
          <w:szCs w:val="24"/>
        </w:rPr>
        <w:t xml:space="preserve"> / 1,4328 = 6</w:t>
      </w:r>
      <w:r w:rsidR="008C44FD">
        <w:rPr>
          <w:sz w:val="24"/>
          <w:szCs w:val="24"/>
        </w:rPr>
        <w:t> </w:t>
      </w:r>
      <w:r>
        <w:rPr>
          <w:sz w:val="24"/>
          <w:szCs w:val="24"/>
        </w:rPr>
        <w:t>295</w:t>
      </w:r>
      <w:r w:rsidR="008C44FD">
        <w:rPr>
          <w:sz w:val="24"/>
          <w:szCs w:val="24"/>
        </w:rPr>
        <w:t> </w:t>
      </w:r>
      <w:r>
        <w:rPr>
          <w:sz w:val="24"/>
          <w:szCs w:val="24"/>
        </w:rPr>
        <w:t>36</w:t>
      </w:r>
      <w:r w:rsidR="008C44FD">
        <w:rPr>
          <w:sz w:val="24"/>
          <w:szCs w:val="24"/>
        </w:rPr>
        <w:t xml:space="preserve">5,71 </w:t>
      </w:r>
      <w:r>
        <w:rPr>
          <w:sz w:val="24"/>
          <w:szCs w:val="24"/>
        </w:rPr>
        <w:t xml:space="preserve"> €</w:t>
      </w:r>
    </w:p>
    <w:p w:rsidR="009341CC" w:rsidRPr="00E37393" w:rsidRDefault="009341CC">
      <w:pPr>
        <w:ind w:left="57"/>
        <w:rPr>
          <w:sz w:val="16"/>
          <w:szCs w:val="16"/>
        </w:rPr>
      </w:pPr>
    </w:p>
    <w:p w:rsidR="009341CC" w:rsidRDefault="009341CC">
      <w:pPr>
        <w:ind w:left="57"/>
        <w:rPr>
          <w:b/>
          <w:bCs/>
          <w:sz w:val="24"/>
          <w:szCs w:val="24"/>
        </w:rPr>
      </w:pPr>
      <w:r>
        <w:rPr>
          <w:b/>
          <w:bCs/>
          <w:sz w:val="24"/>
          <w:szCs w:val="24"/>
        </w:rPr>
        <w:t>4) Gain ou perte de change</w:t>
      </w:r>
    </w:p>
    <w:p w:rsidR="009341CC" w:rsidRPr="00E37393" w:rsidRDefault="009341CC">
      <w:pPr>
        <w:ind w:left="57"/>
        <w:rPr>
          <w:b/>
          <w:bCs/>
          <w:sz w:val="16"/>
          <w:szCs w:val="16"/>
        </w:rPr>
      </w:pPr>
    </w:p>
    <w:p w:rsidR="009341CC" w:rsidRDefault="009341CC">
      <w:pPr>
        <w:ind w:left="57"/>
        <w:rPr>
          <w:b/>
          <w:bCs/>
          <w:sz w:val="24"/>
          <w:szCs w:val="24"/>
        </w:rPr>
      </w:pPr>
      <w:r>
        <w:rPr>
          <w:b/>
          <w:bCs/>
          <w:sz w:val="24"/>
          <w:szCs w:val="24"/>
        </w:rPr>
        <w:t>41.  1 € = 1,3025</w:t>
      </w:r>
    </w:p>
    <w:p w:rsidR="00E37393" w:rsidRPr="00E37393" w:rsidRDefault="00E37393">
      <w:pPr>
        <w:ind w:left="57"/>
        <w:rPr>
          <w:bCs/>
          <w:i/>
          <w:sz w:val="16"/>
          <w:szCs w:val="16"/>
        </w:rPr>
      </w:pPr>
    </w:p>
    <w:p w:rsidR="009341CC" w:rsidRDefault="009341CC">
      <w:pPr>
        <w:ind w:left="57"/>
        <w:rPr>
          <w:sz w:val="24"/>
          <w:szCs w:val="24"/>
        </w:rPr>
      </w:pPr>
      <w:r>
        <w:rPr>
          <w:sz w:val="24"/>
          <w:szCs w:val="24"/>
        </w:rPr>
        <w:t>Position de change = 9</w:t>
      </w:r>
      <w:r w:rsidR="008C44FD">
        <w:rPr>
          <w:sz w:val="24"/>
          <w:szCs w:val="24"/>
        </w:rPr>
        <w:t> </w:t>
      </w:r>
      <w:r>
        <w:rPr>
          <w:sz w:val="24"/>
          <w:szCs w:val="24"/>
        </w:rPr>
        <w:t>020</w:t>
      </w:r>
      <w:r w:rsidR="008C44FD">
        <w:rPr>
          <w:sz w:val="24"/>
          <w:szCs w:val="24"/>
        </w:rPr>
        <w:t xml:space="preserve"> 000</w:t>
      </w:r>
      <w:r>
        <w:rPr>
          <w:sz w:val="24"/>
          <w:szCs w:val="24"/>
        </w:rPr>
        <w:t xml:space="preserve"> / 1,3025 = 6</w:t>
      </w:r>
      <w:r w:rsidR="008C44FD">
        <w:rPr>
          <w:sz w:val="24"/>
          <w:szCs w:val="24"/>
        </w:rPr>
        <w:t> </w:t>
      </w:r>
      <w:r>
        <w:rPr>
          <w:sz w:val="24"/>
          <w:szCs w:val="24"/>
        </w:rPr>
        <w:t>925</w:t>
      </w:r>
      <w:r w:rsidR="008C44FD">
        <w:rPr>
          <w:sz w:val="24"/>
          <w:szCs w:val="24"/>
        </w:rPr>
        <w:t> </w:t>
      </w:r>
      <w:r>
        <w:rPr>
          <w:sz w:val="24"/>
          <w:szCs w:val="24"/>
        </w:rPr>
        <w:t>14</w:t>
      </w:r>
      <w:r w:rsidR="008C44FD">
        <w:rPr>
          <w:sz w:val="24"/>
          <w:szCs w:val="24"/>
        </w:rPr>
        <w:t>3,95</w:t>
      </w:r>
      <w:r>
        <w:rPr>
          <w:sz w:val="24"/>
          <w:szCs w:val="24"/>
        </w:rPr>
        <w:t xml:space="preserve"> €. </w:t>
      </w:r>
    </w:p>
    <w:p w:rsidR="009341CC" w:rsidRDefault="009341CC">
      <w:pPr>
        <w:ind w:left="57"/>
        <w:rPr>
          <w:sz w:val="24"/>
          <w:szCs w:val="24"/>
        </w:rPr>
      </w:pPr>
      <w:r>
        <w:rPr>
          <w:sz w:val="24"/>
          <w:szCs w:val="24"/>
        </w:rPr>
        <w:t>D’où gain de change = 6</w:t>
      </w:r>
      <w:r w:rsidR="008C44FD">
        <w:rPr>
          <w:sz w:val="24"/>
          <w:szCs w:val="24"/>
        </w:rPr>
        <w:t> </w:t>
      </w:r>
      <w:r>
        <w:rPr>
          <w:sz w:val="24"/>
          <w:szCs w:val="24"/>
        </w:rPr>
        <w:t>925</w:t>
      </w:r>
      <w:r w:rsidR="008C44FD">
        <w:rPr>
          <w:sz w:val="24"/>
          <w:szCs w:val="24"/>
        </w:rPr>
        <w:t> </w:t>
      </w:r>
      <w:r>
        <w:rPr>
          <w:sz w:val="24"/>
          <w:szCs w:val="24"/>
        </w:rPr>
        <w:t>14</w:t>
      </w:r>
      <w:r w:rsidR="008C44FD">
        <w:rPr>
          <w:sz w:val="24"/>
          <w:szCs w:val="24"/>
        </w:rPr>
        <w:t>3,85</w:t>
      </w:r>
      <w:r>
        <w:rPr>
          <w:sz w:val="24"/>
          <w:szCs w:val="24"/>
        </w:rPr>
        <w:t xml:space="preserve"> – 6</w:t>
      </w:r>
      <w:r w:rsidR="008C44FD">
        <w:rPr>
          <w:sz w:val="24"/>
          <w:szCs w:val="24"/>
        </w:rPr>
        <w:t> </w:t>
      </w:r>
      <w:r>
        <w:rPr>
          <w:sz w:val="24"/>
          <w:szCs w:val="24"/>
        </w:rPr>
        <w:t>295</w:t>
      </w:r>
      <w:r w:rsidR="008C44FD">
        <w:rPr>
          <w:sz w:val="24"/>
          <w:szCs w:val="24"/>
        </w:rPr>
        <w:t> </w:t>
      </w:r>
      <w:r>
        <w:rPr>
          <w:sz w:val="24"/>
          <w:szCs w:val="24"/>
        </w:rPr>
        <w:t>36</w:t>
      </w:r>
      <w:r w:rsidR="008C44FD">
        <w:rPr>
          <w:sz w:val="24"/>
          <w:szCs w:val="24"/>
        </w:rPr>
        <w:t xml:space="preserve">5,71 </w:t>
      </w:r>
      <w:r>
        <w:rPr>
          <w:sz w:val="24"/>
          <w:szCs w:val="24"/>
        </w:rPr>
        <w:t xml:space="preserve"> = 629</w:t>
      </w:r>
      <w:r w:rsidR="008C44FD">
        <w:rPr>
          <w:sz w:val="24"/>
          <w:szCs w:val="24"/>
        </w:rPr>
        <w:t> </w:t>
      </w:r>
      <w:r>
        <w:rPr>
          <w:sz w:val="24"/>
          <w:szCs w:val="24"/>
        </w:rPr>
        <w:t>7</w:t>
      </w:r>
      <w:r w:rsidR="008C44FD">
        <w:rPr>
          <w:sz w:val="24"/>
          <w:szCs w:val="24"/>
        </w:rPr>
        <w:t>7</w:t>
      </w:r>
      <w:r>
        <w:rPr>
          <w:sz w:val="24"/>
          <w:szCs w:val="24"/>
        </w:rPr>
        <w:t>8</w:t>
      </w:r>
      <w:r w:rsidR="008C44FD">
        <w:rPr>
          <w:sz w:val="24"/>
          <w:szCs w:val="24"/>
        </w:rPr>
        <w:t>,24</w:t>
      </w:r>
      <w:r>
        <w:rPr>
          <w:sz w:val="24"/>
          <w:szCs w:val="24"/>
        </w:rPr>
        <w:t xml:space="preserve"> €</w:t>
      </w:r>
    </w:p>
    <w:p w:rsidR="009341CC" w:rsidRPr="00E37393" w:rsidRDefault="009341CC">
      <w:pPr>
        <w:ind w:left="57"/>
        <w:rPr>
          <w:sz w:val="16"/>
          <w:szCs w:val="16"/>
        </w:rPr>
      </w:pPr>
    </w:p>
    <w:p w:rsidR="009341CC" w:rsidRDefault="009341CC">
      <w:pPr>
        <w:ind w:left="57"/>
        <w:rPr>
          <w:b/>
          <w:bCs/>
          <w:sz w:val="24"/>
          <w:szCs w:val="24"/>
        </w:rPr>
      </w:pPr>
      <w:r>
        <w:rPr>
          <w:b/>
          <w:bCs/>
          <w:sz w:val="24"/>
          <w:szCs w:val="24"/>
        </w:rPr>
        <w:t>42.  1 € = 1,5921</w:t>
      </w:r>
    </w:p>
    <w:p w:rsidR="00E37393" w:rsidRPr="00E37393" w:rsidRDefault="00E37393" w:rsidP="00BF199F">
      <w:pPr>
        <w:ind w:left="57"/>
        <w:rPr>
          <w:bCs/>
          <w:i/>
          <w:sz w:val="16"/>
          <w:szCs w:val="16"/>
        </w:rPr>
      </w:pPr>
    </w:p>
    <w:p w:rsidR="009341CC" w:rsidRDefault="009341CC">
      <w:pPr>
        <w:ind w:left="57"/>
        <w:rPr>
          <w:sz w:val="24"/>
          <w:szCs w:val="24"/>
        </w:rPr>
      </w:pPr>
      <w:r>
        <w:rPr>
          <w:sz w:val="24"/>
          <w:szCs w:val="24"/>
        </w:rPr>
        <w:t>Position de change = 9</w:t>
      </w:r>
      <w:r w:rsidR="008C44FD">
        <w:rPr>
          <w:sz w:val="24"/>
          <w:szCs w:val="24"/>
        </w:rPr>
        <w:t> </w:t>
      </w:r>
      <w:r>
        <w:rPr>
          <w:sz w:val="24"/>
          <w:szCs w:val="24"/>
        </w:rPr>
        <w:t>020</w:t>
      </w:r>
      <w:r w:rsidR="008C44FD">
        <w:rPr>
          <w:sz w:val="24"/>
          <w:szCs w:val="24"/>
        </w:rPr>
        <w:t xml:space="preserve"> 000</w:t>
      </w:r>
      <w:r>
        <w:rPr>
          <w:sz w:val="24"/>
          <w:szCs w:val="24"/>
        </w:rPr>
        <w:t xml:space="preserve"> / 1,5921 = 5</w:t>
      </w:r>
      <w:r w:rsidR="008C44FD">
        <w:rPr>
          <w:sz w:val="24"/>
          <w:szCs w:val="24"/>
        </w:rPr>
        <w:t> </w:t>
      </w:r>
      <w:r>
        <w:rPr>
          <w:sz w:val="24"/>
          <w:szCs w:val="24"/>
        </w:rPr>
        <w:t>665</w:t>
      </w:r>
      <w:r w:rsidR="008C44FD">
        <w:rPr>
          <w:sz w:val="24"/>
          <w:szCs w:val="24"/>
        </w:rPr>
        <w:t> </w:t>
      </w:r>
      <w:r>
        <w:rPr>
          <w:sz w:val="24"/>
          <w:szCs w:val="24"/>
        </w:rPr>
        <w:t>47</w:t>
      </w:r>
      <w:r w:rsidR="008C44FD">
        <w:rPr>
          <w:sz w:val="24"/>
          <w:szCs w:val="24"/>
        </w:rPr>
        <w:t>3,27</w:t>
      </w:r>
      <w:r>
        <w:rPr>
          <w:sz w:val="24"/>
          <w:szCs w:val="24"/>
        </w:rPr>
        <w:t xml:space="preserve"> € </w:t>
      </w:r>
    </w:p>
    <w:p w:rsidR="009341CC" w:rsidRDefault="009341CC">
      <w:pPr>
        <w:ind w:left="57"/>
        <w:rPr>
          <w:sz w:val="24"/>
          <w:szCs w:val="24"/>
        </w:rPr>
      </w:pPr>
      <w:r>
        <w:rPr>
          <w:sz w:val="24"/>
          <w:szCs w:val="24"/>
        </w:rPr>
        <w:t>D’où perte de change = 5</w:t>
      </w:r>
      <w:r w:rsidR="008C44FD">
        <w:rPr>
          <w:sz w:val="24"/>
          <w:szCs w:val="24"/>
        </w:rPr>
        <w:t> </w:t>
      </w:r>
      <w:r>
        <w:rPr>
          <w:sz w:val="24"/>
          <w:szCs w:val="24"/>
        </w:rPr>
        <w:t>665</w:t>
      </w:r>
      <w:r w:rsidR="008C44FD">
        <w:rPr>
          <w:sz w:val="24"/>
          <w:szCs w:val="24"/>
        </w:rPr>
        <w:t> </w:t>
      </w:r>
      <w:r>
        <w:rPr>
          <w:sz w:val="24"/>
          <w:szCs w:val="24"/>
        </w:rPr>
        <w:t>47</w:t>
      </w:r>
      <w:r w:rsidR="008C44FD">
        <w:rPr>
          <w:sz w:val="24"/>
          <w:szCs w:val="24"/>
        </w:rPr>
        <w:t>3,27</w:t>
      </w:r>
      <w:r>
        <w:rPr>
          <w:sz w:val="24"/>
          <w:szCs w:val="24"/>
        </w:rPr>
        <w:t xml:space="preserve"> – 6</w:t>
      </w:r>
      <w:r w:rsidR="008C44FD">
        <w:rPr>
          <w:sz w:val="24"/>
          <w:szCs w:val="24"/>
        </w:rPr>
        <w:t> </w:t>
      </w:r>
      <w:r>
        <w:rPr>
          <w:sz w:val="24"/>
          <w:szCs w:val="24"/>
        </w:rPr>
        <w:t>295</w:t>
      </w:r>
      <w:r w:rsidR="008C44FD">
        <w:rPr>
          <w:sz w:val="24"/>
          <w:szCs w:val="24"/>
        </w:rPr>
        <w:t> </w:t>
      </w:r>
      <w:r>
        <w:rPr>
          <w:sz w:val="24"/>
          <w:szCs w:val="24"/>
        </w:rPr>
        <w:t>36</w:t>
      </w:r>
      <w:r w:rsidR="008C44FD">
        <w:rPr>
          <w:sz w:val="24"/>
          <w:szCs w:val="24"/>
        </w:rPr>
        <w:t>5,71</w:t>
      </w:r>
      <w:r>
        <w:rPr>
          <w:sz w:val="24"/>
          <w:szCs w:val="24"/>
        </w:rPr>
        <w:t xml:space="preserve"> = - 629</w:t>
      </w:r>
      <w:r w:rsidR="008C44FD">
        <w:rPr>
          <w:sz w:val="24"/>
          <w:szCs w:val="24"/>
        </w:rPr>
        <w:t xml:space="preserve"> </w:t>
      </w:r>
      <w:r>
        <w:rPr>
          <w:sz w:val="24"/>
          <w:szCs w:val="24"/>
        </w:rPr>
        <w:t>89</w:t>
      </w:r>
      <w:r w:rsidR="008C44FD">
        <w:rPr>
          <w:sz w:val="24"/>
          <w:szCs w:val="24"/>
        </w:rPr>
        <w:t>2,44</w:t>
      </w:r>
      <w:r>
        <w:rPr>
          <w:sz w:val="24"/>
          <w:szCs w:val="24"/>
        </w:rPr>
        <w:t xml:space="preserve"> €.</w:t>
      </w:r>
    </w:p>
    <w:p w:rsidR="009341CC" w:rsidRDefault="009341CC">
      <w:pPr>
        <w:ind w:left="57"/>
        <w:rPr>
          <w:sz w:val="24"/>
          <w:szCs w:val="24"/>
        </w:rPr>
      </w:pPr>
    </w:p>
    <w:p w:rsidR="009341CC" w:rsidRPr="00BF199F" w:rsidRDefault="009341CC">
      <w:pPr>
        <w:ind w:left="57"/>
        <w:rPr>
          <w:b/>
          <w:bCs/>
          <w:sz w:val="24"/>
          <w:szCs w:val="24"/>
        </w:rPr>
      </w:pPr>
      <w:r>
        <w:rPr>
          <w:b/>
          <w:bCs/>
          <w:sz w:val="24"/>
          <w:szCs w:val="24"/>
          <w:u w:val="single"/>
        </w:rPr>
        <w:t>Deuxième partie.</w:t>
      </w:r>
      <w:r w:rsidR="00BF199F">
        <w:rPr>
          <w:b/>
          <w:bCs/>
          <w:sz w:val="24"/>
          <w:szCs w:val="24"/>
          <w:u w:val="single"/>
        </w:rPr>
        <w:t xml:space="preserve"> </w:t>
      </w:r>
    </w:p>
    <w:p w:rsidR="009341CC" w:rsidRDefault="009341CC">
      <w:pPr>
        <w:ind w:left="57"/>
        <w:rPr>
          <w:b/>
          <w:bCs/>
          <w:sz w:val="24"/>
          <w:szCs w:val="24"/>
          <w:u w:val="single"/>
        </w:rPr>
      </w:pPr>
    </w:p>
    <w:p w:rsidR="009341CC" w:rsidRDefault="009341CC">
      <w:pPr>
        <w:ind w:left="57"/>
        <w:rPr>
          <w:b/>
          <w:bCs/>
          <w:sz w:val="24"/>
          <w:szCs w:val="24"/>
        </w:rPr>
      </w:pPr>
      <w:r>
        <w:rPr>
          <w:b/>
          <w:bCs/>
          <w:sz w:val="24"/>
          <w:szCs w:val="24"/>
        </w:rPr>
        <w:t>1) Opération de change à terme.</w:t>
      </w:r>
    </w:p>
    <w:p w:rsidR="009341CC" w:rsidRPr="00E37393" w:rsidRDefault="009341CC">
      <w:pPr>
        <w:ind w:left="57"/>
        <w:rPr>
          <w:b/>
          <w:bCs/>
          <w:sz w:val="16"/>
          <w:szCs w:val="16"/>
        </w:rPr>
      </w:pPr>
    </w:p>
    <w:p w:rsidR="009341CC" w:rsidRDefault="009341CC">
      <w:pPr>
        <w:ind w:left="57"/>
        <w:rPr>
          <w:b/>
          <w:bCs/>
          <w:sz w:val="24"/>
          <w:szCs w:val="24"/>
        </w:rPr>
      </w:pPr>
      <w:r>
        <w:rPr>
          <w:b/>
          <w:bCs/>
          <w:sz w:val="24"/>
          <w:szCs w:val="24"/>
        </w:rPr>
        <w:t>11. Achat ou vente d’euros à terme</w:t>
      </w:r>
    </w:p>
    <w:p w:rsidR="00E37393" w:rsidRPr="00E37393" w:rsidRDefault="00E37393">
      <w:pPr>
        <w:ind w:left="57"/>
        <w:rPr>
          <w:bCs/>
          <w:i/>
          <w:sz w:val="16"/>
          <w:szCs w:val="16"/>
        </w:rPr>
      </w:pPr>
    </w:p>
    <w:p w:rsidR="009341CC" w:rsidRDefault="009341CC">
      <w:pPr>
        <w:ind w:left="57"/>
        <w:rPr>
          <w:sz w:val="24"/>
          <w:szCs w:val="24"/>
        </w:rPr>
      </w:pPr>
      <w:r>
        <w:rPr>
          <w:sz w:val="24"/>
          <w:szCs w:val="24"/>
        </w:rPr>
        <w:t>L’entreprise doit acheter des euros à terme contre des yens.</w:t>
      </w:r>
    </w:p>
    <w:p w:rsidR="009341CC" w:rsidRPr="00E37393" w:rsidRDefault="009341CC">
      <w:pPr>
        <w:rPr>
          <w:sz w:val="16"/>
          <w:szCs w:val="16"/>
        </w:rPr>
      </w:pPr>
    </w:p>
    <w:p w:rsidR="009341CC" w:rsidRDefault="009341CC">
      <w:pPr>
        <w:ind w:left="57"/>
        <w:rPr>
          <w:b/>
          <w:bCs/>
          <w:sz w:val="24"/>
          <w:szCs w:val="24"/>
        </w:rPr>
      </w:pPr>
      <w:r>
        <w:rPr>
          <w:b/>
          <w:bCs/>
          <w:sz w:val="24"/>
          <w:szCs w:val="24"/>
        </w:rPr>
        <w:t>12. Situation dans laquelle ce procédé est désavantageux pour l’entreprise.</w:t>
      </w:r>
    </w:p>
    <w:p w:rsidR="00E37393" w:rsidRPr="00E37393" w:rsidRDefault="00E37393">
      <w:pPr>
        <w:ind w:left="57"/>
        <w:jc w:val="both"/>
        <w:rPr>
          <w:sz w:val="16"/>
          <w:szCs w:val="16"/>
        </w:rPr>
      </w:pPr>
    </w:p>
    <w:p w:rsidR="009341CC" w:rsidRDefault="009341CC">
      <w:pPr>
        <w:ind w:left="57"/>
        <w:jc w:val="both"/>
        <w:rPr>
          <w:sz w:val="24"/>
          <w:szCs w:val="24"/>
        </w:rPr>
      </w:pPr>
      <w:r>
        <w:rPr>
          <w:sz w:val="24"/>
          <w:szCs w:val="24"/>
        </w:rPr>
        <w:t>Si le cours du yen est tel que 1€ &lt; 165,33 JPY, le procédé de couverture est désavantageux pour l’entreprise.</w:t>
      </w:r>
    </w:p>
    <w:p w:rsidR="009341CC" w:rsidRDefault="009341CC">
      <w:pPr>
        <w:ind w:left="57"/>
        <w:jc w:val="both"/>
        <w:rPr>
          <w:sz w:val="24"/>
          <w:szCs w:val="24"/>
        </w:rPr>
      </w:pPr>
      <w:r>
        <w:rPr>
          <w:sz w:val="24"/>
          <w:szCs w:val="24"/>
        </w:rPr>
        <w:t>En effet, quelle que soit l’évolution du cours du yen, l’entreprise devra acheter ses euros auprès de sa banque au cours de 1 € = 165,33 JPY. Si, au moment de la conversion, le cours du yen est plus élevé que le cours du contrat à terme, l’entreprise ne pourra pas bénéficier de cette évolution favorable.</w:t>
      </w:r>
    </w:p>
    <w:p w:rsidR="009341CC" w:rsidRPr="00E37393" w:rsidRDefault="009341CC">
      <w:pPr>
        <w:ind w:left="57"/>
        <w:jc w:val="both"/>
        <w:rPr>
          <w:sz w:val="16"/>
          <w:szCs w:val="16"/>
        </w:rPr>
      </w:pPr>
    </w:p>
    <w:p w:rsidR="009341CC" w:rsidRDefault="009341CC">
      <w:pPr>
        <w:ind w:left="57"/>
        <w:rPr>
          <w:b/>
          <w:bCs/>
          <w:sz w:val="24"/>
          <w:szCs w:val="24"/>
        </w:rPr>
      </w:pPr>
      <w:r>
        <w:rPr>
          <w:b/>
          <w:bCs/>
          <w:sz w:val="24"/>
          <w:szCs w:val="24"/>
        </w:rPr>
        <w:t>2) Opération sur option de change.</w:t>
      </w:r>
    </w:p>
    <w:p w:rsidR="009341CC" w:rsidRDefault="009341CC">
      <w:pPr>
        <w:ind w:left="57"/>
        <w:rPr>
          <w:b/>
          <w:bCs/>
          <w:sz w:val="24"/>
          <w:szCs w:val="24"/>
        </w:rPr>
      </w:pPr>
    </w:p>
    <w:p w:rsidR="009341CC" w:rsidRDefault="009341CC">
      <w:pPr>
        <w:ind w:left="57"/>
        <w:rPr>
          <w:b/>
          <w:bCs/>
          <w:sz w:val="24"/>
          <w:szCs w:val="24"/>
        </w:rPr>
      </w:pPr>
      <w:r>
        <w:rPr>
          <w:b/>
          <w:bCs/>
          <w:sz w:val="24"/>
          <w:szCs w:val="24"/>
        </w:rPr>
        <w:t>21. Type d’option à acquérir.</w:t>
      </w:r>
    </w:p>
    <w:p w:rsidR="00E37393" w:rsidRPr="00E37393" w:rsidRDefault="00E37393">
      <w:pPr>
        <w:ind w:left="57"/>
        <w:jc w:val="both"/>
        <w:rPr>
          <w:bCs/>
          <w:i/>
          <w:sz w:val="16"/>
          <w:szCs w:val="16"/>
        </w:rPr>
      </w:pPr>
    </w:p>
    <w:p w:rsidR="009341CC" w:rsidRDefault="009341CC">
      <w:pPr>
        <w:ind w:left="57"/>
        <w:jc w:val="both"/>
        <w:rPr>
          <w:sz w:val="24"/>
          <w:szCs w:val="24"/>
        </w:rPr>
      </w:pPr>
      <w:r>
        <w:rPr>
          <w:sz w:val="24"/>
          <w:szCs w:val="24"/>
        </w:rPr>
        <w:t>Il s’agit d’une option « yens contre euros ».</w:t>
      </w:r>
    </w:p>
    <w:p w:rsidR="009341CC" w:rsidRDefault="009341CC">
      <w:pPr>
        <w:ind w:left="57"/>
        <w:jc w:val="both"/>
        <w:rPr>
          <w:sz w:val="24"/>
          <w:szCs w:val="24"/>
        </w:rPr>
      </w:pPr>
      <w:r>
        <w:rPr>
          <w:sz w:val="24"/>
          <w:szCs w:val="24"/>
        </w:rPr>
        <w:t>Le 30 / 09 / 2008, l’entreprise vendra ses yens contre des euros.</w:t>
      </w:r>
    </w:p>
    <w:p w:rsidR="009341CC" w:rsidRDefault="009341CC">
      <w:pPr>
        <w:pStyle w:val="Retraitcorpsdetexte"/>
      </w:pPr>
      <w:r>
        <w:t>L’entreprise doit donc acheter une option de vente de yens contre eu</w:t>
      </w:r>
      <w:r w:rsidR="00BF199F">
        <w:t>ros ou acheter une option d’achat d’euros contre yens.</w:t>
      </w:r>
    </w:p>
    <w:p w:rsidR="009341CC" w:rsidRPr="00E37393" w:rsidRDefault="009341CC">
      <w:pPr>
        <w:ind w:left="57"/>
        <w:jc w:val="both"/>
        <w:rPr>
          <w:sz w:val="16"/>
          <w:szCs w:val="16"/>
        </w:rPr>
      </w:pPr>
    </w:p>
    <w:p w:rsidR="009341CC" w:rsidRDefault="009341CC">
      <w:pPr>
        <w:ind w:left="57"/>
        <w:rPr>
          <w:b/>
          <w:bCs/>
          <w:sz w:val="24"/>
          <w:szCs w:val="24"/>
        </w:rPr>
      </w:pPr>
      <w:r>
        <w:rPr>
          <w:b/>
          <w:bCs/>
          <w:sz w:val="24"/>
          <w:szCs w:val="24"/>
        </w:rPr>
        <w:t>22.  Dénouement de la situation au 30/09/2008 pour un cours de 1€ = 145,38 JPY.</w:t>
      </w:r>
    </w:p>
    <w:p w:rsidR="00E37393" w:rsidRPr="00E37393" w:rsidRDefault="00E37393">
      <w:pPr>
        <w:ind w:left="57"/>
        <w:rPr>
          <w:b/>
          <w:bCs/>
          <w:sz w:val="16"/>
          <w:szCs w:val="16"/>
        </w:rPr>
      </w:pPr>
    </w:p>
    <w:p w:rsidR="009341CC" w:rsidRDefault="009341CC">
      <w:pPr>
        <w:ind w:left="57"/>
        <w:jc w:val="both"/>
        <w:rPr>
          <w:sz w:val="24"/>
          <w:szCs w:val="24"/>
        </w:rPr>
      </w:pPr>
      <w:r>
        <w:rPr>
          <w:sz w:val="24"/>
          <w:szCs w:val="24"/>
        </w:rPr>
        <w:t>Le cours du yen a augmenté. Il est supérieur au prix d’exercice.</w:t>
      </w:r>
    </w:p>
    <w:p w:rsidR="009341CC" w:rsidRDefault="009341CC">
      <w:pPr>
        <w:ind w:left="57"/>
        <w:jc w:val="both"/>
        <w:rPr>
          <w:sz w:val="24"/>
          <w:szCs w:val="24"/>
        </w:rPr>
      </w:pPr>
      <w:r>
        <w:rPr>
          <w:sz w:val="24"/>
          <w:szCs w:val="24"/>
        </w:rPr>
        <w:t>L’entreprise abandonnera son option et vendra ses yens au cours de 145</w:t>
      </w:r>
      <w:r w:rsidR="00E45274">
        <w:rPr>
          <w:sz w:val="24"/>
          <w:szCs w:val="24"/>
        </w:rPr>
        <w:t>,</w:t>
      </w:r>
      <w:r>
        <w:rPr>
          <w:sz w:val="24"/>
          <w:szCs w:val="24"/>
        </w:rPr>
        <w:t>38.</w:t>
      </w:r>
    </w:p>
    <w:p w:rsidR="009341CC" w:rsidRPr="00E37393" w:rsidRDefault="009341CC">
      <w:pPr>
        <w:ind w:left="57"/>
        <w:jc w:val="both"/>
        <w:rPr>
          <w:sz w:val="16"/>
          <w:szCs w:val="16"/>
        </w:rPr>
      </w:pPr>
    </w:p>
    <w:p w:rsidR="009341CC" w:rsidRDefault="009341CC">
      <w:pPr>
        <w:pStyle w:val="Retraitcorpsdetexte"/>
      </w:pPr>
      <w:r>
        <w:t>Elle encaissera : 26 900 000 / 145</w:t>
      </w:r>
      <w:r w:rsidR="00E45274">
        <w:t>,</w:t>
      </w:r>
      <w:r>
        <w:t>38 = 185 032,33 €.</w:t>
      </w:r>
    </w:p>
    <w:p w:rsidR="009341CC" w:rsidRDefault="009341CC">
      <w:pPr>
        <w:ind w:left="57"/>
        <w:jc w:val="both"/>
        <w:rPr>
          <w:sz w:val="24"/>
          <w:szCs w:val="24"/>
        </w:rPr>
      </w:pPr>
      <w:r>
        <w:rPr>
          <w:sz w:val="24"/>
          <w:szCs w:val="24"/>
        </w:rPr>
        <w:t>Elle a payé son option : 0,014 × 26 900 000 = 376 600 JPY soit en euros, au cours du 28/05/08 :</w:t>
      </w:r>
    </w:p>
    <w:p w:rsidR="009341CC" w:rsidRDefault="009341CC">
      <w:pPr>
        <w:ind w:left="57"/>
        <w:jc w:val="both"/>
        <w:rPr>
          <w:sz w:val="24"/>
          <w:szCs w:val="24"/>
        </w:rPr>
      </w:pPr>
      <w:r>
        <w:rPr>
          <w:sz w:val="24"/>
          <w:szCs w:val="24"/>
        </w:rPr>
        <w:t>376 600 / 163,16 = 2 308,16 €</w:t>
      </w:r>
    </w:p>
    <w:p w:rsidR="009341CC" w:rsidRDefault="009341CC">
      <w:pPr>
        <w:ind w:left="57"/>
        <w:jc w:val="both"/>
        <w:rPr>
          <w:sz w:val="24"/>
          <w:szCs w:val="24"/>
        </w:rPr>
      </w:pPr>
      <w:r>
        <w:rPr>
          <w:sz w:val="24"/>
          <w:szCs w:val="24"/>
        </w:rPr>
        <w:t>Soit montant net encaissé = 185 032,</w:t>
      </w:r>
      <w:r w:rsidR="00BF199F">
        <w:rPr>
          <w:sz w:val="24"/>
          <w:szCs w:val="24"/>
        </w:rPr>
        <w:t>3</w:t>
      </w:r>
      <w:r>
        <w:rPr>
          <w:sz w:val="24"/>
          <w:szCs w:val="24"/>
        </w:rPr>
        <w:t>3 – 2 308,16 = 182 724,</w:t>
      </w:r>
      <w:r w:rsidR="00BF199F">
        <w:rPr>
          <w:sz w:val="24"/>
          <w:szCs w:val="24"/>
        </w:rPr>
        <w:t>1</w:t>
      </w:r>
      <w:r>
        <w:rPr>
          <w:sz w:val="24"/>
          <w:szCs w:val="24"/>
        </w:rPr>
        <w:t>7 €</w:t>
      </w:r>
    </w:p>
    <w:p w:rsidR="009341CC" w:rsidRPr="00E37393" w:rsidRDefault="009341CC">
      <w:pPr>
        <w:ind w:left="57"/>
        <w:jc w:val="both"/>
        <w:rPr>
          <w:sz w:val="16"/>
          <w:szCs w:val="16"/>
        </w:rPr>
      </w:pPr>
    </w:p>
    <w:p w:rsidR="009341CC" w:rsidRDefault="009341CC">
      <w:pPr>
        <w:ind w:left="57"/>
        <w:jc w:val="both"/>
        <w:rPr>
          <w:sz w:val="24"/>
          <w:szCs w:val="24"/>
        </w:rPr>
      </w:pPr>
      <w:r>
        <w:rPr>
          <w:sz w:val="24"/>
          <w:szCs w:val="24"/>
        </w:rPr>
        <w:t>Cours auquel elle a vendu ses yens = 26 900 000 / 182 724,</w:t>
      </w:r>
      <w:r w:rsidR="00BF199F">
        <w:rPr>
          <w:sz w:val="24"/>
          <w:szCs w:val="24"/>
        </w:rPr>
        <w:t>1</w:t>
      </w:r>
      <w:r>
        <w:rPr>
          <w:sz w:val="24"/>
          <w:szCs w:val="24"/>
        </w:rPr>
        <w:t>7 = 147,2</w:t>
      </w:r>
      <w:r w:rsidR="00BF199F">
        <w:rPr>
          <w:sz w:val="24"/>
          <w:szCs w:val="24"/>
        </w:rPr>
        <w:t>2</w:t>
      </w:r>
      <w:r>
        <w:rPr>
          <w:sz w:val="24"/>
          <w:szCs w:val="24"/>
        </w:rPr>
        <w:t>.</w:t>
      </w:r>
    </w:p>
    <w:p w:rsidR="009341CC" w:rsidRPr="00E37393" w:rsidRDefault="009341CC">
      <w:pPr>
        <w:ind w:left="57"/>
        <w:jc w:val="both"/>
        <w:rPr>
          <w:sz w:val="16"/>
          <w:szCs w:val="16"/>
        </w:rPr>
      </w:pPr>
    </w:p>
    <w:p w:rsidR="009341CC" w:rsidRDefault="009341CC">
      <w:pPr>
        <w:ind w:left="57"/>
        <w:jc w:val="both"/>
        <w:rPr>
          <w:sz w:val="24"/>
          <w:szCs w:val="24"/>
        </w:rPr>
      </w:pPr>
      <w:r>
        <w:rPr>
          <w:sz w:val="24"/>
          <w:szCs w:val="24"/>
        </w:rPr>
        <w:t xml:space="preserve">Intérêt de cette opération de couverture : en ayant la possibilité d’abandonner l’option, l’entreprise bénéficie en grande partie de l’évolution favorable du cours du yen. </w:t>
      </w:r>
    </w:p>
    <w:p w:rsidR="009341CC" w:rsidRDefault="009341CC" w:rsidP="00E37393">
      <w:pPr>
        <w:ind w:left="57"/>
        <w:jc w:val="both"/>
        <w:rPr>
          <w:b/>
          <w:bCs/>
          <w:sz w:val="24"/>
          <w:szCs w:val="24"/>
          <w:u w:val="single"/>
        </w:rPr>
      </w:pPr>
      <w:r>
        <w:rPr>
          <w:sz w:val="24"/>
          <w:szCs w:val="24"/>
        </w:rPr>
        <w:t>Elle vend ses yens à 1€ = 147,2</w:t>
      </w:r>
      <w:r w:rsidR="00BF199F">
        <w:rPr>
          <w:sz w:val="24"/>
          <w:szCs w:val="24"/>
        </w:rPr>
        <w:t>2</w:t>
      </w:r>
      <w:r>
        <w:rPr>
          <w:sz w:val="24"/>
          <w:szCs w:val="24"/>
        </w:rPr>
        <w:t xml:space="preserve"> JPY et non au prix d’exercice : 1€ = 165 JPY.</w:t>
      </w:r>
    </w:p>
    <w:p w:rsidR="009341CC" w:rsidRDefault="009341CC"/>
    <w:sectPr w:rsidR="009341CC">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7D" w:rsidRDefault="00AD1F7D">
      <w:r>
        <w:separator/>
      </w:r>
    </w:p>
  </w:endnote>
  <w:endnote w:type="continuationSeparator" w:id="0">
    <w:p w:rsidR="00AD1F7D" w:rsidRDefault="00A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D7" w:rsidRDefault="009D73D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D73D7" w:rsidRDefault="009D73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D7" w:rsidRPr="00AE22E2" w:rsidRDefault="00AE22E2" w:rsidP="00612DA8">
    <w:pPr>
      <w:pStyle w:val="Pieddepage"/>
      <w:tabs>
        <w:tab w:val="left" w:pos="709"/>
      </w:tabs>
      <w:ind w:right="357"/>
      <w:jc w:val="center"/>
    </w:pPr>
    <w:r w:rsidRPr="00AE22E2">
      <w:t>©Comptazine – Reproduction Interdite</w:t>
    </w:r>
    <w:r w:rsidRPr="00AE22E2">
      <w:tab/>
    </w:r>
    <w:r w:rsidR="00612DA8" w:rsidRPr="00AE22E2">
      <w:rPr>
        <w:bCs/>
      </w:rPr>
      <w:tab/>
    </w:r>
    <w:r w:rsidR="00612DA8" w:rsidRPr="00AE22E2">
      <w:rPr>
        <w:rStyle w:val="Numrodepage"/>
        <w:bCs/>
      </w:rPr>
      <w:fldChar w:fldCharType="begin"/>
    </w:r>
    <w:r w:rsidR="00612DA8" w:rsidRPr="00AE22E2">
      <w:rPr>
        <w:rStyle w:val="Numrodepage"/>
        <w:bCs/>
      </w:rPr>
      <w:instrText xml:space="preserve"> PAGE </w:instrText>
    </w:r>
    <w:r w:rsidR="00612DA8" w:rsidRPr="00AE22E2">
      <w:rPr>
        <w:rStyle w:val="Numrodepage"/>
        <w:bCs/>
      </w:rPr>
      <w:fldChar w:fldCharType="separate"/>
    </w:r>
    <w:r w:rsidR="004B2272">
      <w:rPr>
        <w:rStyle w:val="Numrodepage"/>
        <w:bCs/>
        <w:noProof/>
      </w:rPr>
      <w:t>1</w:t>
    </w:r>
    <w:r w:rsidR="00612DA8" w:rsidRPr="00AE22E2">
      <w:rPr>
        <w:rStyle w:val="Numrodepage"/>
        <w:bCs/>
      </w:rPr>
      <w:fldChar w:fldCharType="end"/>
    </w:r>
    <w:r w:rsidR="00612DA8" w:rsidRPr="00AE22E2">
      <w:rPr>
        <w:rStyle w:val="Numrodepage"/>
        <w:bCs/>
      </w:rPr>
      <w:t>/</w:t>
    </w:r>
    <w:r w:rsidR="00612DA8" w:rsidRPr="00AE22E2">
      <w:rPr>
        <w:rStyle w:val="Numrodepage"/>
        <w:bCs/>
      </w:rPr>
      <w:fldChar w:fldCharType="begin"/>
    </w:r>
    <w:r w:rsidR="00612DA8" w:rsidRPr="00AE22E2">
      <w:rPr>
        <w:rStyle w:val="Numrodepage"/>
        <w:bCs/>
      </w:rPr>
      <w:instrText xml:space="preserve">  NUMPAGES</w:instrText>
    </w:r>
    <w:r w:rsidR="00612DA8" w:rsidRPr="00AE22E2">
      <w:rPr>
        <w:rStyle w:val="Numrodepage"/>
        <w:bCs/>
      </w:rPr>
      <w:fldChar w:fldCharType="separate"/>
    </w:r>
    <w:r w:rsidR="004B2272">
      <w:rPr>
        <w:rStyle w:val="Numrodepage"/>
        <w:bCs/>
        <w:noProof/>
      </w:rPr>
      <w:t>7</w:t>
    </w:r>
    <w:r w:rsidR="00612DA8" w:rsidRPr="00AE22E2">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7D" w:rsidRDefault="00AD1F7D">
      <w:r>
        <w:separator/>
      </w:r>
    </w:p>
  </w:footnote>
  <w:footnote w:type="continuationSeparator" w:id="0">
    <w:p w:rsidR="00AD1F7D" w:rsidRDefault="00A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E2" w:rsidRDefault="00555E67" w:rsidP="00AE22E2">
    <w:pPr>
      <w:pStyle w:val="En-tte"/>
      <w:tabs>
        <w:tab w:val="left" w:pos="3690"/>
        <w:tab w:val="right" w:pos="8789"/>
      </w:tabs>
      <w:ind w:right="849"/>
      <w:rPr>
        <w:rFonts w:ascii="Calibri" w:hAnsi="Calibri"/>
        <w:color w:val="E36C0A"/>
        <w:sz w:val="18"/>
      </w:rPr>
    </w:pPr>
    <w:r>
      <w:rPr>
        <w:noProof/>
      </w:rPr>
      <w:drawing>
        <wp:anchor distT="0" distB="0" distL="114300" distR="114300" simplePos="0" relativeHeight="251658752" behindDoc="1" locked="0" layoutInCell="1" allowOverlap="1">
          <wp:simplePos x="0" y="0"/>
          <wp:positionH relativeFrom="margin">
            <wp:posOffset>5737860</wp:posOffset>
          </wp:positionH>
          <wp:positionV relativeFrom="margin">
            <wp:posOffset>-454025</wp:posOffset>
          </wp:positionV>
          <wp:extent cx="381000" cy="381000"/>
          <wp:effectExtent l="0" t="0" r="0" b="0"/>
          <wp:wrapNone/>
          <wp:docPr id="3" name="Image 4" descr="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AE22E2">
      <w:tab/>
    </w:r>
    <w:r w:rsidR="00AE22E2">
      <w:tab/>
    </w:r>
    <w:r w:rsidR="00AE22E2">
      <w:tab/>
    </w:r>
    <w:hyperlink r:id="rId2" w:history="1">
      <w:r w:rsidR="00AE22E2">
        <w:rPr>
          <w:rStyle w:val="Lienhypertexte"/>
          <w:rFonts w:ascii="Calibri" w:hAnsi="Calibri"/>
          <w:color w:val="E36C0A"/>
          <w:sz w:val="18"/>
        </w:rPr>
        <w:t>www.comptazine.fr</w:t>
      </w:r>
    </w:hyperlink>
    <w:r w:rsidR="00AE22E2">
      <w:rPr>
        <w:rFonts w:ascii="Calibri" w:hAnsi="Calibri"/>
        <w:color w:val="E36C0A"/>
        <w:sz w:val="18"/>
      </w:rPr>
      <w:t xml:space="preserve">    </w:t>
    </w:r>
  </w:p>
  <w:p w:rsidR="00AE22E2" w:rsidRPr="00AE22E2" w:rsidRDefault="00AE22E2" w:rsidP="00AE22E2">
    <w:pPr>
      <w:pStyle w:val="En-tte"/>
      <w:tabs>
        <w:tab w:val="left" w:pos="3690"/>
        <w:tab w:val="right" w:pos="8789"/>
      </w:tabs>
      <w:ind w:right="849"/>
      <w:rPr>
        <w:sz w:val="24"/>
      </w:rPr>
    </w:pPr>
    <w:r>
      <w:rPr>
        <w:rFonts w:ascii="Calibri" w:hAnsi="Calibri"/>
        <w:color w:val="E36C0A"/>
        <w:sz w:val="18"/>
      </w:rPr>
      <w:t xml:space="preserve">                     </w:t>
    </w: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rPr>
        <w:sz w:val="24"/>
      </w:rPr>
      <w:pict>
        <v:shape id="WordPictureWatermark1380604232" o:spid="_x0000_s2049" type="#_x0000_t75" style="position:absolute;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266"/>
    <w:multiLevelType w:val="hybridMultilevel"/>
    <w:tmpl w:val="C97EA4D8"/>
    <w:lvl w:ilvl="0" w:tplc="933CDA1A">
      <w:start w:val="3"/>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1">
    <w:nsid w:val="4346056B"/>
    <w:multiLevelType w:val="hybridMultilevel"/>
    <w:tmpl w:val="2E9464DE"/>
    <w:lvl w:ilvl="0" w:tplc="DE70FBE4">
      <w:start w:val="3"/>
      <w:numFmt w:val="bullet"/>
      <w:lvlText w:val=""/>
      <w:lvlJc w:val="left"/>
      <w:pPr>
        <w:tabs>
          <w:tab w:val="num" w:pos="284"/>
        </w:tabs>
        <w:ind w:left="284" w:hanging="22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994114E"/>
    <w:multiLevelType w:val="hybridMultilevel"/>
    <w:tmpl w:val="2A4024A2"/>
    <w:lvl w:ilvl="0" w:tplc="DE70FBE4">
      <w:start w:val="3"/>
      <w:numFmt w:val="bullet"/>
      <w:lvlText w:val=""/>
      <w:lvlJc w:val="left"/>
      <w:pPr>
        <w:tabs>
          <w:tab w:val="num" w:pos="284"/>
        </w:tabs>
        <w:ind w:left="284" w:hanging="22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3332B2B"/>
    <w:multiLevelType w:val="hybridMultilevel"/>
    <w:tmpl w:val="E868A556"/>
    <w:lvl w:ilvl="0" w:tplc="5FD01CAA">
      <w:start w:val="1"/>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abstractNum w:abstractNumId="4">
    <w:nsid w:val="73D634ED"/>
    <w:multiLevelType w:val="hybridMultilevel"/>
    <w:tmpl w:val="EA08C066"/>
    <w:lvl w:ilvl="0" w:tplc="58F4FE0E">
      <w:start w:val="1"/>
      <w:numFmt w:val="decimal"/>
      <w:lvlText w:val="%1)"/>
      <w:lvlJc w:val="left"/>
      <w:pPr>
        <w:tabs>
          <w:tab w:val="num" w:pos="417"/>
        </w:tabs>
        <w:ind w:left="417" w:hanging="360"/>
      </w:pPr>
      <w:rPr>
        <w:rFonts w:hint="default"/>
      </w:rPr>
    </w:lvl>
    <w:lvl w:ilvl="1" w:tplc="040C0019" w:tentative="1">
      <w:start w:val="1"/>
      <w:numFmt w:val="lowerLetter"/>
      <w:lvlText w:val="%2."/>
      <w:lvlJc w:val="left"/>
      <w:pPr>
        <w:tabs>
          <w:tab w:val="num" w:pos="1137"/>
        </w:tabs>
        <w:ind w:left="1137" w:hanging="360"/>
      </w:pPr>
    </w:lvl>
    <w:lvl w:ilvl="2" w:tplc="040C001B" w:tentative="1">
      <w:start w:val="1"/>
      <w:numFmt w:val="lowerRoman"/>
      <w:lvlText w:val="%3."/>
      <w:lvlJc w:val="right"/>
      <w:pPr>
        <w:tabs>
          <w:tab w:val="num" w:pos="1857"/>
        </w:tabs>
        <w:ind w:left="1857" w:hanging="180"/>
      </w:pPr>
    </w:lvl>
    <w:lvl w:ilvl="3" w:tplc="040C000F" w:tentative="1">
      <w:start w:val="1"/>
      <w:numFmt w:val="decimal"/>
      <w:lvlText w:val="%4."/>
      <w:lvlJc w:val="left"/>
      <w:pPr>
        <w:tabs>
          <w:tab w:val="num" w:pos="2577"/>
        </w:tabs>
        <w:ind w:left="2577" w:hanging="360"/>
      </w:pPr>
    </w:lvl>
    <w:lvl w:ilvl="4" w:tplc="040C0019" w:tentative="1">
      <w:start w:val="1"/>
      <w:numFmt w:val="lowerLetter"/>
      <w:lvlText w:val="%5."/>
      <w:lvlJc w:val="left"/>
      <w:pPr>
        <w:tabs>
          <w:tab w:val="num" w:pos="3297"/>
        </w:tabs>
        <w:ind w:left="3297" w:hanging="360"/>
      </w:pPr>
    </w:lvl>
    <w:lvl w:ilvl="5" w:tplc="040C001B" w:tentative="1">
      <w:start w:val="1"/>
      <w:numFmt w:val="lowerRoman"/>
      <w:lvlText w:val="%6."/>
      <w:lvlJc w:val="right"/>
      <w:pPr>
        <w:tabs>
          <w:tab w:val="num" w:pos="4017"/>
        </w:tabs>
        <w:ind w:left="4017" w:hanging="180"/>
      </w:pPr>
    </w:lvl>
    <w:lvl w:ilvl="6" w:tplc="040C000F" w:tentative="1">
      <w:start w:val="1"/>
      <w:numFmt w:val="decimal"/>
      <w:lvlText w:val="%7."/>
      <w:lvlJc w:val="left"/>
      <w:pPr>
        <w:tabs>
          <w:tab w:val="num" w:pos="4737"/>
        </w:tabs>
        <w:ind w:left="4737" w:hanging="360"/>
      </w:pPr>
    </w:lvl>
    <w:lvl w:ilvl="7" w:tplc="040C0019" w:tentative="1">
      <w:start w:val="1"/>
      <w:numFmt w:val="lowerLetter"/>
      <w:lvlText w:val="%8."/>
      <w:lvlJc w:val="left"/>
      <w:pPr>
        <w:tabs>
          <w:tab w:val="num" w:pos="5457"/>
        </w:tabs>
        <w:ind w:left="5457" w:hanging="360"/>
      </w:pPr>
    </w:lvl>
    <w:lvl w:ilvl="8" w:tplc="040C001B" w:tentative="1">
      <w:start w:val="1"/>
      <w:numFmt w:val="lowerRoman"/>
      <w:lvlText w:val="%9."/>
      <w:lvlJc w:val="right"/>
      <w:pPr>
        <w:tabs>
          <w:tab w:val="num" w:pos="6177"/>
        </w:tabs>
        <w:ind w:left="617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42"/>
    <w:rsid w:val="00147F15"/>
    <w:rsid w:val="00230987"/>
    <w:rsid w:val="002313AA"/>
    <w:rsid w:val="0024341E"/>
    <w:rsid w:val="002B4008"/>
    <w:rsid w:val="002D2BEC"/>
    <w:rsid w:val="002F4982"/>
    <w:rsid w:val="0033070B"/>
    <w:rsid w:val="00353DB1"/>
    <w:rsid w:val="00427347"/>
    <w:rsid w:val="004A22C4"/>
    <w:rsid w:val="004B2272"/>
    <w:rsid w:val="00555E67"/>
    <w:rsid w:val="005B54C9"/>
    <w:rsid w:val="005F6DAA"/>
    <w:rsid w:val="00612DA8"/>
    <w:rsid w:val="00830A32"/>
    <w:rsid w:val="00833250"/>
    <w:rsid w:val="00866F44"/>
    <w:rsid w:val="008B6969"/>
    <w:rsid w:val="008C44FD"/>
    <w:rsid w:val="00904CC2"/>
    <w:rsid w:val="00911D4A"/>
    <w:rsid w:val="009341CC"/>
    <w:rsid w:val="00950BBF"/>
    <w:rsid w:val="00970268"/>
    <w:rsid w:val="00973EAB"/>
    <w:rsid w:val="009D73D7"/>
    <w:rsid w:val="009E6FBF"/>
    <w:rsid w:val="00AB54E0"/>
    <w:rsid w:val="00AD1F7D"/>
    <w:rsid w:val="00AE22E2"/>
    <w:rsid w:val="00B36C7A"/>
    <w:rsid w:val="00BF199F"/>
    <w:rsid w:val="00C04C2D"/>
    <w:rsid w:val="00C052C4"/>
    <w:rsid w:val="00C87F42"/>
    <w:rsid w:val="00CF25E0"/>
    <w:rsid w:val="00D92FC7"/>
    <w:rsid w:val="00DA7609"/>
    <w:rsid w:val="00E15C9D"/>
    <w:rsid w:val="00E37393"/>
    <w:rsid w:val="00E45259"/>
    <w:rsid w:val="00E45274"/>
    <w:rsid w:val="00ED22B9"/>
    <w:rsid w:val="00F2428C"/>
    <w:rsid w:val="00F55A66"/>
    <w:rsid w:val="00FF60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itregnral">
    <w:name w:val="Titre général"/>
    <w:basedOn w:val="Normal"/>
    <w:next w:val="Normal"/>
    <w:pPr>
      <w:spacing w:before="120" w:after="240"/>
      <w:ind w:left="357"/>
      <w:jc w:val="center"/>
    </w:pPr>
    <w:rPr>
      <w:b/>
      <w:caps/>
      <w:sz w:val="32"/>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57"/>
      <w:jc w:val="both"/>
    </w:pPr>
    <w:rPr>
      <w:sz w:val="24"/>
      <w:szCs w:val="24"/>
    </w:rPr>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En-tte">
    <w:name w:val="header"/>
    <w:basedOn w:val="Normal"/>
    <w:link w:val="En-tteCar"/>
    <w:pPr>
      <w:tabs>
        <w:tab w:val="center" w:pos="4536"/>
        <w:tab w:val="right" w:pos="9072"/>
      </w:tabs>
    </w:pPr>
  </w:style>
  <w:style w:type="paragraph" w:styleId="Corpsdetexte">
    <w:name w:val="Body Text"/>
    <w:basedOn w:val="Normal"/>
    <w:pPr>
      <w:jc w:val="both"/>
    </w:pPr>
    <w:rPr>
      <w:sz w:val="24"/>
      <w:szCs w:val="24"/>
    </w:rPr>
  </w:style>
  <w:style w:type="paragraph" w:styleId="Retraitcorpsdetexte2">
    <w:name w:val="Body Text Indent 2"/>
    <w:basedOn w:val="Normal"/>
    <w:pPr>
      <w:ind w:left="57"/>
      <w:jc w:val="both"/>
    </w:pPr>
    <w:rPr>
      <w:b/>
      <w:bCs/>
      <w:sz w:val="24"/>
      <w:szCs w:val="24"/>
    </w:rPr>
  </w:style>
  <w:style w:type="table" w:styleId="Grilledutableau">
    <w:name w:val="Table Grid"/>
    <w:basedOn w:val="TableauNormal"/>
    <w:rsid w:val="00C8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612DA8"/>
    <w:rPr>
      <w:color w:val="0000FF"/>
      <w:u w:val="single"/>
    </w:rPr>
  </w:style>
  <w:style w:type="character" w:customStyle="1" w:styleId="PieddepageCar">
    <w:name w:val="Pied de page Car"/>
    <w:basedOn w:val="Policepardfaut"/>
    <w:link w:val="Pieddepage"/>
    <w:rsid w:val="00612DA8"/>
    <w:rPr>
      <w:sz w:val="22"/>
      <w:szCs w:val="22"/>
    </w:rPr>
  </w:style>
  <w:style w:type="character" w:customStyle="1" w:styleId="En-tteCar">
    <w:name w:val="En-tête Car"/>
    <w:link w:val="En-tte"/>
    <w:rsid w:val="00AE22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3">
    <w:name w:val="heading 3"/>
    <w:basedOn w:val="Normal"/>
    <w:next w:val="Normal"/>
    <w:qFormat/>
    <w:pPr>
      <w:keepNext/>
      <w:spacing w:line="256" w:lineRule="auto"/>
      <w:jc w:val="center"/>
      <w:outlineLvl w:val="2"/>
    </w:pPr>
    <w:rPr>
      <w:rFonts w:eastAsia="Arial Unicode MS"/>
      <w:b/>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itregnral">
    <w:name w:val="Titre général"/>
    <w:basedOn w:val="Normal"/>
    <w:next w:val="Normal"/>
    <w:pPr>
      <w:spacing w:before="120" w:after="240"/>
      <w:ind w:left="357"/>
      <w:jc w:val="center"/>
    </w:pPr>
    <w:rPr>
      <w:b/>
      <w:caps/>
      <w:sz w:val="32"/>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57"/>
      <w:jc w:val="both"/>
    </w:pPr>
    <w:rPr>
      <w:sz w:val="24"/>
      <w:szCs w:val="24"/>
    </w:rPr>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En-tte">
    <w:name w:val="header"/>
    <w:basedOn w:val="Normal"/>
    <w:link w:val="En-tteCar"/>
    <w:pPr>
      <w:tabs>
        <w:tab w:val="center" w:pos="4536"/>
        <w:tab w:val="right" w:pos="9072"/>
      </w:tabs>
    </w:pPr>
  </w:style>
  <w:style w:type="paragraph" w:styleId="Corpsdetexte">
    <w:name w:val="Body Text"/>
    <w:basedOn w:val="Normal"/>
    <w:pPr>
      <w:jc w:val="both"/>
    </w:pPr>
    <w:rPr>
      <w:sz w:val="24"/>
      <w:szCs w:val="24"/>
    </w:rPr>
  </w:style>
  <w:style w:type="paragraph" w:styleId="Retraitcorpsdetexte2">
    <w:name w:val="Body Text Indent 2"/>
    <w:basedOn w:val="Normal"/>
    <w:pPr>
      <w:ind w:left="57"/>
      <w:jc w:val="both"/>
    </w:pPr>
    <w:rPr>
      <w:b/>
      <w:bCs/>
      <w:sz w:val="24"/>
      <w:szCs w:val="24"/>
    </w:rPr>
  </w:style>
  <w:style w:type="table" w:styleId="Grilledutableau">
    <w:name w:val="Table Grid"/>
    <w:basedOn w:val="TableauNormal"/>
    <w:rsid w:val="00C8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612DA8"/>
    <w:rPr>
      <w:color w:val="0000FF"/>
      <w:u w:val="single"/>
    </w:rPr>
  </w:style>
  <w:style w:type="character" w:customStyle="1" w:styleId="PieddepageCar">
    <w:name w:val="Pied de page Car"/>
    <w:basedOn w:val="Policepardfaut"/>
    <w:link w:val="Pieddepage"/>
    <w:rsid w:val="00612DA8"/>
    <w:rPr>
      <w:sz w:val="22"/>
      <w:szCs w:val="22"/>
    </w:rPr>
  </w:style>
  <w:style w:type="character" w:customStyle="1" w:styleId="En-tteCar">
    <w:name w:val="En-tête Car"/>
    <w:link w:val="En-tte"/>
    <w:rsid w:val="00AE22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2426</Words>
  <Characters>11484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13883</CharactersWithSpaces>
  <SharedDoc>false</SharedDoc>
  <HLinks>
    <vt:vector size="6" baseType="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2012-09-12T13:42:00Z</cp:lastPrinted>
  <dcterms:created xsi:type="dcterms:W3CDTF">2012-09-12T13:42:00Z</dcterms:created>
  <dcterms:modified xsi:type="dcterms:W3CDTF">2012-09-12T13:45:00Z</dcterms:modified>
</cp:coreProperties>
</file>