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E4" w:rsidRPr="005D78E4" w:rsidRDefault="005D78E4" w:rsidP="005D78E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D78E4">
        <w:rPr>
          <w:b/>
          <w:bCs/>
          <w:sz w:val="24"/>
          <w:szCs w:val="24"/>
        </w:rPr>
        <w:t>DCG session 2010</w:t>
      </w:r>
      <w:r w:rsidRPr="005D78E4">
        <w:rPr>
          <w:b/>
          <w:bCs/>
          <w:sz w:val="24"/>
          <w:szCs w:val="24"/>
        </w:rPr>
        <w:tab/>
      </w:r>
      <w:r w:rsidRPr="005D78E4">
        <w:rPr>
          <w:b/>
          <w:bCs/>
          <w:sz w:val="24"/>
          <w:szCs w:val="24"/>
        </w:rPr>
        <w:tab/>
      </w:r>
      <w:r w:rsidRPr="005D78E4">
        <w:rPr>
          <w:b/>
          <w:bCs/>
          <w:sz w:val="24"/>
          <w:szCs w:val="24"/>
        </w:rPr>
        <w:tab/>
        <w:t>UE4 Finance d’entreprise</w:t>
      </w:r>
      <w:r w:rsidRPr="005D78E4">
        <w:rPr>
          <w:b/>
          <w:bCs/>
          <w:sz w:val="24"/>
          <w:szCs w:val="24"/>
        </w:rPr>
        <w:tab/>
      </w:r>
      <w:r w:rsidRPr="005D78E4">
        <w:rPr>
          <w:b/>
          <w:bCs/>
          <w:sz w:val="24"/>
          <w:szCs w:val="24"/>
        </w:rPr>
        <w:tab/>
        <w:t>Corrigé indicatif</w:t>
      </w:r>
    </w:p>
    <w:p w:rsidR="005D78E4" w:rsidRPr="005D78E4" w:rsidRDefault="005D78E4" w:rsidP="00630835">
      <w:pPr>
        <w:pStyle w:val="Corpsdetexte"/>
        <w:spacing w:after="0"/>
        <w:rPr>
          <w:b/>
          <w:bCs/>
          <w:sz w:val="22"/>
        </w:rPr>
      </w:pPr>
    </w:p>
    <w:p w:rsidR="005D78E4" w:rsidRPr="005D78E4" w:rsidRDefault="005D78E4" w:rsidP="005D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5D78E4" w:rsidRPr="005D78E4" w:rsidRDefault="005D78E4" w:rsidP="005D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Cs w:val="24"/>
        </w:rPr>
      </w:pPr>
      <w:r w:rsidRPr="005D78E4">
        <w:rPr>
          <w:b/>
          <w:bCs/>
          <w:szCs w:val="24"/>
        </w:rPr>
        <w:t>Dossier 1 - Diagnostic financier</w:t>
      </w:r>
    </w:p>
    <w:p w:rsidR="005D78E4" w:rsidRPr="005D78E4" w:rsidRDefault="005D78E4" w:rsidP="005D7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5D78E4" w:rsidRPr="005D78E4" w:rsidRDefault="005D78E4" w:rsidP="00630835">
      <w:pPr>
        <w:pStyle w:val="Corpsdetexte"/>
        <w:spacing w:after="0"/>
        <w:rPr>
          <w:b/>
          <w:bCs/>
          <w:sz w:val="22"/>
        </w:rPr>
      </w:pPr>
    </w:p>
    <w:p w:rsidR="00E10327" w:rsidRPr="005D78E4" w:rsidRDefault="003E6236" w:rsidP="00630835">
      <w:pPr>
        <w:pStyle w:val="Corpsdetexte"/>
        <w:spacing w:after="0"/>
        <w:rPr>
          <w:b/>
          <w:i/>
          <w:sz w:val="22"/>
        </w:rPr>
      </w:pPr>
      <w:r w:rsidRPr="005D78E4">
        <w:rPr>
          <w:b/>
          <w:sz w:val="22"/>
        </w:rPr>
        <w:t xml:space="preserve">1. </w:t>
      </w:r>
      <w:r w:rsidR="00E10327" w:rsidRPr="005D78E4">
        <w:rPr>
          <w:b/>
          <w:sz w:val="22"/>
        </w:rPr>
        <w:t>Intérêt des tableaux de flux de trésorerie</w:t>
      </w:r>
    </w:p>
    <w:p w:rsidR="00820618" w:rsidRPr="005D78E4" w:rsidRDefault="00D773EC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 xml:space="preserve">- </w:t>
      </w:r>
      <w:r w:rsidR="00E10327" w:rsidRPr="005D78E4">
        <w:rPr>
          <w:sz w:val="22"/>
        </w:rPr>
        <w:t>Analyse de l’évol</w:t>
      </w:r>
      <w:r w:rsidR="005D78E4" w:rsidRPr="005D78E4">
        <w:rPr>
          <w:sz w:val="22"/>
        </w:rPr>
        <w:t>ution de la trésorerie</w:t>
      </w:r>
    </w:p>
    <w:p w:rsidR="00820618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 xml:space="preserve"> Les tableaux de flux de trésorerie sont centrés sur la trésorerie. Ils mettent en évidence la contribution de chaque cycle d’opération à la formation de la trésorerie. Ils fournissent des informations sur la capacité de l’entreprise à générer de la trésorerie et sur les conséquences sur la trésorerie des décisions d’investissement et de financement. Ils permettent ainsi un suivi efficace de l’évolution de la trésorerie. </w:t>
      </w:r>
    </w:p>
    <w:p w:rsidR="003E6236" w:rsidRPr="005D78E4" w:rsidRDefault="00D773EC" w:rsidP="00630835">
      <w:pPr>
        <w:pStyle w:val="Corpsdetexte"/>
        <w:spacing w:after="0"/>
        <w:rPr>
          <w:b/>
          <w:i/>
          <w:sz w:val="22"/>
        </w:rPr>
      </w:pPr>
      <w:r w:rsidRPr="005D78E4">
        <w:rPr>
          <w:sz w:val="22"/>
        </w:rPr>
        <w:t xml:space="preserve">- </w:t>
      </w:r>
      <w:r w:rsidR="003E6236" w:rsidRPr="005D78E4">
        <w:rPr>
          <w:sz w:val="22"/>
        </w:rPr>
        <w:t>Anal</w:t>
      </w:r>
      <w:r w:rsidR="005D78E4" w:rsidRPr="005D78E4">
        <w:rPr>
          <w:sz w:val="22"/>
        </w:rPr>
        <w:t>yse des risques de défaillance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Un flux net de trésorerie généré par l’activité négatif sur plusieurs exercices est un indicateur du risque de faillite.</w:t>
      </w:r>
    </w:p>
    <w:p w:rsidR="00630835" w:rsidRPr="005D78E4" w:rsidRDefault="00630835" w:rsidP="00630835">
      <w:pPr>
        <w:pStyle w:val="Corpsdetexte"/>
        <w:spacing w:after="0"/>
        <w:rPr>
          <w:sz w:val="22"/>
        </w:rPr>
      </w:pPr>
    </w:p>
    <w:p w:rsidR="00820618" w:rsidRPr="005D78E4" w:rsidRDefault="003E6236" w:rsidP="00630835">
      <w:pPr>
        <w:pStyle w:val="Corpsdetexte"/>
        <w:spacing w:after="0"/>
        <w:rPr>
          <w:b/>
          <w:i/>
          <w:sz w:val="22"/>
        </w:rPr>
      </w:pPr>
      <w:r w:rsidRPr="005D78E4">
        <w:rPr>
          <w:b/>
          <w:sz w:val="22"/>
        </w:rPr>
        <w:t xml:space="preserve">2. </w:t>
      </w:r>
      <w:r w:rsidR="002F7AAF">
        <w:rPr>
          <w:b/>
          <w:sz w:val="22"/>
        </w:rPr>
        <w:t xml:space="preserve">Signification </w:t>
      </w:r>
      <w:r w:rsidRPr="005D78E4">
        <w:rPr>
          <w:b/>
          <w:sz w:val="22"/>
        </w:rPr>
        <w:t>de la MBA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La MBA traduit le flux de fonds (</w:t>
      </w:r>
      <w:r w:rsidR="00D80AC6" w:rsidRPr="005D78E4">
        <w:rPr>
          <w:sz w:val="22"/>
        </w:rPr>
        <w:t xml:space="preserve">flux de trésorerie </w:t>
      </w:r>
      <w:r w:rsidRPr="005D78E4">
        <w:rPr>
          <w:sz w:val="22"/>
        </w:rPr>
        <w:t>potentiel</w:t>
      </w:r>
      <w:r w:rsidR="00D80AC6" w:rsidRPr="005D78E4">
        <w:rPr>
          <w:sz w:val="22"/>
        </w:rPr>
        <w:t>le</w:t>
      </w:r>
      <w:r w:rsidRPr="005D78E4">
        <w:rPr>
          <w:sz w:val="22"/>
        </w:rPr>
        <w:t xml:space="preserve">) généré par l’activité globale de l’entreprise. </w:t>
      </w:r>
      <w:r w:rsidR="00D80AC6" w:rsidRPr="005D78E4">
        <w:rPr>
          <w:sz w:val="22"/>
        </w:rPr>
        <w:t>C’est un flux voisin de la CAF I</w:t>
      </w:r>
      <w:r w:rsidRPr="005D78E4">
        <w:rPr>
          <w:sz w:val="22"/>
        </w:rPr>
        <w:t>l doit être corrigé par la variation du BFR lié à l’activité pour obtenir le flux net de trésorerie lié à l’activité.</w:t>
      </w:r>
    </w:p>
    <w:p w:rsidR="00630835" w:rsidRPr="005D78E4" w:rsidRDefault="00630835" w:rsidP="00630835">
      <w:pPr>
        <w:pStyle w:val="Corpsdetexte"/>
        <w:spacing w:after="0"/>
        <w:rPr>
          <w:sz w:val="22"/>
        </w:rPr>
      </w:pPr>
    </w:p>
    <w:p w:rsidR="003E6236" w:rsidRPr="005D78E4" w:rsidRDefault="003E6236" w:rsidP="00584634">
      <w:pPr>
        <w:pStyle w:val="Corpsdetexte"/>
        <w:rPr>
          <w:b/>
          <w:i/>
          <w:sz w:val="22"/>
        </w:rPr>
      </w:pPr>
      <w:r w:rsidRPr="005D78E4">
        <w:rPr>
          <w:b/>
          <w:sz w:val="22"/>
        </w:rPr>
        <w:t xml:space="preserve">3. Tableau de flux de trésorerie </w:t>
      </w:r>
      <w:r w:rsidR="005D78E4">
        <w:rPr>
          <w:b/>
          <w:sz w:val="22"/>
        </w:rPr>
        <w:t>(</w:t>
      </w:r>
      <w:r w:rsidRPr="005D78E4">
        <w:rPr>
          <w:b/>
          <w:sz w:val="22"/>
        </w:rPr>
        <w:t>voir page suivante</w:t>
      </w:r>
      <w:r w:rsidR="005D78E4">
        <w:rPr>
          <w:b/>
          <w:sz w:val="22"/>
        </w:rPr>
        <w:t>)</w:t>
      </w:r>
    </w:p>
    <w:p w:rsidR="006A61D6" w:rsidRPr="005D78E4" w:rsidRDefault="006A61D6" w:rsidP="006A61D6">
      <w:pPr>
        <w:spacing w:after="60"/>
        <w:rPr>
          <w:i/>
          <w:sz w:val="22"/>
        </w:rPr>
      </w:pPr>
      <w:r w:rsidRPr="005D78E4">
        <w:rPr>
          <w:i/>
          <w:sz w:val="22"/>
        </w:rPr>
        <w:t>Explications des calculs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843"/>
      </w:tblGrid>
      <w:tr w:rsidR="006A61D6" w:rsidRPr="005D78E4"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Dotations nettes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Résultat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Actif circulant</w:t>
            </w:r>
          </w:p>
        </w:tc>
      </w:tr>
      <w:tr w:rsidR="006A61D6" w:rsidRPr="005D78E4">
        <w:tc>
          <w:tcPr>
            <w:tcW w:w="3794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Amortissements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2988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Dépréciations immobilisations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Dépréciations actif circulant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446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446</w:t>
            </w:r>
          </w:p>
        </w:tc>
      </w:tr>
      <w:tr w:rsidR="006A61D6" w:rsidRPr="005D78E4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Risques et charges exploitation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254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Dotations financières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105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379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Dotations exceptionnelles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263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26</w:t>
            </w:r>
          </w:p>
        </w:tc>
      </w:tr>
      <w:tr w:rsidR="006A61D6" w:rsidRPr="005D78E4">
        <w:tc>
          <w:tcPr>
            <w:tcW w:w="3794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Reprises exceptionnelles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-628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-66</w:t>
            </w:r>
          </w:p>
        </w:tc>
      </w:tr>
      <w:tr w:rsidR="006A61D6" w:rsidRPr="005D78E4">
        <w:tc>
          <w:tcPr>
            <w:tcW w:w="3794" w:type="dxa"/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134" w:type="dxa"/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3469</w:t>
            </w:r>
          </w:p>
        </w:tc>
        <w:tc>
          <w:tcPr>
            <w:tcW w:w="1843" w:type="dxa"/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643</w:t>
            </w:r>
          </w:p>
        </w:tc>
      </w:tr>
    </w:tbl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Dotations nettes de reprises = 3469 – 643 = 2 826</w:t>
      </w:r>
    </w:p>
    <w:p w:rsidR="006A61D6" w:rsidRPr="005D78E4" w:rsidRDefault="006A61D6" w:rsidP="006A61D6">
      <w:pPr>
        <w:rPr>
          <w:sz w:val="10"/>
          <w:szCs w:val="10"/>
        </w:rPr>
      </w:pP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Quote-part de subvention cf. cpte résultat = 4</w:t>
      </w: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+ value de cessions = PCEA – VNC = 131 – 0 = 131</w:t>
      </w: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Variation du BFR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417"/>
        <w:gridCol w:w="1234"/>
      </w:tblGrid>
      <w:tr w:rsidR="006A61D6" w:rsidRPr="005D78E4">
        <w:tc>
          <w:tcPr>
            <w:tcW w:w="4644" w:type="dxa"/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Élément</w:t>
            </w:r>
          </w:p>
        </w:tc>
        <w:tc>
          <w:tcPr>
            <w:tcW w:w="1418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2009</w:t>
            </w:r>
          </w:p>
        </w:tc>
        <w:tc>
          <w:tcPr>
            <w:tcW w:w="1417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2008</w:t>
            </w:r>
          </w:p>
        </w:tc>
        <w:tc>
          <w:tcPr>
            <w:tcW w:w="1234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variation</w:t>
            </w:r>
          </w:p>
        </w:tc>
      </w:tr>
      <w:tr w:rsidR="006A61D6" w:rsidRPr="005D78E4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Stocks nets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342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-57</w:t>
            </w:r>
          </w:p>
        </w:tc>
      </w:tr>
      <w:tr w:rsidR="006A61D6" w:rsidRPr="005D78E4">
        <w:tc>
          <w:tcPr>
            <w:tcW w:w="4644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  <w:u w:val="single"/>
              </w:rPr>
            </w:pPr>
            <w:r w:rsidRPr="005D78E4">
              <w:rPr>
                <w:sz w:val="22"/>
                <w:u w:val="single"/>
              </w:rPr>
              <w:t>Créances liées à l'exploitation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Avances et acomptes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11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Clients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8216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4858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single" w:sz="2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CCA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135</w:t>
            </w:r>
          </w:p>
        </w:tc>
        <w:tc>
          <w:tcPr>
            <w:tcW w:w="1417" w:type="dxa"/>
            <w:tcBorders>
              <w:top w:val="nil"/>
              <w:bottom w:val="single" w:sz="2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210</w:t>
            </w:r>
          </w:p>
        </w:tc>
        <w:tc>
          <w:tcPr>
            <w:tcW w:w="1234" w:type="dxa"/>
            <w:tcBorders>
              <w:top w:val="nil"/>
              <w:bottom w:val="single" w:sz="2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8366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5079</w:t>
            </w:r>
          </w:p>
        </w:tc>
        <w:tc>
          <w:tcPr>
            <w:tcW w:w="123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3287</w:t>
            </w:r>
          </w:p>
        </w:tc>
      </w:tr>
      <w:tr w:rsidR="006A61D6" w:rsidRPr="005D78E4">
        <w:tc>
          <w:tcPr>
            <w:tcW w:w="4644" w:type="dxa"/>
            <w:tcBorders>
              <w:top w:val="single" w:sz="4" w:space="0" w:color="auto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  <w:u w:val="single"/>
              </w:rPr>
            </w:pPr>
            <w:r w:rsidRPr="005D78E4">
              <w:rPr>
                <w:sz w:val="22"/>
                <w:u w:val="single"/>
              </w:rPr>
              <w:t>Créances liées à l'activité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  <w:u w:val="single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  <w:u w:val="single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Créances diverses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1244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0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1244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1244</w:t>
            </w:r>
          </w:p>
        </w:tc>
      </w:tr>
      <w:tr w:rsidR="006A61D6" w:rsidRPr="005D78E4">
        <w:tc>
          <w:tcPr>
            <w:tcW w:w="4644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Dettes d'exploitation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Fournisseurs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4396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1251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4396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1251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3145</w:t>
            </w:r>
          </w:p>
        </w:tc>
      </w:tr>
      <w:tr w:rsidR="006A61D6" w:rsidRPr="005D78E4">
        <w:tc>
          <w:tcPr>
            <w:tcW w:w="4644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Dettes liées à l'activité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Dettes fiscales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4089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2974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Autres dettes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289-128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478-156</w:t>
            </w: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ICNE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31</w:t>
            </w:r>
          </w:p>
        </w:tc>
        <w:tc>
          <w:tcPr>
            <w:tcW w:w="1234" w:type="dxa"/>
            <w:tcBorders>
              <w:top w:val="nil"/>
            </w:tcBorders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</w:p>
        </w:tc>
      </w:tr>
      <w:tr w:rsidR="006A61D6" w:rsidRPr="005D78E4">
        <w:tc>
          <w:tcPr>
            <w:tcW w:w="4644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418" w:type="dxa"/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4283</w:t>
            </w:r>
          </w:p>
        </w:tc>
        <w:tc>
          <w:tcPr>
            <w:tcW w:w="1417" w:type="dxa"/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3327</w:t>
            </w:r>
          </w:p>
        </w:tc>
        <w:tc>
          <w:tcPr>
            <w:tcW w:w="1234" w:type="dxa"/>
            <w:vAlign w:val="center"/>
          </w:tcPr>
          <w:p w:rsidR="006A61D6" w:rsidRPr="005D78E4" w:rsidRDefault="006A61D6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956</w:t>
            </w:r>
          </w:p>
        </w:tc>
      </w:tr>
    </w:tbl>
    <w:p w:rsidR="006A61D6" w:rsidRPr="005D78E4" w:rsidRDefault="006A61D6" w:rsidP="006A61D6">
      <w:pPr>
        <w:rPr>
          <w:sz w:val="10"/>
          <w:szCs w:val="10"/>
        </w:rPr>
      </w:pP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Acquisitions d'immobilisations = 6991 – 3 = 6 988</w:t>
      </w: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Dettes sur immobilisations = 570 – 6 = 564</w:t>
      </w: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Pas d'augmentation de capital, la seule augmentation provenant de l'incorporation de réserves.</w:t>
      </w:r>
    </w:p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Pas de dividendes versés</w:t>
      </w:r>
    </w:p>
    <w:p w:rsidR="006A61D6" w:rsidRPr="005D78E4" w:rsidRDefault="005D78E4" w:rsidP="006A61D6">
      <w:pPr>
        <w:rPr>
          <w:sz w:val="22"/>
        </w:rPr>
      </w:pPr>
      <w:r>
        <w:rPr>
          <w:sz w:val="22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013"/>
        <w:gridCol w:w="1843"/>
      </w:tblGrid>
      <w:tr w:rsidR="006A61D6" w:rsidRPr="005D78E4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lastRenderedPageBreak/>
              <w:t>Dettes financières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2008</w:t>
            </w:r>
          </w:p>
        </w:tc>
      </w:tr>
      <w:tr w:rsidR="006A61D6" w:rsidRPr="005D78E4">
        <w:tc>
          <w:tcPr>
            <w:tcW w:w="3085" w:type="dxa"/>
            <w:vMerge w:val="restart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Bilan</w:t>
            </w:r>
          </w:p>
        </w:tc>
        <w:tc>
          <w:tcPr>
            <w:tcW w:w="2013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7473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5577</w:t>
            </w:r>
          </w:p>
        </w:tc>
      </w:tr>
      <w:tr w:rsidR="006A61D6" w:rsidRPr="005D78E4">
        <w:tc>
          <w:tcPr>
            <w:tcW w:w="3085" w:type="dxa"/>
            <w:vMerge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572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1171</w:t>
            </w:r>
          </w:p>
        </w:tc>
      </w:tr>
      <w:tr w:rsidR="006A61D6" w:rsidRPr="005D78E4"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Comptes courants associés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128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156</w:t>
            </w:r>
          </w:p>
        </w:tc>
      </w:tr>
      <w:tr w:rsidR="006A61D6" w:rsidRPr="005D78E4">
        <w:tc>
          <w:tcPr>
            <w:tcW w:w="3085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Intérêts courus</w:t>
            </w: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-33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-31</w:t>
            </w:r>
          </w:p>
        </w:tc>
      </w:tr>
      <w:tr w:rsidR="006A61D6" w:rsidRPr="005D78E4">
        <w:tc>
          <w:tcPr>
            <w:tcW w:w="3085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CBC</w:t>
            </w:r>
          </w:p>
        </w:tc>
        <w:tc>
          <w:tcPr>
            <w:tcW w:w="2013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-573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-177</w:t>
            </w:r>
          </w:p>
        </w:tc>
      </w:tr>
      <w:tr w:rsidR="006A61D6" w:rsidRPr="005D78E4">
        <w:tc>
          <w:tcPr>
            <w:tcW w:w="3085" w:type="dxa"/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2013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7567</w:t>
            </w:r>
          </w:p>
        </w:tc>
        <w:tc>
          <w:tcPr>
            <w:tcW w:w="1843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6696</w:t>
            </w:r>
          </w:p>
        </w:tc>
      </w:tr>
    </w:tbl>
    <w:p w:rsidR="006A61D6" w:rsidRPr="005D78E4" w:rsidRDefault="006A61D6" w:rsidP="006A61D6">
      <w:pPr>
        <w:spacing w:after="120"/>
        <w:rPr>
          <w:sz w:val="22"/>
        </w:rPr>
      </w:pPr>
      <w:r w:rsidRPr="005D78E4">
        <w:rPr>
          <w:sz w:val="22"/>
        </w:rPr>
        <w:t>Emprunts remboursés = 6696 +3700 – 7567 = 2 829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385"/>
        <w:gridCol w:w="1843"/>
      </w:tblGrid>
      <w:tr w:rsidR="006A61D6" w:rsidRPr="005D78E4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Trésorerie nette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2008</w:t>
            </w:r>
          </w:p>
        </w:tc>
      </w:tr>
      <w:tr w:rsidR="006A61D6" w:rsidRPr="005D78E4">
        <w:tc>
          <w:tcPr>
            <w:tcW w:w="3259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Bilan</w:t>
            </w:r>
          </w:p>
        </w:tc>
        <w:tc>
          <w:tcPr>
            <w:tcW w:w="1385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231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2537</w:t>
            </w:r>
          </w:p>
        </w:tc>
      </w:tr>
      <w:tr w:rsidR="006A61D6" w:rsidRPr="005D78E4">
        <w:tc>
          <w:tcPr>
            <w:tcW w:w="3259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VMP</w:t>
            </w: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1090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277</w:t>
            </w:r>
          </w:p>
        </w:tc>
      </w:tr>
      <w:tr w:rsidR="006A61D6" w:rsidRPr="005D78E4">
        <w:tc>
          <w:tcPr>
            <w:tcW w:w="3259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CBC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-573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-177</w:t>
            </w:r>
          </w:p>
        </w:tc>
      </w:tr>
      <w:tr w:rsidR="006A61D6" w:rsidRPr="005D78E4">
        <w:tc>
          <w:tcPr>
            <w:tcW w:w="3259" w:type="dxa"/>
            <w:vAlign w:val="center"/>
          </w:tcPr>
          <w:p w:rsidR="006A61D6" w:rsidRPr="005D78E4" w:rsidRDefault="006A61D6" w:rsidP="001F432B">
            <w:pPr>
              <w:rPr>
                <w:sz w:val="22"/>
              </w:rPr>
            </w:pPr>
            <w:r w:rsidRPr="005D78E4">
              <w:rPr>
                <w:sz w:val="22"/>
              </w:rPr>
              <w:t>Total</w:t>
            </w:r>
          </w:p>
        </w:tc>
        <w:tc>
          <w:tcPr>
            <w:tcW w:w="1385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748</w:t>
            </w:r>
          </w:p>
        </w:tc>
        <w:tc>
          <w:tcPr>
            <w:tcW w:w="1843" w:type="dxa"/>
            <w:vAlign w:val="center"/>
          </w:tcPr>
          <w:p w:rsidR="006A61D6" w:rsidRPr="005D78E4" w:rsidRDefault="006A61D6" w:rsidP="001F432B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2637</w:t>
            </w:r>
          </w:p>
        </w:tc>
      </w:tr>
    </w:tbl>
    <w:p w:rsidR="006A61D6" w:rsidRPr="005D78E4" w:rsidRDefault="006A61D6" w:rsidP="006A61D6">
      <w:pPr>
        <w:rPr>
          <w:sz w:val="22"/>
        </w:rPr>
      </w:pPr>
      <w:r w:rsidRPr="005D78E4">
        <w:rPr>
          <w:sz w:val="22"/>
        </w:rPr>
        <w:t>Variation de la trésorerie nette = - 1889</w:t>
      </w:r>
    </w:p>
    <w:p w:rsidR="00071AE5" w:rsidRPr="005D78E4" w:rsidRDefault="00071AE5" w:rsidP="006A61D6">
      <w:pPr>
        <w:rPr>
          <w:sz w:val="22"/>
        </w:rPr>
      </w:pPr>
    </w:p>
    <w:tbl>
      <w:tblPr>
        <w:tblW w:w="880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1560"/>
      </w:tblGrid>
      <w:tr w:rsidR="005D78E4" w:rsidRPr="005D78E4" w:rsidTr="005D78E4">
        <w:trPr>
          <w:trHeight w:val="273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b/>
                <w:bCs/>
                <w:color w:val="000000"/>
                <w:sz w:val="22"/>
              </w:rPr>
              <w:t>Flux de trésorerie liés à l'activité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 xml:space="preserve">Résultat net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1 215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i/>
                <w:iCs/>
                <w:color w:val="000000"/>
                <w:sz w:val="22"/>
              </w:rPr>
            </w:pPr>
            <w:r w:rsidRPr="005D78E4">
              <w:rPr>
                <w:i/>
                <w:iCs/>
                <w:color w:val="000000"/>
                <w:sz w:val="22"/>
              </w:rPr>
              <w:t>Elimination des charges et produits sans incidence sur la trésorerie ou non liés à l'activité 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• Amortissements et dépréciations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2 826</w:t>
            </w:r>
          </w:p>
        </w:tc>
      </w:tr>
      <w:tr w:rsidR="005D78E4" w:rsidRPr="005D78E4" w:rsidTr="005D78E4">
        <w:trPr>
          <w:trHeight w:val="342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• Plus-values de cession nettes d'impôts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-131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• Quote-part des subventions d'investissement virées au résultat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-4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01538B">
            <w:pPr>
              <w:tabs>
                <w:tab w:val="left" w:pos="306"/>
              </w:tabs>
              <w:ind w:firstLineChars="300" w:firstLine="663"/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b/>
                <w:bCs/>
                <w:color w:val="000000"/>
                <w:sz w:val="22"/>
              </w:rPr>
              <w:t xml:space="preserve">Marge brute d'autofinancement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b/>
                <w:bCs/>
                <w:sz w:val="22"/>
              </w:rPr>
            </w:pPr>
            <w:r w:rsidRPr="005D78E4">
              <w:rPr>
                <w:b/>
                <w:bCs/>
                <w:sz w:val="22"/>
              </w:rPr>
              <w:t>3 906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• Moins : variation du besoin en fonds de roulement lié à l'activité</w:t>
            </w:r>
            <w:r w:rsidRPr="005D78E4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ind w:firstLineChars="205" w:firstLine="451"/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Stocks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57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ind w:firstLineChars="205" w:firstLine="451"/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Créances d'exploitation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-3287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ind w:firstLineChars="205" w:firstLine="451"/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Dettes d'exploitation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3145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ind w:firstLineChars="205" w:firstLine="451"/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Autres créances liées à l'activité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-1244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ind w:firstLineChars="205" w:firstLine="451"/>
              <w:jc w:val="left"/>
              <w:rPr>
                <w:b/>
                <w:bCs/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Autres dettes liées à l'activité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956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  <w:r w:rsidRPr="005D78E4">
              <w:rPr>
                <w:b/>
                <w:bCs/>
                <w:i/>
                <w:iCs/>
                <w:color w:val="000000"/>
                <w:sz w:val="22"/>
              </w:rPr>
              <w:t xml:space="preserve">Flux net de trésorerie généré par l'activité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b/>
                <w:bCs/>
                <w:sz w:val="22"/>
              </w:rPr>
            </w:pPr>
            <w:r w:rsidRPr="005D78E4">
              <w:rPr>
                <w:b/>
                <w:bCs/>
                <w:sz w:val="22"/>
              </w:rPr>
              <w:t>3 533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b/>
                <w:bCs/>
                <w:color w:val="000000"/>
                <w:sz w:val="22"/>
              </w:rPr>
              <w:t>Flux de trésorerie liés aux opérations d'investissement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Acquisitions d'immobilisations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-6 988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Cessions d'immobilisations nettes d'impôts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131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Réduction d'immobilisations financières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tabs>
                <w:tab w:val="left" w:pos="306"/>
              </w:tabs>
              <w:ind w:firstLineChars="100" w:firstLine="220"/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Variation des créances et dettes sur immobilisations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564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  <w:r w:rsidRPr="005D78E4">
              <w:rPr>
                <w:b/>
                <w:bCs/>
                <w:i/>
                <w:iCs/>
                <w:color w:val="000000"/>
                <w:sz w:val="22"/>
              </w:rPr>
              <w:t xml:space="preserve">Flux net de trésorerie lié aux opérations d'investissement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-6 293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b/>
                <w:bCs/>
                <w:color w:val="000000"/>
                <w:sz w:val="22"/>
              </w:rPr>
              <w:t>Flux de trésorerie liés aux opérations de financement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Dividendes versés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0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Incidence des variations de capital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0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Émission d'emprunts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3 700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Remboursement d'emprunts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-2 829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tabs>
                <w:tab w:val="left" w:pos="306"/>
              </w:tabs>
              <w:ind w:firstLineChars="100" w:firstLine="220"/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Subventions d'investissements reçues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right"/>
              <w:rPr>
                <w:b/>
                <w:bCs/>
                <w:i/>
                <w:iCs/>
                <w:color w:val="000000"/>
                <w:sz w:val="22"/>
              </w:rPr>
            </w:pPr>
            <w:r w:rsidRPr="005D78E4">
              <w:rPr>
                <w:b/>
                <w:bCs/>
                <w:i/>
                <w:iCs/>
                <w:color w:val="000000"/>
                <w:sz w:val="22"/>
              </w:rPr>
              <w:t xml:space="preserve">Flux net de trésorerie lié aux opérations de financement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871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b/>
                <w:bCs/>
                <w:color w:val="000000"/>
                <w:sz w:val="22"/>
              </w:rPr>
              <w:t xml:space="preserve">Variation de trésorerie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-1 889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Trésorerie d'ouverture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2 637</w:t>
            </w:r>
          </w:p>
        </w:tc>
      </w:tr>
      <w:tr w:rsidR="005D78E4" w:rsidRPr="005D78E4" w:rsidTr="005D78E4">
        <w:trPr>
          <w:trHeight w:val="273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E4" w:rsidRPr="005D78E4" w:rsidRDefault="005D78E4" w:rsidP="00AE7035">
            <w:pPr>
              <w:tabs>
                <w:tab w:val="left" w:pos="306"/>
              </w:tabs>
              <w:jc w:val="left"/>
              <w:rPr>
                <w:b/>
                <w:bCs/>
                <w:i/>
                <w:iCs/>
                <w:color w:val="000000"/>
                <w:sz w:val="22"/>
              </w:rPr>
            </w:pPr>
            <w:r w:rsidRPr="005D78E4">
              <w:rPr>
                <w:b/>
                <w:bCs/>
                <w:i/>
                <w:iCs/>
                <w:color w:val="000000"/>
                <w:sz w:val="22"/>
              </w:rPr>
              <w:t>Trésorerie de clôture</w:t>
            </w:r>
            <w:r w:rsidRPr="005D78E4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78E4" w:rsidRPr="005D78E4" w:rsidRDefault="005D78E4" w:rsidP="005D78E4">
            <w:pPr>
              <w:jc w:val="right"/>
              <w:rPr>
                <w:sz w:val="22"/>
              </w:rPr>
            </w:pPr>
            <w:r w:rsidRPr="005D78E4">
              <w:rPr>
                <w:sz w:val="22"/>
              </w:rPr>
              <w:t>748</w:t>
            </w:r>
          </w:p>
        </w:tc>
      </w:tr>
    </w:tbl>
    <w:p w:rsidR="005D78E4" w:rsidRPr="005D78E4" w:rsidRDefault="005D78E4" w:rsidP="005D78E4">
      <w:pPr>
        <w:pStyle w:val="Corpsdetexte"/>
        <w:spacing w:after="0"/>
        <w:rPr>
          <w:b/>
          <w:sz w:val="22"/>
        </w:rPr>
      </w:pPr>
    </w:p>
    <w:p w:rsidR="005D78E4" w:rsidRPr="005D78E4" w:rsidRDefault="005D78E4" w:rsidP="005D78E4">
      <w:pPr>
        <w:pStyle w:val="Corpsdetexte"/>
        <w:spacing w:after="0"/>
        <w:rPr>
          <w:b/>
          <w:sz w:val="22"/>
        </w:rPr>
      </w:pPr>
      <w:r w:rsidRPr="005D78E4">
        <w:rPr>
          <w:b/>
          <w:sz w:val="22"/>
        </w:rPr>
        <w:br w:type="page"/>
      </w:r>
    </w:p>
    <w:p w:rsidR="003E6236" w:rsidRPr="005D78E4" w:rsidRDefault="003E6236" w:rsidP="00A53857">
      <w:pPr>
        <w:pStyle w:val="Corpsdetexte"/>
        <w:rPr>
          <w:sz w:val="22"/>
        </w:rPr>
      </w:pPr>
      <w:r w:rsidRPr="005D78E4">
        <w:rPr>
          <w:b/>
          <w:sz w:val="22"/>
        </w:rPr>
        <w:lastRenderedPageBreak/>
        <w:t xml:space="preserve">4. </w:t>
      </w:r>
      <w:r w:rsidR="00584634" w:rsidRPr="005D78E4">
        <w:rPr>
          <w:b/>
          <w:sz w:val="22"/>
        </w:rPr>
        <w:t>Calcul des indicateurs suivants</w:t>
      </w:r>
    </w:p>
    <w:tbl>
      <w:tblPr>
        <w:tblW w:w="5909" w:type="dxa"/>
        <w:jc w:val="center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1200"/>
        <w:gridCol w:w="1200"/>
      </w:tblGrid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1627CC">
            <w:pPr>
              <w:jc w:val="center"/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1627C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2009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1627C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2008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Production vendue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30350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23434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 consommation exercice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-12805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-8698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17545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14736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Impôts et taxes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-1207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-895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-Charges personnel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-11116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-8416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EBE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5222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5425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-Dotations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-3729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-2709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+ 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76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+ Transfert charges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1102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 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 xml:space="preserve"> + Autres produits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194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 Autres charges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-31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Résultat exploitation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3521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2955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Dettes financières stables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7472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6571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Capitaux propres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5173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3962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Autonomie financière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 xml:space="preserve">         1,44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 xml:space="preserve">         1,66   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Résultat net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1215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1016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+ DAP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4097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2725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 Reprises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-76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+VNC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 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-PCEA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-6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 xml:space="preserve">- Subv d'inv </w:t>
            </w:r>
            <w:proofErr w:type="gramStart"/>
            <w:r w:rsidRPr="005D78E4">
              <w:rPr>
                <w:rFonts w:eastAsia="MS Mincho"/>
                <w:sz w:val="22"/>
                <w:lang w:eastAsia="ja-JP"/>
              </w:rPr>
              <w:t>virée</w:t>
            </w:r>
            <w:proofErr w:type="gramEnd"/>
            <w:r w:rsidRPr="005D78E4">
              <w:rPr>
                <w:rFonts w:eastAsia="MS Mincho"/>
                <w:sz w:val="22"/>
                <w:lang w:eastAsia="ja-JP"/>
              </w:rPr>
              <w:t xml:space="preserve"> au résultat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 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CAF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4549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3659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Dettes financières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8045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right"/>
              <w:rPr>
                <w:rFonts w:eastAsia="MS Mincho"/>
                <w:sz w:val="22"/>
                <w:lang w:eastAsia="ja-JP"/>
              </w:rPr>
            </w:pPr>
            <w:r w:rsidRPr="005D78E4">
              <w:rPr>
                <w:rFonts w:eastAsia="MS Mincho"/>
                <w:sz w:val="22"/>
                <w:lang w:eastAsia="ja-JP"/>
              </w:rPr>
              <w:t>6748</w:t>
            </w:r>
          </w:p>
        </w:tc>
      </w:tr>
      <w:tr w:rsidR="005D78E4" w:rsidRPr="005D78E4" w:rsidTr="005D78E4">
        <w:trPr>
          <w:trHeight w:val="255"/>
          <w:jc w:val="center"/>
        </w:trPr>
        <w:tc>
          <w:tcPr>
            <w:tcW w:w="3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>Capacité de remboursement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 xml:space="preserve">         1,77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8E4" w:rsidRPr="005D78E4" w:rsidRDefault="005D78E4" w:rsidP="00630835">
            <w:pPr>
              <w:jc w:val="left"/>
              <w:rPr>
                <w:rFonts w:eastAsia="MS Mincho"/>
                <w:b/>
                <w:bCs/>
                <w:sz w:val="22"/>
                <w:lang w:eastAsia="ja-JP"/>
              </w:rPr>
            </w:pPr>
            <w:r w:rsidRPr="005D78E4">
              <w:rPr>
                <w:rFonts w:eastAsia="MS Mincho"/>
                <w:b/>
                <w:bCs/>
                <w:sz w:val="22"/>
                <w:lang w:eastAsia="ja-JP"/>
              </w:rPr>
              <w:t xml:space="preserve">         1,84   </w:t>
            </w:r>
          </w:p>
        </w:tc>
      </w:tr>
    </w:tbl>
    <w:p w:rsidR="00584634" w:rsidRPr="005D78E4" w:rsidRDefault="00584634" w:rsidP="00630835">
      <w:pPr>
        <w:pStyle w:val="Corpsdetexte"/>
        <w:spacing w:after="0"/>
        <w:rPr>
          <w:sz w:val="22"/>
          <w:u w:val="single"/>
        </w:rPr>
      </w:pPr>
    </w:p>
    <w:p w:rsidR="00D80AC6" w:rsidRPr="001627CC" w:rsidRDefault="00584634" w:rsidP="00630835">
      <w:pPr>
        <w:pStyle w:val="Corpsdetexte"/>
        <w:spacing w:after="0"/>
        <w:rPr>
          <w:sz w:val="22"/>
        </w:rPr>
      </w:pPr>
      <w:r w:rsidRPr="001627CC">
        <w:rPr>
          <w:b/>
          <w:sz w:val="22"/>
        </w:rPr>
        <w:t>5. Diagnostic sur l’évolution des résultats et de la situation</w:t>
      </w:r>
      <w:r w:rsidRPr="001627CC">
        <w:rPr>
          <w:sz w:val="22"/>
        </w:rPr>
        <w:t xml:space="preserve"> </w:t>
      </w:r>
      <w:r w:rsidRPr="001627CC">
        <w:rPr>
          <w:b/>
          <w:sz w:val="22"/>
        </w:rPr>
        <w:t>financière</w:t>
      </w:r>
    </w:p>
    <w:p w:rsidR="00584634" w:rsidRPr="005D78E4" w:rsidRDefault="00584634" w:rsidP="00630835">
      <w:pPr>
        <w:pStyle w:val="Corpsdetexte"/>
        <w:spacing w:after="0"/>
        <w:rPr>
          <w:sz w:val="22"/>
        </w:rPr>
      </w:pP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  <w:u w:val="single"/>
        </w:rPr>
        <w:t>Évolution des résultats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 xml:space="preserve">Progression très forte du chiffre d'affaires de 29,5 %, donc très bon dynamisme commercial 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Dérive des consommations externes et des charges de personnel qui a pour effet de réduire l’augmentation du résultat d’exploitation par rapport à celle du chiffre d’affaires.</w:t>
      </w:r>
    </w:p>
    <w:p w:rsidR="00630835" w:rsidRPr="005D78E4" w:rsidRDefault="00630835" w:rsidP="00630835">
      <w:pPr>
        <w:pStyle w:val="Corpsdetexte"/>
        <w:spacing w:after="0"/>
        <w:rPr>
          <w:sz w:val="22"/>
        </w:rPr>
      </w:pPr>
    </w:p>
    <w:p w:rsidR="00584634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  <w:u w:val="single"/>
        </w:rPr>
        <w:t>Évolution de la situation financière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La trésorerie a baissé fortement pendant la période mais elle reste positive.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Le flux de trésorerie sur activité s'élève à 3 533 k€ et permet de financer une grande partie du flux de trésorerie liée à l’investissement. Le flux de trésorerie lié au financement est faiblement positif. Ces deux ressources restent néanmoins insuffisantes pour couvrir le besoin de financement lié à l’investissement. Le complément est apporté par la trésorerie qui diminue de 1 889 k€.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La structure financière est fragilisée par un ratio d’autonomie financière trop élevé bien qu’en réduction. Ce ratio devrait être inférieur à un pour assurer une capacité d’endettement supplémentaire à des conditions normales.</w:t>
      </w:r>
    </w:p>
    <w:p w:rsidR="003E6236" w:rsidRPr="005D78E4" w:rsidRDefault="003E6236" w:rsidP="00630835">
      <w:pPr>
        <w:pStyle w:val="Corpsdetexte"/>
        <w:spacing w:after="0"/>
        <w:rPr>
          <w:sz w:val="22"/>
        </w:rPr>
      </w:pPr>
      <w:r w:rsidRPr="005D78E4">
        <w:rPr>
          <w:sz w:val="22"/>
        </w:rPr>
        <w:t>Par contre l’entreprise génère une CAF qui permet largement de rembourser ses emprunts. En effet la capacité de remboursement est nettement inférieure au plafond défini par les banques (3 ou 4 années de CAF).</w:t>
      </w:r>
    </w:p>
    <w:p w:rsidR="001627CC" w:rsidRPr="001627CC" w:rsidRDefault="001627CC" w:rsidP="001627CC">
      <w:pPr>
        <w:pStyle w:val="Corpsdetexte"/>
        <w:spacing w:after="0"/>
        <w:rPr>
          <w:b/>
          <w:bCs/>
          <w:sz w:val="10"/>
          <w:szCs w:val="10"/>
        </w:rPr>
      </w:pPr>
      <w:r>
        <w:rPr>
          <w:sz w:val="22"/>
        </w:rPr>
        <w:br w:type="page"/>
      </w:r>
    </w:p>
    <w:p w:rsid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  <w:r w:rsidRPr="001627CC">
        <w:rPr>
          <w:b/>
          <w:bCs/>
          <w:sz w:val="22"/>
        </w:rPr>
        <w:t>Dossier 2 - Rentabilité et risque</w:t>
      </w:r>
    </w:p>
    <w:p w:rsid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1627CC" w:rsidRPr="005D78E4" w:rsidRDefault="001627CC" w:rsidP="00630835">
      <w:pPr>
        <w:ind w:left="708" w:firstLine="708"/>
        <w:rPr>
          <w:b/>
          <w:bCs/>
          <w:sz w:val="22"/>
        </w:rPr>
      </w:pPr>
    </w:p>
    <w:p w:rsidR="003E6236" w:rsidRPr="001627CC" w:rsidRDefault="003E6236" w:rsidP="00630835">
      <w:pPr>
        <w:rPr>
          <w:b/>
          <w:sz w:val="22"/>
        </w:rPr>
      </w:pPr>
      <w:r w:rsidRPr="001627CC">
        <w:rPr>
          <w:b/>
          <w:sz w:val="22"/>
        </w:rPr>
        <w:t>A. Approche économique</w:t>
      </w:r>
    </w:p>
    <w:p w:rsidR="003E6236" w:rsidRPr="005D78E4" w:rsidRDefault="003E6236" w:rsidP="00630835">
      <w:pPr>
        <w:rPr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>1. Notions de rentabilité économique</w:t>
      </w:r>
    </w:p>
    <w:p w:rsidR="003E6236" w:rsidRPr="005D78E4" w:rsidRDefault="003E6236" w:rsidP="00630835">
      <w:pPr>
        <w:rPr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sz w:val="22"/>
        </w:rPr>
        <w:t>La rentabilité économique, taux de rendement économique des capitaux investis</w:t>
      </w:r>
      <w:r w:rsidR="00B45503" w:rsidRPr="001627CC">
        <w:rPr>
          <w:sz w:val="22"/>
        </w:rPr>
        <w:t>,</w:t>
      </w:r>
      <w:r w:rsidRPr="001627CC">
        <w:rPr>
          <w:sz w:val="22"/>
        </w:rPr>
        <w:t xml:space="preserve"> est le quotient d'un résultat économique par un capital économique.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Plusieurs ratios possibles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Numérateur : EBE ou résultat d'exploitation ou résultat courant hors intérêt de la dette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Dénominateur :</w:t>
      </w:r>
      <w:r w:rsidR="00B45503" w:rsidRPr="005D78E4">
        <w:rPr>
          <w:rFonts w:ascii="Times New Roman" w:hAnsi="Times New Roman"/>
          <w:sz w:val="22"/>
          <w:szCs w:val="22"/>
        </w:rPr>
        <w:t xml:space="preserve"> capitaux investis (</w:t>
      </w:r>
      <w:r w:rsidRPr="005D78E4">
        <w:rPr>
          <w:rFonts w:ascii="Times New Roman" w:hAnsi="Times New Roman"/>
          <w:sz w:val="22"/>
          <w:szCs w:val="22"/>
        </w:rPr>
        <w:t>capita</w:t>
      </w:r>
      <w:r w:rsidR="00B45503" w:rsidRPr="005D78E4">
        <w:rPr>
          <w:rFonts w:ascii="Times New Roman" w:hAnsi="Times New Roman"/>
          <w:sz w:val="22"/>
          <w:szCs w:val="22"/>
        </w:rPr>
        <w:t xml:space="preserve">ux propres + dettes financières) ou actif économique 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Par la suite le calcul se fera de la façon suivante :</w:t>
      </w:r>
    </w:p>
    <w:p w:rsidR="003E6236" w:rsidRPr="001627CC" w:rsidRDefault="003E6236" w:rsidP="00630835">
      <w:pPr>
        <w:pStyle w:val="SautAvant"/>
        <w:spacing w:before="0"/>
        <w:rPr>
          <w:rFonts w:ascii="Times New Roman" w:hAnsi="Times New Roman"/>
          <w:bCs/>
          <w:sz w:val="22"/>
          <w:szCs w:val="22"/>
        </w:rPr>
      </w:pPr>
      <w:r w:rsidRPr="001627CC">
        <w:rPr>
          <w:rFonts w:ascii="Times New Roman" w:hAnsi="Times New Roman"/>
          <w:bCs/>
          <w:sz w:val="22"/>
          <w:szCs w:val="22"/>
        </w:rPr>
        <w:t>Rentabilité économique : résultat d'exploitation / capitaux propres hors résultat +dettes financières</w:t>
      </w:r>
    </w:p>
    <w:p w:rsidR="003E6236" w:rsidRPr="005D78E4" w:rsidRDefault="003E6236" w:rsidP="00630835">
      <w:pPr>
        <w:rPr>
          <w:b/>
          <w:bCs/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>2. Calcul de la rentabilité économique pour A et B</w:t>
      </w:r>
    </w:p>
    <w:p w:rsidR="003E6236" w:rsidRPr="005D78E4" w:rsidRDefault="003E6236" w:rsidP="00630835">
      <w:pPr>
        <w:rPr>
          <w:sz w:val="22"/>
        </w:rPr>
      </w:pPr>
    </w:p>
    <w:tbl>
      <w:tblPr>
        <w:tblW w:w="8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276"/>
        <w:gridCol w:w="1275"/>
      </w:tblGrid>
      <w:tr w:rsidR="001627CC" w:rsidRPr="005D78E4" w:rsidTr="001627CC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1627CC" w:rsidRPr="005D78E4" w:rsidRDefault="001627CC" w:rsidP="00630835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A</w:t>
            </w:r>
          </w:p>
        </w:tc>
        <w:tc>
          <w:tcPr>
            <w:tcW w:w="1275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B</w:t>
            </w:r>
          </w:p>
        </w:tc>
      </w:tr>
      <w:tr w:rsidR="001627CC" w:rsidRPr="005D78E4" w:rsidTr="001627CC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CA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-Charges variables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 xml:space="preserve">-Charges fixes 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= Résultat d'exploitation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 xml:space="preserve">Capitaux propres hors résultat 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Dettes financières</w:t>
            </w:r>
          </w:p>
          <w:p w:rsidR="001627CC" w:rsidRPr="005D78E4" w:rsidRDefault="001627CC" w:rsidP="00630835">
            <w:pPr>
              <w:rPr>
                <w:sz w:val="22"/>
              </w:rPr>
            </w:pPr>
          </w:p>
          <w:p w:rsidR="001627CC" w:rsidRPr="005D78E4" w:rsidRDefault="001627CC" w:rsidP="00F01132">
            <w:pPr>
              <w:jc w:val="left"/>
              <w:rPr>
                <w:sz w:val="22"/>
              </w:rPr>
            </w:pPr>
            <w:r w:rsidRPr="005D78E4">
              <w:rPr>
                <w:sz w:val="22"/>
              </w:rPr>
              <w:t>Rentabilité éco : résult d'exp / cap propres + dettes fi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Rentabilité éco après I/S = 2/3 rentabilité éco avant I/S</w:t>
            </w:r>
          </w:p>
        </w:tc>
        <w:tc>
          <w:tcPr>
            <w:tcW w:w="1276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91 200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68 700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7 300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102 200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14, 87 %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9,91%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91 200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50 600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25 400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70 200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32 000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14,87%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9,91%</w:t>
            </w:r>
          </w:p>
        </w:tc>
      </w:tr>
    </w:tbl>
    <w:p w:rsidR="003E6236" w:rsidRPr="005D78E4" w:rsidRDefault="003E6236" w:rsidP="00630835">
      <w:pPr>
        <w:rPr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>3. Définition du risque économique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On appelle risque économique l'impact sur le résultat économique (ou sur la rentabilité économique) d'</w:t>
      </w:r>
      <w:r w:rsidR="00F01132" w:rsidRPr="005D78E4">
        <w:rPr>
          <w:sz w:val="22"/>
        </w:rPr>
        <w:t>une variation de l'activité (d'</w:t>
      </w:r>
      <w:r w:rsidRPr="005D78E4">
        <w:rPr>
          <w:sz w:val="22"/>
        </w:rPr>
        <w:t xml:space="preserve">une variation du chiffre d'affaires). </w:t>
      </w:r>
    </w:p>
    <w:p w:rsidR="003E6236" w:rsidRPr="005D78E4" w:rsidRDefault="003E6236" w:rsidP="00630835">
      <w:pPr>
        <w:rPr>
          <w:sz w:val="22"/>
        </w:rPr>
      </w:pPr>
    </w:p>
    <w:p w:rsidR="00AE7035" w:rsidRPr="001627CC" w:rsidRDefault="003E6236" w:rsidP="00AE7035">
      <w:pPr>
        <w:rPr>
          <w:b/>
          <w:i/>
          <w:sz w:val="22"/>
        </w:rPr>
      </w:pPr>
      <w:r w:rsidRPr="001627CC">
        <w:rPr>
          <w:b/>
          <w:sz w:val="22"/>
        </w:rPr>
        <w:t>4. Calcul du levier d’exploitation pour A et B</w:t>
      </w:r>
    </w:p>
    <w:p w:rsidR="003E6236" w:rsidRPr="005D78E4" w:rsidRDefault="003E6236" w:rsidP="00630835">
      <w:pPr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1800"/>
        <w:gridCol w:w="1980"/>
      </w:tblGrid>
      <w:tr w:rsidR="003E6236" w:rsidRPr="005D78E4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3E6236" w:rsidRPr="005D78E4" w:rsidRDefault="003E6236" w:rsidP="00630835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E6236" w:rsidRPr="005D78E4" w:rsidRDefault="003E6236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A</w:t>
            </w:r>
          </w:p>
        </w:tc>
        <w:tc>
          <w:tcPr>
            <w:tcW w:w="1980" w:type="dxa"/>
          </w:tcPr>
          <w:p w:rsidR="003E6236" w:rsidRPr="005D78E4" w:rsidRDefault="003E6236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B</w:t>
            </w:r>
          </w:p>
        </w:tc>
      </w:tr>
      <w:tr w:rsidR="003E6236" w:rsidRPr="005D78E4">
        <w:tblPrEx>
          <w:tblCellMar>
            <w:top w:w="0" w:type="dxa"/>
            <w:bottom w:w="0" w:type="dxa"/>
          </w:tblCellMar>
        </w:tblPrEx>
        <w:tc>
          <w:tcPr>
            <w:tcW w:w="5290" w:type="dxa"/>
          </w:tcPr>
          <w:p w:rsidR="003E6236" w:rsidRPr="005D78E4" w:rsidRDefault="003E6236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MCV = CA – Charges variables</w:t>
            </w:r>
          </w:p>
          <w:p w:rsidR="003E6236" w:rsidRPr="005D78E4" w:rsidRDefault="003E6236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Levier opérationnel = MCV / Résultat d'exploitation</w:t>
            </w:r>
          </w:p>
        </w:tc>
        <w:tc>
          <w:tcPr>
            <w:tcW w:w="1800" w:type="dxa"/>
          </w:tcPr>
          <w:p w:rsidR="003E6236" w:rsidRPr="005D78E4" w:rsidRDefault="003E6236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22 500</w:t>
            </w:r>
          </w:p>
          <w:p w:rsidR="003E6236" w:rsidRPr="005D78E4" w:rsidRDefault="00F01132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1,48</w:t>
            </w:r>
          </w:p>
        </w:tc>
        <w:tc>
          <w:tcPr>
            <w:tcW w:w="1980" w:type="dxa"/>
          </w:tcPr>
          <w:p w:rsidR="003E6236" w:rsidRPr="005D78E4" w:rsidRDefault="003E6236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40 600</w:t>
            </w:r>
          </w:p>
          <w:p w:rsidR="003E6236" w:rsidRPr="005D78E4" w:rsidRDefault="00F01132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2,67</w:t>
            </w:r>
          </w:p>
        </w:tc>
      </w:tr>
    </w:tbl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 xml:space="preserve">Ces calculs s'interprètent ainsi : Si le CA varie de 1%, le résultat économique et la rentabilité économique varieront de 1,48 % chez A et de 2,67 % chez </w:t>
      </w:r>
      <w:proofErr w:type="gramStart"/>
      <w:r w:rsidRPr="005D78E4">
        <w:rPr>
          <w:sz w:val="22"/>
        </w:rPr>
        <w:t>B .</w:t>
      </w:r>
      <w:proofErr w:type="gramEnd"/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 xml:space="preserve">L'entreprise B est soumise à un risque économique quasiment 2 fois plus important que l'entreprise A. </w:t>
      </w:r>
    </w:p>
    <w:p w:rsidR="00AE7035" w:rsidRPr="005D78E4" w:rsidRDefault="00AE7035" w:rsidP="00630835">
      <w:pPr>
        <w:rPr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 xml:space="preserve">5. </w:t>
      </w:r>
      <w:r w:rsidR="000A79E9" w:rsidRPr="001627CC">
        <w:rPr>
          <w:b/>
          <w:sz w:val="22"/>
        </w:rPr>
        <w:t>Les autres outils de la mesure du risque économique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F01132" w:rsidP="00F01132">
      <w:pPr>
        <w:numPr>
          <w:ilvl w:val="0"/>
          <w:numId w:val="11"/>
        </w:numPr>
        <w:tabs>
          <w:tab w:val="left" w:pos="1418"/>
        </w:tabs>
        <w:rPr>
          <w:sz w:val="22"/>
        </w:rPr>
      </w:pPr>
      <w:r w:rsidRPr="005D78E4">
        <w:rPr>
          <w:sz w:val="22"/>
        </w:rPr>
        <w:t>Outils de gestion : seuil de rentabilité, marge de sécurité …</w:t>
      </w:r>
    </w:p>
    <w:p w:rsidR="003E6236" w:rsidRPr="005D78E4" w:rsidRDefault="00F01132" w:rsidP="00F01132">
      <w:pPr>
        <w:numPr>
          <w:ilvl w:val="0"/>
          <w:numId w:val="11"/>
        </w:numPr>
        <w:tabs>
          <w:tab w:val="left" w:pos="1418"/>
        </w:tabs>
        <w:rPr>
          <w:sz w:val="22"/>
        </w:rPr>
      </w:pPr>
      <w:r w:rsidRPr="005D78E4">
        <w:rPr>
          <w:sz w:val="22"/>
        </w:rPr>
        <w:t>Outils de probabilité et de statistiques : variance, écart-type, élasticité, probabilité de ruine</w:t>
      </w:r>
    </w:p>
    <w:p w:rsidR="003E6236" w:rsidRPr="005D78E4" w:rsidRDefault="003E6236" w:rsidP="00630835">
      <w:pPr>
        <w:rPr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 xml:space="preserve">6. </w:t>
      </w:r>
      <w:r w:rsidR="00BD240A" w:rsidRPr="001627CC">
        <w:rPr>
          <w:b/>
          <w:sz w:val="22"/>
        </w:rPr>
        <w:t>Réduction du</w:t>
      </w:r>
      <w:r w:rsidRPr="001627CC">
        <w:rPr>
          <w:b/>
          <w:sz w:val="22"/>
        </w:rPr>
        <w:t xml:space="preserve"> risque économique</w:t>
      </w:r>
    </w:p>
    <w:p w:rsidR="003E6236" w:rsidRPr="005D78E4" w:rsidRDefault="003E6236" w:rsidP="00630835">
      <w:pPr>
        <w:rPr>
          <w:sz w:val="22"/>
        </w:rPr>
      </w:pPr>
    </w:p>
    <w:p w:rsidR="00BD240A" w:rsidRPr="005D78E4" w:rsidRDefault="003E6236" w:rsidP="00630835">
      <w:pPr>
        <w:rPr>
          <w:sz w:val="22"/>
        </w:rPr>
      </w:pPr>
      <w:r w:rsidRPr="005D78E4">
        <w:rPr>
          <w:sz w:val="22"/>
        </w:rPr>
        <w:t xml:space="preserve">Le risque économique est </w:t>
      </w:r>
      <w:r w:rsidR="00BD240A" w:rsidRPr="005D78E4">
        <w:rPr>
          <w:sz w:val="22"/>
        </w:rPr>
        <w:t>lié</w:t>
      </w:r>
      <w:r w:rsidRPr="005D78E4">
        <w:rPr>
          <w:sz w:val="22"/>
        </w:rPr>
        <w:t xml:space="preserve"> à la structure des charges,</w:t>
      </w:r>
      <w:r w:rsidR="00BD240A" w:rsidRPr="005D78E4">
        <w:rPr>
          <w:sz w:val="22"/>
        </w:rPr>
        <w:t xml:space="preserve"> p</w:t>
      </w:r>
      <w:r w:rsidRPr="005D78E4">
        <w:rPr>
          <w:sz w:val="22"/>
        </w:rPr>
        <w:t xml:space="preserve">our réduire ce risque il faudrait </w:t>
      </w:r>
      <w:r w:rsidR="00F01132" w:rsidRPr="005D78E4">
        <w:rPr>
          <w:sz w:val="22"/>
        </w:rPr>
        <w:t xml:space="preserve">réduire les charges fixes pour abaisser le seuil de rentabilité. </w:t>
      </w:r>
    </w:p>
    <w:p w:rsidR="003E6236" w:rsidRPr="005D78E4" w:rsidRDefault="00F01132" w:rsidP="00630835">
      <w:pPr>
        <w:rPr>
          <w:sz w:val="22"/>
        </w:rPr>
      </w:pPr>
      <w:r w:rsidRPr="005D78E4">
        <w:rPr>
          <w:sz w:val="22"/>
        </w:rPr>
        <w:t xml:space="preserve">On peut </w:t>
      </w:r>
      <w:r w:rsidR="00CF5750" w:rsidRPr="005D78E4">
        <w:rPr>
          <w:sz w:val="22"/>
        </w:rPr>
        <w:t>sous-</w:t>
      </w:r>
      <w:r w:rsidR="003E6236" w:rsidRPr="005D78E4">
        <w:rPr>
          <w:sz w:val="22"/>
        </w:rPr>
        <w:t>traiter une partie de la production, faire appel à du personnel intérimaire, faire des économies sur les postes entraînant des charges fixes, avoir plus de flexibilité dans la fabrication, etc.</w:t>
      </w:r>
    </w:p>
    <w:p w:rsidR="003E6236" w:rsidRPr="001627CC" w:rsidRDefault="001627CC" w:rsidP="00630835">
      <w:pPr>
        <w:rPr>
          <w:b/>
          <w:sz w:val="22"/>
        </w:rPr>
      </w:pPr>
      <w:r>
        <w:rPr>
          <w:sz w:val="22"/>
        </w:rPr>
        <w:br w:type="page"/>
      </w:r>
      <w:r w:rsidR="003E6236" w:rsidRPr="001627CC">
        <w:rPr>
          <w:b/>
          <w:sz w:val="22"/>
        </w:rPr>
        <w:lastRenderedPageBreak/>
        <w:t>B. Approche financière</w:t>
      </w:r>
    </w:p>
    <w:p w:rsidR="003E6236" w:rsidRPr="005D78E4" w:rsidRDefault="003E6236" w:rsidP="00630835">
      <w:pPr>
        <w:rPr>
          <w:sz w:val="22"/>
        </w:rPr>
      </w:pPr>
    </w:p>
    <w:p w:rsidR="003E6236" w:rsidRPr="001627CC" w:rsidRDefault="003E6236" w:rsidP="00630835">
      <w:pPr>
        <w:rPr>
          <w:b/>
          <w:sz w:val="22"/>
        </w:rPr>
      </w:pPr>
      <w:r w:rsidRPr="001627CC">
        <w:rPr>
          <w:b/>
          <w:sz w:val="22"/>
        </w:rPr>
        <w:t>7. Définition de la rentabilité financière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 xml:space="preserve">La rentabilité financière mesure le taux de rendement des capitaux propres. On l'obtient en faisant le rapport du résultat net sur les capitaux propres </w:t>
      </w:r>
    </w:p>
    <w:p w:rsidR="003E6236" w:rsidRPr="005D78E4" w:rsidRDefault="00CF5750" w:rsidP="00630835">
      <w:pPr>
        <w:rPr>
          <w:b/>
          <w:bCs/>
          <w:sz w:val="22"/>
        </w:rPr>
      </w:pPr>
      <w:r w:rsidRPr="005D78E4">
        <w:rPr>
          <w:b/>
          <w:bCs/>
          <w:sz w:val="22"/>
        </w:rPr>
        <w:t>Rf = r</w:t>
      </w:r>
      <w:r w:rsidR="003E6236" w:rsidRPr="005D78E4">
        <w:rPr>
          <w:b/>
          <w:bCs/>
          <w:sz w:val="22"/>
        </w:rPr>
        <w:t>ésultat net / capitaux propres hors résultat</w:t>
      </w:r>
    </w:p>
    <w:p w:rsidR="003E6236" w:rsidRPr="005D78E4" w:rsidRDefault="003E6236" w:rsidP="00630835">
      <w:pPr>
        <w:rPr>
          <w:b/>
          <w:bCs/>
          <w:sz w:val="22"/>
        </w:rPr>
      </w:pPr>
    </w:p>
    <w:p w:rsidR="003E6236" w:rsidRPr="001627CC" w:rsidRDefault="003E6236" w:rsidP="00630835">
      <w:pPr>
        <w:rPr>
          <w:sz w:val="22"/>
        </w:rPr>
      </w:pPr>
      <w:r w:rsidRPr="001627CC">
        <w:rPr>
          <w:b/>
          <w:sz w:val="22"/>
        </w:rPr>
        <w:t>8. Calcul de la rentabilité financière chez A et B</w:t>
      </w:r>
    </w:p>
    <w:p w:rsidR="003E6236" w:rsidRPr="005D78E4" w:rsidRDefault="003E6236" w:rsidP="0063083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6"/>
        <w:gridCol w:w="1409"/>
        <w:gridCol w:w="1276"/>
      </w:tblGrid>
      <w:tr w:rsidR="001627CC" w:rsidRPr="005D78E4" w:rsidTr="001627CC">
        <w:tblPrEx>
          <w:tblCellMar>
            <w:top w:w="0" w:type="dxa"/>
            <w:bottom w:w="0" w:type="dxa"/>
          </w:tblCellMar>
        </w:tblPrEx>
        <w:tc>
          <w:tcPr>
            <w:tcW w:w="6316" w:type="dxa"/>
          </w:tcPr>
          <w:p w:rsidR="001627CC" w:rsidRPr="005D78E4" w:rsidRDefault="001627CC" w:rsidP="00630835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A</w:t>
            </w:r>
          </w:p>
        </w:tc>
        <w:tc>
          <w:tcPr>
            <w:tcW w:w="1276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Entreprise B</w:t>
            </w:r>
          </w:p>
        </w:tc>
      </w:tr>
      <w:tr w:rsidR="001627CC" w:rsidRPr="005D78E4" w:rsidTr="001627CC">
        <w:tblPrEx>
          <w:tblCellMar>
            <w:top w:w="0" w:type="dxa"/>
            <w:bottom w:w="0" w:type="dxa"/>
          </w:tblCellMar>
        </w:tblPrEx>
        <w:tc>
          <w:tcPr>
            <w:tcW w:w="6316" w:type="dxa"/>
          </w:tcPr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Capitaux propres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Résultat exploitation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Charges financières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Résultat avant IS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Résultat après IS</w:t>
            </w:r>
          </w:p>
          <w:p w:rsidR="001627CC" w:rsidRPr="005D78E4" w:rsidRDefault="001627CC" w:rsidP="00630835">
            <w:pPr>
              <w:rPr>
                <w:sz w:val="22"/>
              </w:rPr>
            </w:pP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Rent fin avant I/S=Résultat avant IS / Cap propres</w:t>
            </w:r>
          </w:p>
          <w:p w:rsidR="001627CC" w:rsidRPr="005D78E4" w:rsidRDefault="001627CC" w:rsidP="00630835">
            <w:pPr>
              <w:rPr>
                <w:sz w:val="22"/>
              </w:rPr>
            </w:pPr>
            <w:r w:rsidRPr="005D78E4">
              <w:rPr>
                <w:sz w:val="22"/>
              </w:rPr>
              <w:t>Rent fin après I/S= Résultat après IS / Cap propres</w:t>
            </w:r>
          </w:p>
        </w:tc>
        <w:tc>
          <w:tcPr>
            <w:tcW w:w="1409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102 200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10 134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14,87%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9,91%</w:t>
            </w:r>
          </w:p>
        </w:tc>
        <w:tc>
          <w:tcPr>
            <w:tcW w:w="1276" w:type="dxa"/>
          </w:tcPr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70 200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15 200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2 300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12 900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8 600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18,38%</w:t>
            </w:r>
          </w:p>
          <w:p w:rsidR="001627CC" w:rsidRPr="005D78E4" w:rsidRDefault="001627CC" w:rsidP="00F01132">
            <w:pPr>
              <w:jc w:val="center"/>
              <w:rPr>
                <w:sz w:val="22"/>
              </w:rPr>
            </w:pPr>
            <w:r w:rsidRPr="005D78E4">
              <w:rPr>
                <w:sz w:val="22"/>
              </w:rPr>
              <w:t>12,25%</w:t>
            </w:r>
          </w:p>
        </w:tc>
      </w:tr>
    </w:tbl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1627CC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1627CC">
        <w:rPr>
          <w:rFonts w:ascii="Times New Roman" w:hAnsi="Times New Roman"/>
          <w:b/>
          <w:sz w:val="22"/>
          <w:szCs w:val="22"/>
        </w:rPr>
        <w:t>9. Explication de la différence entre la rentabilité de A et celle de B</w:t>
      </w:r>
    </w:p>
    <w:p w:rsidR="001627CC" w:rsidRDefault="001627CC" w:rsidP="00630835">
      <w:pPr>
        <w:pStyle w:val="SautAvant"/>
        <w:spacing w:before="0"/>
        <w:rPr>
          <w:rFonts w:ascii="Times New Roman" w:hAnsi="Times New Roman"/>
          <w:b/>
          <w:i/>
          <w:sz w:val="22"/>
          <w:szCs w:val="22"/>
        </w:rPr>
      </w:pPr>
    </w:p>
    <w:p w:rsidR="00F01132" w:rsidRPr="005D78E4" w:rsidRDefault="003E6236" w:rsidP="00630835">
      <w:pPr>
        <w:rPr>
          <w:sz w:val="22"/>
        </w:rPr>
      </w:pPr>
      <w:r w:rsidRPr="005D78E4">
        <w:rPr>
          <w:sz w:val="22"/>
        </w:rPr>
        <w:t>Que ce soit avant ou après IS, la rentabilité financière de B est plus forte que celle de A :</w:t>
      </w:r>
      <w:r w:rsidR="00E86C7B">
        <w:rPr>
          <w:sz w:val="22"/>
        </w:rPr>
        <w:t xml:space="preserve"> </w:t>
      </w:r>
      <w:r w:rsidRPr="005D78E4">
        <w:rPr>
          <w:sz w:val="22"/>
        </w:rPr>
        <w:t xml:space="preserve">18,38 % supérieur à </w:t>
      </w:r>
      <w:r w:rsidR="001627CC">
        <w:rPr>
          <w:sz w:val="22"/>
        </w:rPr>
        <w:br/>
      </w:r>
      <w:r w:rsidRPr="005D78E4">
        <w:rPr>
          <w:sz w:val="22"/>
        </w:rPr>
        <w:t>14,87 % avant IS ou 12,25% supérieur à 9, 91% après IS.</w:t>
      </w:r>
      <w:r w:rsidR="00F01132" w:rsidRPr="005D78E4">
        <w:rPr>
          <w:sz w:val="22"/>
        </w:rPr>
        <w:t xml:space="preserve"> </w:t>
      </w:r>
      <w:r w:rsidRPr="005D78E4">
        <w:rPr>
          <w:sz w:val="22"/>
        </w:rPr>
        <w:t xml:space="preserve">C'est le recours à l'endettement dans des conditions favorables qui rend la rentabilité de B supérieure à A. </w:t>
      </w:r>
    </w:p>
    <w:p w:rsidR="00F01132" w:rsidRPr="005D78E4" w:rsidRDefault="003E6236" w:rsidP="00630835">
      <w:pPr>
        <w:rPr>
          <w:sz w:val="22"/>
        </w:rPr>
      </w:pPr>
      <w:r w:rsidRPr="005D78E4">
        <w:rPr>
          <w:sz w:val="22"/>
        </w:rPr>
        <w:t>Il s'agit du jeu de l'effet de levier qui consiste à améliorer la rentabilité financière par appel à l'emprunt.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Cet effet est positif quand le taux de rentabilité économique est supérieur au taux d'intérêt.</w:t>
      </w:r>
      <w:r w:rsidR="00F01132" w:rsidRPr="005D78E4">
        <w:rPr>
          <w:sz w:val="22"/>
        </w:rPr>
        <w:t xml:space="preserve"> </w:t>
      </w:r>
      <w:r w:rsidRPr="005D78E4">
        <w:rPr>
          <w:sz w:val="22"/>
        </w:rPr>
        <w:t xml:space="preserve">C'est le cas ici puisque le taux de rentabilité économique est de 9,91 % alors que le taux de l'emprunt est de 2/3 </w:t>
      </w:r>
      <w:proofErr w:type="gramStart"/>
      <w:r w:rsidRPr="005D78E4">
        <w:rPr>
          <w:sz w:val="22"/>
        </w:rPr>
        <w:t>( 2</w:t>
      </w:r>
      <w:proofErr w:type="gramEnd"/>
      <w:r w:rsidRPr="005D78E4">
        <w:rPr>
          <w:sz w:val="22"/>
        </w:rPr>
        <w:t xml:space="preserve"> 300/32 000) = 4,79% (calculs après I/S).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b/>
          <w:sz w:val="22"/>
          <w:szCs w:val="22"/>
        </w:rPr>
        <w:t xml:space="preserve">10. </w:t>
      </w:r>
      <w:r w:rsidRPr="005D78E4">
        <w:rPr>
          <w:rFonts w:ascii="Times New Roman" w:hAnsi="Times New Roman"/>
          <w:b/>
          <w:sz w:val="22"/>
          <w:szCs w:val="22"/>
          <w:u w:val="single"/>
        </w:rPr>
        <w:t>Définition du risque financier</w:t>
      </w:r>
      <w:r w:rsidR="00AE7035" w:rsidRPr="005D78E4">
        <w:rPr>
          <w:rFonts w:ascii="Times New Roman" w:hAnsi="Times New Roman"/>
          <w:sz w:val="22"/>
          <w:szCs w:val="22"/>
        </w:rPr>
        <w:t> </w:t>
      </w:r>
      <w:r w:rsidR="00AE7035" w:rsidRPr="005D78E4">
        <w:rPr>
          <w:rFonts w:ascii="Times New Roman" w:hAnsi="Times New Roman"/>
          <w:b/>
          <w:i/>
          <w:sz w:val="22"/>
          <w:szCs w:val="22"/>
        </w:rPr>
        <w:t>(2 points)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Default="003E6236" w:rsidP="00630835">
      <w:pPr>
        <w:rPr>
          <w:sz w:val="22"/>
        </w:rPr>
      </w:pPr>
      <w:r w:rsidRPr="005D78E4">
        <w:rPr>
          <w:sz w:val="22"/>
        </w:rPr>
        <w:t xml:space="preserve">On appelle risque financier </w:t>
      </w:r>
      <w:r w:rsidR="00B47B3E" w:rsidRPr="005D78E4">
        <w:rPr>
          <w:sz w:val="22"/>
        </w:rPr>
        <w:t>l’impact de l’endettement sur la rentabilité des capitaux propres. C’est le risque lié à l’endettement (cessation de paiement, rentabilité attendue par les actionnaires…)</w:t>
      </w:r>
    </w:p>
    <w:p w:rsidR="001627CC" w:rsidRPr="005D78E4" w:rsidRDefault="001627CC" w:rsidP="00630835">
      <w:pPr>
        <w:rPr>
          <w:sz w:val="22"/>
        </w:rPr>
      </w:pPr>
    </w:p>
    <w:p w:rsidR="003E6236" w:rsidRPr="001627CC" w:rsidRDefault="003E6236" w:rsidP="001627CC">
      <w:pPr>
        <w:pStyle w:val="SautAvant"/>
        <w:spacing w:before="0"/>
        <w:rPr>
          <w:rFonts w:ascii="Times New Roman" w:hAnsi="Times New Roman"/>
          <w:b/>
          <w:sz w:val="22"/>
          <w:szCs w:val="22"/>
        </w:rPr>
      </w:pPr>
      <w:r w:rsidRPr="001627CC">
        <w:rPr>
          <w:rFonts w:ascii="Times New Roman" w:hAnsi="Times New Roman"/>
          <w:b/>
          <w:sz w:val="22"/>
          <w:szCs w:val="22"/>
        </w:rPr>
        <w:t>11. Tableau des rentabilités dans le cadre de la baisse de 10% du CA</w:t>
      </w:r>
    </w:p>
    <w:p w:rsidR="00BD240A" w:rsidRPr="001627CC" w:rsidRDefault="00BD240A" w:rsidP="001627CC">
      <w:pPr>
        <w:pStyle w:val="SautAvant"/>
        <w:spacing w:before="0"/>
        <w:rPr>
          <w:rFonts w:ascii="Times New Roman" w:hAnsi="Times New Roman"/>
          <w:b/>
          <w:sz w:val="22"/>
          <w:szCs w:val="22"/>
        </w:rPr>
      </w:pPr>
    </w:p>
    <w:tbl>
      <w:tblPr>
        <w:tblW w:w="76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5"/>
        <w:gridCol w:w="1340"/>
        <w:gridCol w:w="1340"/>
        <w:gridCol w:w="1301"/>
        <w:gridCol w:w="1134"/>
      </w:tblGrid>
      <w:tr w:rsidR="001627CC" w:rsidRPr="005D78E4" w:rsidTr="001627CC">
        <w:trPr>
          <w:trHeight w:val="273"/>
        </w:trPr>
        <w:tc>
          <w:tcPr>
            <w:tcW w:w="256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B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Variation par rapport à la situation initiale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B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CA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82 080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82 080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- 10%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-10 %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Charges variables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61 830</w:t>
            </w:r>
          </w:p>
        </w:tc>
        <w:tc>
          <w:tcPr>
            <w:tcW w:w="13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45 540</w:t>
            </w:r>
          </w:p>
        </w:tc>
        <w:tc>
          <w:tcPr>
            <w:tcW w:w="1301" w:type="dxa"/>
            <w:tcBorders>
              <w:top w:val="nil"/>
              <w:bottom w:val="nil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Charges fixes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 xml:space="preserve">7 300 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25 400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Résultat d’exploitation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12 950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11 140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- 14.80%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- 26.71 %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Rentabilité éco avant impôt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12,67%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10,90%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- 14.80%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- 26.71 %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Rentabilité éco après impôt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8,447%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7,27%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- 9.87%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- 17.81%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charges financières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0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2300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RCAI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12950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8840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Résultat net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8633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5893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Capitaux propres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102200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70200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RF avant impôt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12,67%</w:t>
            </w:r>
          </w:p>
        </w:tc>
        <w:tc>
          <w:tcPr>
            <w:tcW w:w="13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12,59%</w:t>
            </w: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- 14.80%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- 31.50 %</w:t>
            </w:r>
          </w:p>
        </w:tc>
      </w:tr>
      <w:tr w:rsidR="001627CC" w:rsidRPr="005D78E4" w:rsidTr="001627CC">
        <w:trPr>
          <w:trHeight w:val="273"/>
        </w:trPr>
        <w:tc>
          <w:tcPr>
            <w:tcW w:w="256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left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RF après impôt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8,45%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8,40%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AE7035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- 9.87 %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27CC" w:rsidRPr="005D78E4" w:rsidRDefault="001627CC" w:rsidP="00DE2589">
            <w:pPr>
              <w:jc w:val="center"/>
              <w:rPr>
                <w:color w:val="000000"/>
                <w:sz w:val="22"/>
              </w:rPr>
            </w:pPr>
            <w:r w:rsidRPr="005D78E4">
              <w:rPr>
                <w:color w:val="000000"/>
                <w:sz w:val="22"/>
              </w:rPr>
              <w:t>- 21 %</w:t>
            </w:r>
          </w:p>
        </w:tc>
      </w:tr>
    </w:tbl>
    <w:p w:rsidR="001627CC" w:rsidRDefault="001627CC" w:rsidP="00630835">
      <w:pPr>
        <w:rPr>
          <w:sz w:val="22"/>
        </w:rPr>
      </w:pPr>
    </w:p>
    <w:p w:rsidR="003E6236" w:rsidRPr="001627CC" w:rsidRDefault="001627CC" w:rsidP="007D6210">
      <w:pPr>
        <w:rPr>
          <w:b/>
          <w:i/>
          <w:sz w:val="22"/>
        </w:rPr>
      </w:pPr>
      <w:r>
        <w:rPr>
          <w:sz w:val="22"/>
        </w:rPr>
        <w:br w:type="page"/>
      </w:r>
      <w:r w:rsidR="003E6236" w:rsidRPr="001627CC">
        <w:rPr>
          <w:b/>
          <w:sz w:val="22"/>
        </w:rPr>
        <w:lastRenderedPageBreak/>
        <w:t>12. Conclusion</w:t>
      </w:r>
    </w:p>
    <w:p w:rsidR="00492734" w:rsidRPr="005D78E4" w:rsidRDefault="00492734" w:rsidP="00630835">
      <w:pPr>
        <w:pStyle w:val="SautAvant"/>
        <w:spacing w:before="0"/>
        <w:rPr>
          <w:rFonts w:ascii="Times New Roman" w:hAnsi="Times New Roman"/>
          <w:b/>
          <w:i/>
          <w:sz w:val="22"/>
          <w:szCs w:val="22"/>
        </w:rPr>
      </w:pP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Chez A, la rentabilité financière est</w:t>
      </w:r>
      <w:r w:rsidR="00CF5750" w:rsidRPr="005D78E4">
        <w:rPr>
          <w:rFonts w:ascii="Times New Roman" w:hAnsi="Times New Roman"/>
          <w:sz w:val="22"/>
          <w:szCs w:val="22"/>
        </w:rPr>
        <w:t xml:space="preserve"> passée de 9,91% à 8,45</w:t>
      </w:r>
      <w:r w:rsidRPr="005D78E4">
        <w:rPr>
          <w:rFonts w:ascii="Times New Roman" w:hAnsi="Times New Roman"/>
          <w:sz w:val="22"/>
          <w:szCs w:val="22"/>
        </w:rPr>
        <w:t>%.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 xml:space="preserve">Chez B, la rentabilité financière chute plus </w:t>
      </w:r>
      <w:r w:rsidR="0069480B" w:rsidRPr="005D78E4">
        <w:rPr>
          <w:rFonts w:ascii="Times New Roman" w:hAnsi="Times New Roman"/>
          <w:sz w:val="22"/>
          <w:szCs w:val="22"/>
        </w:rPr>
        <w:t xml:space="preserve">fortement. </w:t>
      </w:r>
      <w:r w:rsidRPr="005D78E4">
        <w:rPr>
          <w:rFonts w:ascii="Times New Roman" w:hAnsi="Times New Roman"/>
          <w:sz w:val="22"/>
          <w:szCs w:val="22"/>
        </w:rPr>
        <w:t>Elle est passée de 12,25% à 8,39%.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Chez A, pour une baisse de 10% du CA, la rentabilité économique et la rentabilité financière chutent de la même manière, passant de 9,91%</w:t>
      </w:r>
      <w:r w:rsidR="00CF5750" w:rsidRPr="005D78E4">
        <w:rPr>
          <w:rFonts w:ascii="Times New Roman" w:hAnsi="Times New Roman"/>
          <w:sz w:val="22"/>
          <w:szCs w:val="22"/>
        </w:rPr>
        <w:t xml:space="preserve"> à 8,45% soit une chute de 14,80</w:t>
      </w:r>
      <w:r w:rsidRPr="005D78E4">
        <w:rPr>
          <w:rFonts w:ascii="Times New Roman" w:hAnsi="Times New Roman"/>
          <w:sz w:val="22"/>
          <w:szCs w:val="22"/>
        </w:rPr>
        <w:t xml:space="preserve">%. </w:t>
      </w:r>
    </w:p>
    <w:p w:rsidR="003E6236" w:rsidRPr="005D78E4" w:rsidRDefault="00CF5750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Cette chute de 14,80</w:t>
      </w:r>
      <w:r w:rsidR="003E6236" w:rsidRPr="005D78E4">
        <w:rPr>
          <w:rFonts w:ascii="Times New Roman" w:hAnsi="Times New Roman"/>
          <w:sz w:val="22"/>
          <w:szCs w:val="22"/>
        </w:rPr>
        <w:t xml:space="preserve"> % de la rentabilité économique traduit le risque économique, (déjà vu plus haut : une chute de 1% du</w:t>
      </w:r>
      <w:r w:rsidRPr="005D78E4">
        <w:rPr>
          <w:rFonts w:ascii="Times New Roman" w:hAnsi="Times New Roman"/>
          <w:sz w:val="22"/>
          <w:szCs w:val="22"/>
        </w:rPr>
        <w:t xml:space="preserve"> CA entraînant une chute de 1,48</w:t>
      </w:r>
      <w:r w:rsidR="003E6236" w:rsidRPr="005D78E4">
        <w:rPr>
          <w:rFonts w:ascii="Times New Roman" w:hAnsi="Times New Roman"/>
          <w:sz w:val="22"/>
          <w:szCs w:val="22"/>
        </w:rPr>
        <w:t>% de la rentabilité économique)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La rentabilité financière chute éga</w:t>
      </w:r>
      <w:r w:rsidR="00CF5750" w:rsidRPr="005D78E4">
        <w:rPr>
          <w:rFonts w:ascii="Times New Roman" w:hAnsi="Times New Roman"/>
          <w:sz w:val="22"/>
          <w:szCs w:val="22"/>
        </w:rPr>
        <w:t>lement de 14,8</w:t>
      </w:r>
      <w:r w:rsidRPr="005D78E4">
        <w:rPr>
          <w:rFonts w:ascii="Times New Roman" w:hAnsi="Times New Roman"/>
          <w:sz w:val="22"/>
          <w:szCs w:val="22"/>
        </w:rPr>
        <w:t>%, car il n'y a pas d'endettement.</w:t>
      </w:r>
    </w:p>
    <w:p w:rsidR="0069480B" w:rsidRPr="001627CC" w:rsidRDefault="0069480B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1627CC">
        <w:rPr>
          <w:rFonts w:ascii="Times New Roman" w:hAnsi="Times New Roman"/>
          <w:sz w:val="22"/>
          <w:szCs w:val="22"/>
        </w:rPr>
        <w:t>A, entreprise non endettée, n’est soumise qu’au risque économique.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5D78E4" w:rsidRDefault="0069480B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>C</w:t>
      </w:r>
      <w:r w:rsidR="003E6236" w:rsidRPr="005D78E4">
        <w:rPr>
          <w:rFonts w:ascii="Times New Roman" w:hAnsi="Times New Roman"/>
          <w:sz w:val="22"/>
          <w:szCs w:val="22"/>
        </w:rPr>
        <w:t xml:space="preserve">hez B, la chute de la rentabilité économique est plus forte que chez A, elle passe de 9,91% à 7,27 % soit de </w:t>
      </w:r>
      <w:r w:rsidRPr="005D78E4">
        <w:rPr>
          <w:rFonts w:ascii="Times New Roman" w:hAnsi="Times New Roman"/>
          <w:sz w:val="22"/>
          <w:szCs w:val="22"/>
        </w:rPr>
        <w:t xml:space="preserve">- </w:t>
      </w:r>
      <w:r w:rsidR="003E6236" w:rsidRPr="005D78E4">
        <w:rPr>
          <w:rFonts w:ascii="Times New Roman" w:hAnsi="Times New Roman"/>
          <w:sz w:val="22"/>
          <w:szCs w:val="22"/>
        </w:rPr>
        <w:t>26,7</w:t>
      </w:r>
      <w:r w:rsidR="00CF5750" w:rsidRPr="005D78E4">
        <w:rPr>
          <w:rFonts w:ascii="Times New Roman" w:hAnsi="Times New Roman"/>
          <w:sz w:val="22"/>
          <w:szCs w:val="22"/>
        </w:rPr>
        <w:t>1</w:t>
      </w:r>
      <w:r w:rsidR="003E6236" w:rsidRPr="005D78E4">
        <w:rPr>
          <w:rFonts w:ascii="Times New Roman" w:hAnsi="Times New Roman"/>
          <w:sz w:val="22"/>
          <w:szCs w:val="22"/>
        </w:rPr>
        <w:t xml:space="preserve">% </w:t>
      </w:r>
      <w:r w:rsidRPr="005D78E4">
        <w:rPr>
          <w:rFonts w:ascii="Times New Roman" w:hAnsi="Times New Roman"/>
          <w:sz w:val="22"/>
          <w:szCs w:val="22"/>
        </w:rPr>
        <w:t>en raison de l’importance des charges fixes (cf. levier opérationnel vu plus haut).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5D78E4">
        <w:rPr>
          <w:rFonts w:ascii="Times New Roman" w:hAnsi="Times New Roman"/>
          <w:sz w:val="22"/>
          <w:szCs w:val="22"/>
        </w:rPr>
        <w:t xml:space="preserve"> Par ailleurs</w:t>
      </w:r>
      <w:r w:rsidR="0069480B" w:rsidRPr="005D78E4">
        <w:rPr>
          <w:rFonts w:ascii="Times New Roman" w:hAnsi="Times New Roman"/>
          <w:sz w:val="22"/>
          <w:szCs w:val="22"/>
        </w:rPr>
        <w:t>,</w:t>
      </w:r>
      <w:r w:rsidRPr="005D78E4">
        <w:rPr>
          <w:rFonts w:ascii="Times New Roman" w:hAnsi="Times New Roman"/>
          <w:sz w:val="22"/>
          <w:szCs w:val="22"/>
        </w:rPr>
        <w:t xml:space="preserve"> la rentabilité financière </w:t>
      </w:r>
      <w:r w:rsidR="00502625" w:rsidRPr="005D78E4">
        <w:rPr>
          <w:rFonts w:ascii="Times New Roman" w:hAnsi="Times New Roman"/>
          <w:sz w:val="22"/>
          <w:szCs w:val="22"/>
        </w:rPr>
        <w:t>chute de 31,5% en valeur re</w:t>
      </w:r>
      <w:r w:rsidR="00CF5750" w:rsidRPr="005D78E4">
        <w:rPr>
          <w:rFonts w:ascii="Times New Roman" w:hAnsi="Times New Roman"/>
          <w:sz w:val="22"/>
          <w:szCs w:val="22"/>
        </w:rPr>
        <w:t>lative, passant de 12,25% à 8,40</w:t>
      </w:r>
      <w:r w:rsidR="00502625" w:rsidRPr="005D78E4">
        <w:rPr>
          <w:rFonts w:ascii="Times New Roman" w:hAnsi="Times New Roman"/>
          <w:sz w:val="22"/>
          <w:szCs w:val="22"/>
        </w:rPr>
        <w:t xml:space="preserve">%., </w:t>
      </w:r>
      <w:r w:rsidRPr="005D78E4">
        <w:rPr>
          <w:rFonts w:ascii="Times New Roman" w:hAnsi="Times New Roman"/>
          <w:sz w:val="22"/>
          <w:szCs w:val="22"/>
        </w:rPr>
        <w:t xml:space="preserve">du fait du recours à l'emprunt. </w:t>
      </w:r>
    </w:p>
    <w:p w:rsidR="00502625" w:rsidRPr="001627CC" w:rsidRDefault="00502625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  <w:r w:rsidRPr="001627CC">
        <w:rPr>
          <w:rFonts w:ascii="Times New Roman" w:hAnsi="Times New Roman"/>
          <w:sz w:val="22"/>
          <w:szCs w:val="22"/>
        </w:rPr>
        <w:t>B, entreprise endettée, est soumise aux risques économi</w:t>
      </w:r>
      <w:r w:rsidR="00CF5750" w:rsidRPr="001627CC">
        <w:rPr>
          <w:rFonts w:ascii="Times New Roman" w:hAnsi="Times New Roman"/>
          <w:sz w:val="22"/>
          <w:szCs w:val="22"/>
        </w:rPr>
        <w:t>que</w:t>
      </w:r>
      <w:r w:rsidRPr="001627CC">
        <w:rPr>
          <w:rFonts w:ascii="Times New Roman" w:hAnsi="Times New Roman"/>
          <w:sz w:val="22"/>
          <w:szCs w:val="22"/>
        </w:rPr>
        <w:t xml:space="preserve"> et financier.</w:t>
      </w:r>
    </w:p>
    <w:p w:rsidR="003E6236" w:rsidRPr="005D78E4" w:rsidRDefault="003E6236" w:rsidP="0063083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L'entreprise B est donc davantage soumise</w:t>
      </w:r>
      <w:r w:rsidR="007D6210" w:rsidRPr="005D78E4">
        <w:rPr>
          <w:sz w:val="22"/>
        </w:rPr>
        <w:t xml:space="preserve"> que l'entreprise A aux risques : au</w:t>
      </w:r>
      <w:r w:rsidRPr="005D78E4">
        <w:rPr>
          <w:sz w:val="22"/>
        </w:rPr>
        <w:t xml:space="preserve"> risque </w:t>
      </w:r>
      <w:r w:rsidRPr="005D78E4">
        <w:rPr>
          <w:b/>
          <w:bCs/>
          <w:sz w:val="22"/>
        </w:rPr>
        <w:t>économique</w:t>
      </w:r>
      <w:r w:rsidRPr="005D78E4">
        <w:rPr>
          <w:sz w:val="22"/>
        </w:rPr>
        <w:t xml:space="preserve"> tout d'abord, dans la mesure où elle a davantage de </w:t>
      </w:r>
      <w:r w:rsidRPr="005D78E4">
        <w:rPr>
          <w:b/>
          <w:bCs/>
          <w:sz w:val="22"/>
        </w:rPr>
        <w:t>charges fixes</w:t>
      </w:r>
      <w:r w:rsidRPr="005D78E4">
        <w:rPr>
          <w:sz w:val="22"/>
        </w:rPr>
        <w:t xml:space="preserve">, </w:t>
      </w:r>
      <w:r w:rsidR="008A28CD" w:rsidRPr="005D78E4">
        <w:rPr>
          <w:sz w:val="22"/>
        </w:rPr>
        <w:t xml:space="preserve">au </w:t>
      </w:r>
      <w:r w:rsidRPr="005D78E4">
        <w:rPr>
          <w:sz w:val="22"/>
        </w:rPr>
        <w:t xml:space="preserve">risque </w:t>
      </w:r>
      <w:r w:rsidRPr="005D78E4">
        <w:rPr>
          <w:b/>
          <w:bCs/>
          <w:sz w:val="22"/>
        </w:rPr>
        <w:t>financier</w:t>
      </w:r>
      <w:r w:rsidRPr="005D78E4">
        <w:rPr>
          <w:sz w:val="22"/>
        </w:rPr>
        <w:t xml:space="preserve"> également dans la mesure où elle est </w:t>
      </w:r>
      <w:r w:rsidRPr="005D78E4">
        <w:rPr>
          <w:b/>
          <w:bCs/>
          <w:sz w:val="22"/>
        </w:rPr>
        <w:t>endettée.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Une</w:t>
      </w:r>
      <w:r w:rsidR="008A28CD" w:rsidRPr="005D78E4">
        <w:rPr>
          <w:sz w:val="22"/>
        </w:rPr>
        <w:t xml:space="preserve"> variation de l'activité (c'est-</w:t>
      </w:r>
      <w:r w:rsidRPr="005D78E4">
        <w:rPr>
          <w:sz w:val="22"/>
        </w:rPr>
        <w:t>à</w:t>
      </w:r>
      <w:r w:rsidR="008A28CD" w:rsidRPr="005D78E4">
        <w:rPr>
          <w:sz w:val="22"/>
        </w:rPr>
        <w:t>-</w:t>
      </w:r>
      <w:r w:rsidRPr="005D78E4">
        <w:rPr>
          <w:sz w:val="22"/>
        </w:rPr>
        <w:t>dire du CA) se répercutera donc plus fortement à la fois sur sa rentabilité économique et sur sa rentabilité financière.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Ainsi 10% de chute du CA entraîne une chute relative de 26,7</w:t>
      </w:r>
      <w:r w:rsidR="00CF5750" w:rsidRPr="005D78E4">
        <w:rPr>
          <w:sz w:val="22"/>
        </w:rPr>
        <w:t>1</w:t>
      </w:r>
      <w:r w:rsidRPr="005D78E4">
        <w:rPr>
          <w:sz w:val="22"/>
        </w:rPr>
        <w:t>% de la rentabilité économique chez B contre seulem</w:t>
      </w:r>
      <w:r w:rsidR="00CF5750" w:rsidRPr="005D78E4">
        <w:rPr>
          <w:sz w:val="22"/>
        </w:rPr>
        <w:t>ent 14,80</w:t>
      </w:r>
      <w:r w:rsidRPr="005D78E4">
        <w:rPr>
          <w:sz w:val="22"/>
        </w:rPr>
        <w:t xml:space="preserve">% chez </w:t>
      </w:r>
      <w:proofErr w:type="gramStart"/>
      <w:r w:rsidRPr="005D78E4">
        <w:rPr>
          <w:sz w:val="22"/>
        </w:rPr>
        <w:t>A .</w:t>
      </w:r>
      <w:proofErr w:type="gramEnd"/>
      <w:r w:rsidRPr="005D78E4">
        <w:rPr>
          <w:sz w:val="22"/>
        </w:rPr>
        <w:t xml:space="preserve"> Cette chute de</w:t>
      </w:r>
      <w:r w:rsidR="00CF5750" w:rsidRPr="005D78E4">
        <w:rPr>
          <w:sz w:val="22"/>
        </w:rPr>
        <w:t xml:space="preserve"> </w:t>
      </w:r>
      <w:r w:rsidRPr="005D78E4">
        <w:rPr>
          <w:sz w:val="22"/>
        </w:rPr>
        <w:t xml:space="preserve">10% du CA engendre une baisse relative de la rentabilité financière de 31,5% chez B </w:t>
      </w:r>
      <w:r w:rsidR="00CF5750" w:rsidRPr="005D78E4">
        <w:rPr>
          <w:sz w:val="22"/>
        </w:rPr>
        <w:t>alors qu'elle n'est que de 14,80</w:t>
      </w:r>
      <w:r w:rsidRPr="005D78E4">
        <w:rPr>
          <w:sz w:val="22"/>
        </w:rPr>
        <w:t xml:space="preserve">% chez A. </w:t>
      </w:r>
    </w:p>
    <w:p w:rsidR="001627CC" w:rsidRPr="001627CC" w:rsidRDefault="001627CC" w:rsidP="00502625">
      <w:pPr>
        <w:pStyle w:val="SautAvant"/>
        <w:spacing w:before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1627CC" w:rsidRP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Cs w:val="24"/>
        </w:rPr>
      </w:pPr>
      <w:r w:rsidRPr="001627CC">
        <w:rPr>
          <w:b/>
          <w:bCs/>
          <w:szCs w:val="24"/>
        </w:rPr>
        <w:t>Dossier 3 - Gestion de la trésorerie</w:t>
      </w:r>
    </w:p>
    <w:p w:rsidR="001627CC" w:rsidRPr="001627CC" w:rsidRDefault="001627CC" w:rsidP="001627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b/>
          <w:bCs/>
          <w:sz w:val="22"/>
        </w:rPr>
      </w:pPr>
    </w:p>
    <w:p w:rsidR="001627CC" w:rsidRPr="005D78E4" w:rsidRDefault="001627CC" w:rsidP="00502625">
      <w:pPr>
        <w:pStyle w:val="SautAvant"/>
        <w:spacing w:before="0"/>
        <w:rPr>
          <w:rFonts w:ascii="Times New Roman" w:hAnsi="Times New Roman"/>
          <w:sz w:val="22"/>
          <w:szCs w:val="22"/>
        </w:rPr>
      </w:pPr>
    </w:p>
    <w:p w:rsidR="003E6236" w:rsidRPr="001627CC" w:rsidRDefault="003E6236" w:rsidP="00630835">
      <w:pPr>
        <w:rPr>
          <w:b/>
          <w:sz w:val="22"/>
        </w:rPr>
      </w:pPr>
      <w:r w:rsidRPr="001627CC">
        <w:rPr>
          <w:b/>
          <w:sz w:val="22"/>
        </w:rPr>
        <w:t>1</w:t>
      </w:r>
      <w:r w:rsidR="001627CC" w:rsidRPr="001627CC">
        <w:rPr>
          <w:b/>
          <w:sz w:val="22"/>
        </w:rPr>
        <w:t>.</w:t>
      </w:r>
      <w:r w:rsidRPr="001627CC">
        <w:rPr>
          <w:b/>
          <w:sz w:val="22"/>
        </w:rPr>
        <w:t xml:space="preserve"> Jours de banque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Jours supplémentaires ajoutés par la banque pour le calcul de l’escompte.</w:t>
      </w:r>
    </w:p>
    <w:p w:rsidR="003E6236" w:rsidRPr="005D78E4" w:rsidRDefault="003E6236" w:rsidP="00630835">
      <w:pPr>
        <w:rPr>
          <w:sz w:val="22"/>
        </w:rPr>
      </w:pPr>
    </w:p>
    <w:p w:rsidR="00D967DC" w:rsidRPr="001627CC" w:rsidRDefault="001627CC" w:rsidP="008A28CD">
      <w:pPr>
        <w:rPr>
          <w:b/>
          <w:i/>
          <w:sz w:val="22"/>
        </w:rPr>
      </w:pPr>
      <w:r w:rsidRPr="001627CC">
        <w:rPr>
          <w:b/>
          <w:sz w:val="22"/>
        </w:rPr>
        <w:t>2.</w:t>
      </w:r>
      <w:r w:rsidR="003E6236" w:rsidRPr="001627CC">
        <w:rPr>
          <w:b/>
          <w:sz w:val="22"/>
        </w:rPr>
        <w:t xml:space="preserve"> Escompte</w:t>
      </w:r>
    </w:p>
    <w:p w:rsidR="00764329" w:rsidRPr="005D78E4" w:rsidRDefault="00764329" w:rsidP="00C129DA">
      <w:pPr>
        <w:spacing w:after="120"/>
        <w:rPr>
          <w:b/>
          <w:i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260"/>
        <w:gridCol w:w="2977"/>
        <w:gridCol w:w="850"/>
        <w:gridCol w:w="1276"/>
      </w:tblGrid>
      <w:tr w:rsidR="003E6236" w:rsidRPr="00C97714" w:rsidTr="00E86C7B">
        <w:tc>
          <w:tcPr>
            <w:tcW w:w="1101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Nominal</w:t>
            </w:r>
          </w:p>
        </w:tc>
        <w:tc>
          <w:tcPr>
            <w:tcW w:w="992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Nombre de jours</w:t>
            </w:r>
          </w:p>
        </w:tc>
        <w:tc>
          <w:tcPr>
            <w:tcW w:w="3260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Escompte</w:t>
            </w:r>
          </w:p>
        </w:tc>
        <w:tc>
          <w:tcPr>
            <w:tcW w:w="2977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Endos</w:t>
            </w:r>
          </w:p>
        </w:tc>
        <w:tc>
          <w:tcPr>
            <w:tcW w:w="850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Manipulation</w:t>
            </w:r>
          </w:p>
        </w:tc>
        <w:tc>
          <w:tcPr>
            <w:tcW w:w="1276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0"/>
                <w:szCs w:val="20"/>
              </w:rPr>
            </w:pPr>
            <w:r w:rsidRPr="00C97714">
              <w:rPr>
                <w:sz w:val="20"/>
                <w:szCs w:val="20"/>
              </w:rPr>
              <w:t>Agio HT</w:t>
            </w:r>
          </w:p>
        </w:tc>
      </w:tr>
      <w:tr w:rsidR="003E6236" w:rsidRPr="00C97714" w:rsidTr="00E86C7B">
        <w:tc>
          <w:tcPr>
            <w:tcW w:w="1101" w:type="dxa"/>
            <w:vAlign w:val="center"/>
          </w:tcPr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10 000</w:t>
            </w:r>
          </w:p>
        </w:tc>
        <w:tc>
          <w:tcPr>
            <w:tcW w:w="992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27+1= 28</w:t>
            </w:r>
          </w:p>
        </w:tc>
        <w:tc>
          <w:tcPr>
            <w:tcW w:w="3260" w:type="dxa"/>
            <w:vAlign w:val="center"/>
          </w:tcPr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 xml:space="preserve">10 000*10%*28/360= 77,78 min 300 </w:t>
            </w:r>
          </w:p>
        </w:tc>
        <w:tc>
          <w:tcPr>
            <w:tcW w:w="2977" w:type="dxa"/>
            <w:vAlign w:val="center"/>
          </w:tcPr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10 000*0,6%*28/360=4,67 €</w:t>
            </w:r>
          </w:p>
        </w:tc>
        <w:tc>
          <w:tcPr>
            <w:tcW w:w="850" w:type="dxa"/>
            <w:vAlign w:val="center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3 €</w:t>
            </w:r>
          </w:p>
        </w:tc>
        <w:tc>
          <w:tcPr>
            <w:tcW w:w="1276" w:type="dxa"/>
            <w:vAlign w:val="center"/>
          </w:tcPr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307,67 €</w:t>
            </w:r>
          </w:p>
        </w:tc>
      </w:tr>
      <w:tr w:rsidR="000D3398" w:rsidRPr="00C97714" w:rsidTr="00E86C7B">
        <w:tc>
          <w:tcPr>
            <w:tcW w:w="1101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25 000</w:t>
            </w:r>
          </w:p>
        </w:tc>
        <w:tc>
          <w:tcPr>
            <w:tcW w:w="992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70+1= 71</w:t>
            </w:r>
          </w:p>
        </w:tc>
        <w:tc>
          <w:tcPr>
            <w:tcW w:w="3260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25 000*10%*71/360= 493,06 €</w:t>
            </w:r>
          </w:p>
        </w:tc>
        <w:tc>
          <w:tcPr>
            <w:tcW w:w="2977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25 000*0,6%*71/360=29,58€</w:t>
            </w:r>
          </w:p>
        </w:tc>
        <w:tc>
          <w:tcPr>
            <w:tcW w:w="850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3 €</w:t>
            </w:r>
          </w:p>
        </w:tc>
        <w:tc>
          <w:tcPr>
            <w:tcW w:w="1276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525,64 €</w:t>
            </w:r>
          </w:p>
        </w:tc>
      </w:tr>
      <w:tr w:rsidR="000D3398" w:rsidRPr="00C97714" w:rsidTr="00E86C7B">
        <w:tc>
          <w:tcPr>
            <w:tcW w:w="1101" w:type="dxa"/>
            <w:vAlign w:val="center"/>
          </w:tcPr>
          <w:p w:rsidR="000D3398" w:rsidRPr="00C97714" w:rsidRDefault="000D3398" w:rsidP="00AE7035">
            <w:pPr>
              <w:rPr>
                <w:sz w:val="22"/>
              </w:rPr>
            </w:pPr>
            <w:r w:rsidRPr="00C97714">
              <w:rPr>
                <w:sz w:val="22"/>
              </w:rPr>
              <w:t>20 000</w:t>
            </w:r>
          </w:p>
        </w:tc>
        <w:tc>
          <w:tcPr>
            <w:tcW w:w="992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86 + 1 =87</w:t>
            </w:r>
          </w:p>
        </w:tc>
        <w:tc>
          <w:tcPr>
            <w:tcW w:w="3260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20000*10%*87/360 = 483.33</w:t>
            </w:r>
          </w:p>
        </w:tc>
        <w:tc>
          <w:tcPr>
            <w:tcW w:w="2977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20 000*0,6%*60/360= 20 €</w:t>
            </w:r>
          </w:p>
        </w:tc>
        <w:tc>
          <w:tcPr>
            <w:tcW w:w="850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3 €</w:t>
            </w:r>
          </w:p>
        </w:tc>
        <w:tc>
          <w:tcPr>
            <w:tcW w:w="1276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506.33 €</w:t>
            </w:r>
          </w:p>
        </w:tc>
      </w:tr>
      <w:tr w:rsidR="000D3398" w:rsidRPr="00C97714" w:rsidTr="00E86C7B">
        <w:tc>
          <w:tcPr>
            <w:tcW w:w="1101" w:type="dxa"/>
            <w:vAlign w:val="center"/>
          </w:tcPr>
          <w:p w:rsidR="000D3398" w:rsidRPr="00C97714" w:rsidRDefault="000D3398" w:rsidP="00AE7035">
            <w:pPr>
              <w:rPr>
                <w:sz w:val="22"/>
              </w:rPr>
            </w:pPr>
            <w:r w:rsidRPr="00C97714">
              <w:rPr>
                <w:sz w:val="22"/>
              </w:rPr>
              <w:t>55 000 €</w:t>
            </w:r>
          </w:p>
        </w:tc>
        <w:tc>
          <w:tcPr>
            <w:tcW w:w="992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0D3398" w:rsidRPr="00C97714" w:rsidRDefault="000D3398" w:rsidP="00C977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D3398" w:rsidRPr="00C97714" w:rsidRDefault="000D3398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1 339.64 €</w:t>
            </w:r>
          </w:p>
        </w:tc>
      </w:tr>
    </w:tbl>
    <w:p w:rsidR="00441ABD" w:rsidRPr="005D78E4" w:rsidRDefault="00441ABD" w:rsidP="00630835">
      <w:pPr>
        <w:rPr>
          <w:sz w:val="22"/>
        </w:rPr>
      </w:pPr>
    </w:p>
    <w:p w:rsidR="003E6236" w:rsidRPr="005D78E4" w:rsidRDefault="003E6236" w:rsidP="00630835">
      <w:pPr>
        <w:rPr>
          <w:b/>
          <w:sz w:val="22"/>
        </w:rPr>
      </w:pPr>
      <w:r w:rsidRPr="005D78E4">
        <w:rPr>
          <w:sz w:val="22"/>
        </w:rPr>
        <w:t>Taux réel moyen</w:t>
      </w:r>
      <w:r w:rsidR="001627CC">
        <w:rPr>
          <w:sz w:val="22"/>
        </w:rPr>
        <w:t xml:space="preserve"> </w:t>
      </w:r>
      <w:r w:rsidR="00797062" w:rsidRPr="005D78E4">
        <w:rPr>
          <w:sz w:val="22"/>
        </w:rPr>
        <w:t xml:space="preserve">(t) </w:t>
      </w:r>
      <w:r w:rsidR="00723B34" w:rsidRPr="005D78E4">
        <w:rPr>
          <w:sz w:val="22"/>
        </w:rPr>
        <w:t xml:space="preserve">tel que </w:t>
      </w:r>
      <w:r w:rsidR="000D3398" w:rsidRPr="005D78E4">
        <w:rPr>
          <w:sz w:val="22"/>
        </w:rPr>
        <w:t>1339.64</w:t>
      </w:r>
      <w:r w:rsidRPr="005D78E4">
        <w:rPr>
          <w:sz w:val="22"/>
        </w:rPr>
        <w:t xml:space="preserve">= </w:t>
      </w:r>
      <w:proofErr w:type="gramStart"/>
      <w:r w:rsidRPr="005D78E4">
        <w:rPr>
          <w:sz w:val="22"/>
        </w:rPr>
        <w:t>t[</w:t>
      </w:r>
      <w:proofErr w:type="gramEnd"/>
      <w:r w:rsidRPr="005D78E4">
        <w:rPr>
          <w:sz w:val="22"/>
        </w:rPr>
        <w:t>(10 000-307,67)*(27+3)/365 + (25 000-525,64)*(70+3)/365 + (20 000-</w:t>
      </w:r>
      <w:r w:rsidR="000D3398" w:rsidRPr="005D78E4">
        <w:rPr>
          <w:sz w:val="22"/>
        </w:rPr>
        <w:t>506.33</w:t>
      </w:r>
      <w:r w:rsidRPr="005D78E4">
        <w:rPr>
          <w:sz w:val="22"/>
        </w:rPr>
        <w:t>)*(</w:t>
      </w:r>
      <w:r w:rsidR="000D3398" w:rsidRPr="005D78E4">
        <w:rPr>
          <w:sz w:val="22"/>
        </w:rPr>
        <w:t>86</w:t>
      </w:r>
      <w:r w:rsidR="005F3D50" w:rsidRPr="005D78E4">
        <w:rPr>
          <w:sz w:val="22"/>
        </w:rPr>
        <w:t>+3)/365] d'où</w:t>
      </w:r>
      <w:r w:rsidR="000D3398" w:rsidRPr="005D78E4">
        <w:rPr>
          <w:sz w:val="22"/>
        </w:rPr>
        <w:t xml:space="preserve"> </w:t>
      </w:r>
      <w:r w:rsidRPr="005D78E4">
        <w:rPr>
          <w:sz w:val="22"/>
        </w:rPr>
        <w:t>t</w:t>
      </w:r>
      <w:r w:rsidR="00797062" w:rsidRPr="005D78E4">
        <w:rPr>
          <w:sz w:val="22"/>
        </w:rPr>
        <w:t xml:space="preserve"> </w:t>
      </w:r>
      <w:r w:rsidRPr="005D78E4">
        <w:rPr>
          <w:sz w:val="22"/>
        </w:rPr>
        <w:t xml:space="preserve">= </w:t>
      </w:r>
      <w:r w:rsidR="000D3398" w:rsidRPr="005D78E4">
        <w:rPr>
          <w:b/>
          <w:sz w:val="22"/>
        </w:rPr>
        <w:t>12.83</w:t>
      </w:r>
      <w:r w:rsidRPr="005D78E4">
        <w:rPr>
          <w:b/>
          <w:sz w:val="22"/>
        </w:rPr>
        <w:t>%</w:t>
      </w:r>
    </w:p>
    <w:p w:rsidR="0082602C" w:rsidRPr="005D78E4" w:rsidRDefault="0082602C" w:rsidP="00630835">
      <w:pPr>
        <w:rPr>
          <w:i/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Taux réel de l’effet 1001</w:t>
      </w:r>
      <w:r w:rsidR="00A80E6B">
        <w:rPr>
          <w:sz w:val="22"/>
        </w:rPr>
        <w:t xml:space="preserve"> : </w:t>
      </w:r>
      <w:r w:rsidRPr="005D78E4">
        <w:rPr>
          <w:sz w:val="22"/>
        </w:rPr>
        <w:t xml:space="preserve">307,67= (10 000-307,67)*t*(27+3)/365 : t= </w:t>
      </w:r>
      <w:r w:rsidRPr="005D78E4">
        <w:rPr>
          <w:b/>
          <w:sz w:val="22"/>
        </w:rPr>
        <w:t>38,62%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Le coût réel de l’effet 1001 est nettement &gt; au coût moyen en raison des minima appliqués par la banque. L’objectif est de décourager la remise à l’escompte d’effets de faible montant et dont l’échéance est proche.</w:t>
      </w:r>
    </w:p>
    <w:p w:rsidR="003E6236" w:rsidRPr="005D78E4" w:rsidRDefault="003E6236" w:rsidP="00630835">
      <w:pPr>
        <w:rPr>
          <w:sz w:val="22"/>
        </w:rPr>
      </w:pPr>
    </w:p>
    <w:p w:rsidR="00764329" w:rsidRPr="00A80E6B" w:rsidRDefault="003E6236" w:rsidP="00630835">
      <w:pPr>
        <w:rPr>
          <w:b/>
          <w:sz w:val="22"/>
        </w:rPr>
      </w:pPr>
      <w:r w:rsidRPr="00A80E6B">
        <w:rPr>
          <w:b/>
          <w:sz w:val="22"/>
        </w:rPr>
        <w:t>3</w:t>
      </w:r>
      <w:r w:rsidR="00A80E6B" w:rsidRPr="00A80E6B">
        <w:rPr>
          <w:b/>
          <w:sz w:val="22"/>
        </w:rPr>
        <w:t>.</w:t>
      </w:r>
      <w:r w:rsidRPr="00A80E6B">
        <w:rPr>
          <w:b/>
          <w:sz w:val="22"/>
        </w:rPr>
        <w:t xml:space="preserve"> Découvert</w:t>
      </w:r>
    </w:p>
    <w:p w:rsidR="00A80E6B" w:rsidRPr="005D78E4" w:rsidRDefault="00A80E6B" w:rsidP="00630835">
      <w:pPr>
        <w:rPr>
          <w:b/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E6236" w:rsidRPr="00C97714" w:rsidTr="00C97714">
        <w:trPr>
          <w:jc w:val="center"/>
        </w:trPr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Dates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Nombre de jours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Soldes débiteurs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Nombres débiteurs</w:t>
            </w:r>
          </w:p>
        </w:tc>
      </w:tr>
      <w:tr w:rsidR="003E6236" w:rsidRPr="00C97714" w:rsidTr="00C97714">
        <w:trPr>
          <w:jc w:val="center"/>
        </w:trPr>
        <w:tc>
          <w:tcPr>
            <w:tcW w:w="2303" w:type="dxa"/>
          </w:tcPr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Du 05/01 au 02/02</w:t>
            </w:r>
          </w:p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Du 03/02 au 03/03</w:t>
            </w:r>
          </w:p>
          <w:p w:rsidR="003E6236" w:rsidRPr="00C97714" w:rsidRDefault="003E6236" w:rsidP="00630835">
            <w:pPr>
              <w:rPr>
                <w:sz w:val="22"/>
              </w:rPr>
            </w:pPr>
            <w:r w:rsidRPr="00C97714">
              <w:rPr>
                <w:sz w:val="22"/>
              </w:rPr>
              <w:t>Du 04/03 au 15/03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29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29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12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40 000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55 000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15 000</w:t>
            </w: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1 160 000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1 595 000</w:t>
            </w:r>
          </w:p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180 000</w:t>
            </w:r>
          </w:p>
        </w:tc>
      </w:tr>
      <w:tr w:rsidR="003E6236" w:rsidRPr="00C97714" w:rsidTr="00C97714">
        <w:trPr>
          <w:jc w:val="center"/>
        </w:trPr>
        <w:tc>
          <w:tcPr>
            <w:tcW w:w="2303" w:type="dxa"/>
          </w:tcPr>
          <w:p w:rsidR="003E6236" w:rsidRPr="00C97714" w:rsidRDefault="003E6236" w:rsidP="00630835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</w:tcPr>
          <w:p w:rsidR="003E6236" w:rsidRPr="00C97714" w:rsidRDefault="003E6236" w:rsidP="00C97714">
            <w:pPr>
              <w:jc w:val="center"/>
              <w:rPr>
                <w:sz w:val="22"/>
              </w:rPr>
            </w:pPr>
            <w:r w:rsidRPr="00C97714">
              <w:rPr>
                <w:sz w:val="22"/>
              </w:rPr>
              <w:t>2 935 000</w:t>
            </w:r>
          </w:p>
        </w:tc>
      </w:tr>
    </w:tbl>
    <w:p w:rsidR="00665C84" w:rsidRPr="005D78E4" w:rsidRDefault="00665C84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Intérêt sur découvert= 2 935 000*10,5%/360= 856,04 €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CPFD= (40 000+55 000+55 000)*0,05%= 75 €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Commission de dépassement= 0,25</w:t>
      </w:r>
      <w:proofErr w:type="gramStart"/>
      <w:r w:rsidRPr="005D78E4">
        <w:rPr>
          <w:sz w:val="22"/>
        </w:rPr>
        <w:t>%[</w:t>
      </w:r>
      <w:proofErr w:type="gramEnd"/>
      <w:r w:rsidRPr="005D78E4">
        <w:rPr>
          <w:sz w:val="22"/>
        </w:rPr>
        <w:t>0+(55 000-50 000)+(55 000-50 000)]= 25 €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Agio HT= 956,04€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Taux réel du découvert (t) </w:t>
      </w:r>
      <w:r w:rsidR="00797062" w:rsidRPr="005D78E4">
        <w:rPr>
          <w:sz w:val="22"/>
        </w:rPr>
        <w:t>tel que</w:t>
      </w:r>
      <w:r w:rsidRPr="005D78E4">
        <w:rPr>
          <w:sz w:val="22"/>
        </w:rPr>
        <w:t xml:space="preserve"> 956,04= 2 935 000*t/365 </w:t>
      </w:r>
      <w:r w:rsidR="00797062" w:rsidRPr="005D78E4">
        <w:rPr>
          <w:sz w:val="22"/>
        </w:rPr>
        <w:t>soit</w:t>
      </w:r>
      <w:r w:rsidRPr="005D78E4">
        <w:rPr>
          <w:sz w:val="22"/>
        </w:rPr>
        <w:t xml:space="preserve"> t= 11,89%</w:t>
      </w:r>
    </w:p>
    <w:p w:rsidR="00797062" w:rsidRPr="005D78E4" w:rsidRDefault="00797062" w:rsidP="00630835">
      <w:pPr>
        <w:rPr>
          <w:sz w:val="22"/>
        </w:rPr>
      </w:pPr>
    </w:p>
    <w:p w:rsidR="003E6236" w:rsidRPr="00A80E6B" w:rsidRDefault="003E6236" w:rsidP="00630835">
      <w:pPr>
        <w:rPr>
          <w:b/>
          <w:sz w:val="22"/>
        </w:rPr>
      </w:pPr>
      <w:r w:rsidRPr="00A80E6B">
        <w:rPr>
          <w:b/>
          <w:sz w:val="22"/>
        </w:rPr>
        <w:t>4</w:t>
      </w:r>
      <w:r w:rsidR="00A80E6B">
        <w:rPr>
          <w:b/>
          <w:sz w:val="22"/>
        </w:rPr>
        <w:t>.</w:t>
      </w:r>
      <w:r w:rsidRPr="00A80E6B">
        <w:rPr>
          <w:b/>
          <w:sz w:val="22"/>
        </w:rPr>
        <w:t xml:space="preserve"> Mode de financement le plus intéressant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Le coût du découvert étant inférieur au coût de l’escompte, ce mode de financement sera retenu.</w:t>
      </w:r>
    </w:p>
    <w:p w:rsidR="003E6236" w:rsidRPr="005D78E4" w:rsidRDefault="003E6236" w:rsidP="00630835">
      <w:pPr>
        <w:rPr>
          <w:sz w:val="22"/>
        </w:rPr>
      </w:pPr>
      <w:r w:rsidRPr="005D78E4">
        <w:rPr>
          <w:sz w:val="22"/>
        </w:rPr>
        <w:t>Une solution serait de ne remettre à l’escompte que les effets 1002 et 1003 et recourir au découvert pour le complément.</w:t>
      </w:r>
    </w:p>
    <w:p w:rsidR="00D967DC" w:rsidRPr="005D78E4" w:rsidRDefault="00D967DC" w:rsidP="00630835">
      <w:pPr>
        <w:rPr>
          <w:sz w:val="22"/>
        </w:rPr>
      </w:pPr>
    </w:p>
    <w:p w:rsidR="003E6236" w:rsidRPr="00A80E6B" w:rsidRDefault="003E6236" w:rsidP="00630835">
      <w:pPr>
        <w:rPr>
          <w:b/>
          <w:sz w:val="22"/>
        </w:rPr>
      </w:pPr>
      <w:r w:rsidRPr="00A80E6B">
        <w:rPr>
          <w:b/>
          <w:sz w:val="22"/>
        </w:rPr>
        <w:t>5</w:t>
      </w:r>
      <w:r w:rsidR="00A80E6B" w:rsidRPr="00A80E6B">
        <w:rPr>
          <w:b/>
          <w:sz w:val="22"/>
        </w:rPr>
        <w:t xml:space="preserve">. </w:t>
      </w:r>
      <w:r w:rsidRPr="00A80E6B">
        <w:rPr>
          <w:b/>
          <w:sz w:val="22"/>
        </w:rPr>
        <w:t>Affacturage</w:t>
      </w:r>
    </w:p>
    <w:p w:rsidR="003E6236" w:rsidRPr="005D78E4" w:rsidRDefault="003E6236" w:rsidP="00630835">
      <w:pPr>
        <w:rPr>
          <w:sz w:val="22"/>
        </w:rPr>
      </w:pPr>
    </w:p>
    <w:p w:rsidR="003E6236" w:rsidRPr="005D78E4" w:rsidRDefault="00BD4D55" w:rsidP="00630835">
      <w:pPr>
        <w:rPr>
          <w:sz w:val="22"/>
        </w:rPr>
      </w:pPr>
      <w:r w:rsidRPr="005D78E4">
        <w:rPr>
          <w:sz w:val="22"/>
        </w:rPr>
        <w:t>L’affacturage est une opération financière par laquelle une société spécialisée (le factor) se charge de l’encaissement des créances d’un client. Elle paye immédiatement le montant à l’adhérent et garantit l’adhérent contre le non-remboursement.</w:t>
      </w:r>
    </w:p>
    <w:sectPr w:rsidR="003E6236" w:rsidRPr="005D78E4" w:rsidSect="005D7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CF" w:rsidRDefault="009A1BCF">
      <w:r>
        <w:separator/>
      </w:r>
    </w:p>
  </w:endnote>
  <w:endnote w:type="continuationSeparator" w:id="0">
    <w:p w:rsidR="009A1BCF" w:rsidRDefault="009A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35" w:rsidRDefault="00AE703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7035" w:rsidRDefault="00AE70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35" w:rsidRDefault="00AE7035">
    <w:pPr>
      <w:pStyle w:val="Pieddepage"/>
      <w:framePr w:wrap="around" w:vAnchor="text" w:hAnchor="margin" w:xAlign="right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B183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E7035" w:rsidRPr="009D0107" w:rsidRDefault="009D0107" w:rsidP="009D0107">
    <w:pPr>
      <w:pStyle w:val="Pieddepage"/>
      <w:tabs>
        <w:tab w:val="left" w:pos="709"/>
      </w:tabs>
      <w:ind w:right="357"/>
      <w:jc w:val="left"/>
      <w:rPr>
        <w:sz w:val="20"/>
        <w:szCs w:val="20"/>
      </w:rPr>
    </w:pPr>
    <w:bookmarkStart w:id="0" w:name="_GoBack"/>
    <w:r w:rsidRPr="009D0107">
      <w:t>©Comptazine – Reproduction Interdite</w:t>
    </w:r>
    <w:r w:rsidRPr="009D0107">
      <w:tab/>
    </w:r>
    <w:r w:rsidRPr="009D0107">
      <w:tab/>
    </w:r>
    <w:r w:rsidR="005D78E4" w:rsidRPr="009D0107">
      <w:rPr>
        <w:bCs/>
        <w:sz w:val="22"/>
      </w:rPr>
      <w:tab/>
    </w:r>
    <w:r w:rsidR="005D78E4" w:rsidRPr="009D0107">
      <w:rPr>
        <w:rStyle w:val="Numrodepage"/>
        <w:bCs/>
        <w:sz w:val="22"/>
      </w:rPr>
      <w:fldChar w:fldCharType="begin"/>
    </w:r>
    <w:r w:rsidR="005D78E4" w:rsidRPr="009D0107">
      <w:rPr>
        <w:rStyle w:val="Numrodepage"/>
        <w:bCs/>
        <w:sz w:val="22"/>
      </w:rPr>
      <w:instrText xml:space="preserve"> PAGE </w:instrText>
    </w:r>
    <w:r w:rsidR="005D78E4" w:rsidRPr="009D0107">
      <w:rPr>
        <w:rStyle w:val="Numrodepage"/>
        <w:bCs/>
        <w:sz w:val="22"/>
      </w:rPr>
      <w:fldChar w:fldCharType="separate"/>
    </w:r>
    <w:r w:rsidR="006B183F">
      <w:rPr>
        <w:rStyle w:val="Numrodepage"/>
        <w:bCs/>
        <w:noProof/>
        <w:sz w:val="22"/>
      </w:rPr>
      <w:t>1</w:t>
    </w:r>
    <w:r w:rsidR="005D78E4" w:rsidRPr="009D0107">
      <w:rPr>
        <w:rStyle w:val="Numrodepage"/>
        <w:bCs/>
        <w:sz w:val="22"/>
      </w:rPr>
      <w:fldChar w:fldCharType="end"/>
    </w:r>
    <w:r w:rsidR="005D78E4" w:rsidRPr="009D0107">
      <w:rPr>
        <w:rStyle w:val="Numrodepage"/>
        <w:bCs/>
        <w:sz w:val="22"/>
      </w:rPr>
      <w:t>/</w:t>
    </w:r>
    <w:r w:rsidR="005D78E4" w:rsidRPr="009D0107">
      <w:rPr>
        <w:rStyle w:val="Numrodepage"/>
        <w:bCs/>
        <w:sz w:val="22"/>
      </w:rPr>
      <w:fldChar w:fldCharType="begin"/>
    </w:r>
    <w:r w:rsidR="005D78E4" w:rsidRPr="009D0107">
      <w:rPr>
        <w:rStyle w:val="Numrodepage"/>
        <w:bCs/>
        <w:sz w:val="22"/>
      </w:rPr>
      <w:instrText xml:space="preserve">  NUMPAGES</w:instrText>
    </w:r>
    <w:r w:rsidR="005D78E4" w:rsidRPr="009D0107">
      <w:rPr>
        <w:rStyle w:val="Numrodepage"/>
        <w:bCs/>
        <w:sz w:val="22"/>
      </w:rPr>
      <w:fldChar w:fldCharType="separate"/>
    </w:r>
    <w:r w:rsidR="006B183F">
      <w:rPr>
        <w:rStyle w:val="Numrodepage"/>
        <w:bCs/>
        <w:noProof/>
        <w:sz w:val="22"/>
      </w:rPr>
      <w:t>8</w:t>
    </w:r>
    <w:r w:rsidR="005D78E4" w:rsidRPr="009D0107">
      <w:rPr>
        <w:rStyle w:val="Numrodepage"/>
        <w:bCs/>
        <w:sz w:val="2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07" w:rsidRDefault="009D01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CF" w:rsidRDefault="009A1BCF">
      <w:r>
        <w:separator/>
      </w:r>
    </w:p>
  </w:footnote>
  <w:footnote w:type="continuationSeparator" w:id="0">
    <w:p w:rsidR="009A1BCF" w:rsidRDefault="009A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07" w:rsidRDefault="009D01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07" w:rsidRDefault="0001538B" w:rsidP="009D0107">
    <w:pPr>
      <w:pStyle w:val="En-tte"/>
      <w:tabs>
        <w:tab w:val="left" w:pos="3690"/>
        <w:tab w:val="right" w:pos="8789"/>
      </w:tabs>
      <w:ind w:right="849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5737860</wp:posOffset>
          </wp:positionH>
          <wp:positionV relativeFrom="margin">
            <wp:posOffset>-454025</wp:posOffset>
          </wp:positionV>
          <wp:extent cx="381000" cy="381000"/>
          <wp:effectExtent l="0" t="0" r="0" b="0"/>
          <wp:wrapNone/>
          <wp:docPr id="3" name="Image 4" descr="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107">
      <w:tab/>
    </w:r>
    <w:r w:rsidR="009D0107">
      <w:tab/>
    </w:r>
    <w:r w:rsidR="009D0107">
      <w:tab/>
    </w:r>
  </w:p>
  <w:p w:rsidR="009D0107" w:rsidRDefault="009D0107" w:rsidP="009D0107">
    <w:pPr>
      <w:pStyle w:val="En-tte"/>
      <w:tabs>
        <w:tab w:val="left" w:pos="3690"/>
        <w:tab w:val="right" w:pos="8789"/>
      </w:tabs>
      <w:ind w:right="849"/>
      <w:rPr>
        <w:rFonts w:ascii="Calibri" w:hAnsi="Calibri"/>
        <w:color w:val="E36C0A"/>
        <w:sz w:val="18"/>
      </w:rPr>
    </w:pPr>
    <w:r>
      <w:tab/>
    </w:r>
    <w:r>
      <w:tab/>
    </w:r>
    <w:r>
      <w:tab/>
    </w:r>
    <w:hyperlink r:id="rId2" w:history="1">
      <w:r>
        <w:rPr>
          <w:rStyle w:val="Lienhypertexte"/>
          <w:rFonts w:ascii="Calibri" w:hAnsi="Calibri"/>
          <w:color w:val="E36C0A"/>
          <w:sz w:val="18"/>
        </w:rPr>
        <w:t>www.comptazine.fr</w:t>
      </w:r>
    </w:hyperlink>
    <w:r>
      <w:rPr>
        <w:rFonts w:ascii="Calibri" w:hAnsi="Calibri"/>
        <w:color w:val="E36C0A"/>
        <w:sz w:val="18"/>
      </w:rPr>
      <w:t xml:space="preserve">    </w:t>
    </w:r>
  </w:p>
  <w:p w:rsidR="009D0107" w:rsidRDefault="009D0107" w:rsidP="009D0107">
    <w:pPr>
      <w:pStyle w:val="En-tte"/>
      <w:tabs>
        <w:tab w:val="left" w:pos="3690"/>
        <w:tab w:val="right" w:pos="8789"/>
      </w:tabs>
      <w:ind w:right="849"/>
    </w:pPr>
    <w:r>
      <w:rPr>
        <w:rFonts w:ascii="Calibri" w:hAnsi="Calibri"/>
        <w:color w:val="E36C0A"/>
        <w:sz w:val="18"/>
      </w:rPr>
      <w:t xml:space="preserve">                     </w:t>
    </w:r>
    <w:r>
      <w:rPr>
        <w:lang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left:0;text-align:left;margin-left:0;margin-top:0;width:495.9pt;height:495.9pt;z-index:-25165875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rPr>
        <w:lang w:eastAsia="ar-SA"/>
      </w:rPr>
      <w:pict>
        <v:shape id="WordPictureWatermark1380604232" o:spid="_x0000_s2049" type="#_x0000_t75" style="position:absolute;left:0;text-align:left;margin-left:0;margin-top:0;width:510pt;height:510pt;z-index:-25165977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07" w:rsidRDefault="009D010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B81"/>
    <w:multiLevelType w:val="hybridMultilevel"/>
    <w:tmpl w:val="A420F790"/>
    <w:lvl w:ilvl="0" w:tplc="73DE43D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7431C"/>
    <w:multiLevelType w:val="hybridMultilevel"/>
    <w:tmpl w:val="D8A27D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31609"/>
    <w:multiLevelType w:val="multilevel"/>
    <w:tmpl w:val="0986CF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EB52FC"/>
    <w:multiLevelType w:val="multilevel"/>
    <w:tmpl w:val="0986CF1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2B76D2"/>
    <w:multiLevelType w:val="multilevel"/>
    <w:tmpl w:val="2A7E85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B60FAE"/>
    <w:multiLevelType w:val="hybridMultilevel"/>
    <w:tmpl w:val="0534ED32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955BE8"/>
    <w:multiLevelType w:val="multilevel"/>
    <w:tmpl w:val="27963350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4595168"/>
    <w:multiLevelType w:val="hybridMultilevel"/>
    <w:tmpl w:val="A818335E"/>
    <w:lvl w:ilvl="0" w:tplc="775EB462">
      <w:start w:val="1"/>
      <w:numFmt w:val="bullet"/>
      <w:lvlText w:val="­"/>
      <w:lvlJc w:val="left"/>
      <w:pPr>
        <w:tabs>
          <w:tab w:val="num" w:pos="-397"/>
        </w:tabs>
        <w:ind w:left="0" w:firstLine="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036DD"/>
    <w:multiLevelType w:val="multilevel"/>
    <w:tmpl w:val="ED0C66F2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B74392"/>
    <w:multiLevelType w:val="hybridMultilevel"/>
    <w:tmpl w:val="0DFCD7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8D574F"/>
    <w:multiLevelType w:val="hybridMultilevel"/>
    <w:tmpl w:val="1160E5E8"/>
    <w:lvl w:ilvl="0" w:tplc="000104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0D"/>
    <w:rsid w:val="0001538B"/>
    <w:rsid w:val="00016BD0"/>
    <w:rsid w:val="00071AE5"/>
    <w:rsid w:val="00072682"/>
    <w:rsid w:val="00081D1D"/>
    <w:rsid w:val="000A79E9"/>
    <w:rsid w:val="000D3398"/>
    <w:rsid w:val="00102508"/>
    <w:rsid w:val="001610D8"/>
    <w:rsid w:val="001627CC"/>
    <w:rsid w:val="0017615B"/>
    <w:rsid w:val="001C135C"/>
    <w:rsid w:val="001F432B"/>
    <w:rsid w:val="00204534"/>
    <w:rsid w:val="00270903"/>
    <w:rsid w:val="00293D87"/>
    <w:rsid w:val="002D5E6B"/>
    <w:rsid w:val="002F7AAF"/>
    <w:rsid w:val="00344F5E"/>
    <w:rsid w:val="00384367"/>
    <w:rsid w:val="003E6236"/>
    <w:rsid w:val="00430D99"/>
    <w:rsid w:val="00441ABD"/>
    <w:rsid w:val="0047312C"/>
    <w:rsid w:val="00492734"/>
    <w:rsid w:val="005015A6"/>
    <w:rsid w:val="00502625"/>
    <w:rsid w:val="00522AA0"/>
    <w:rsid w:val="00566642"/>
    <w:rsid w:val="00584634"/>
    <w:rsid w:val="005C194D"/>
    <w:rsid w:val="005D78E4"/>
    <w:rsid w:val="005F3D50"/>
    <w:rsid w:val="0061293E"/>
    <w:rsid w:val="006266B4"/>
    <w:rsid w:val="00630835"/>
    <w:rsid w:val="00665C84"/>
    <w:rsid w:val="0069480B"/>
    <w:rsid w:val="006A3700"/>
    <w:rsid w:val="006A61D6"/>
    <w:rsid w:val="006B183F"/>
    <w:rsid w:val="00707646"/>
    <w:rsid w:val="00723B34"/>
    <w:rsid w:val="007327BD"/>
    <w:rsid w:val="00764329"/>
    <w:rsid w:val="00797062"/>
    <w:rsid w:val="007B3157"/>
    <w:rsid w:val="007D6210"/>
    <w:rsid w:val="00807979"/>
    <w:rsid w:val="00812653"/>
    <w:rsid w:val="00820618"/>
    <w:rsid w:val="0082324B"/>
    <w:rsid w:val="0082602C"/>
    <w:rsid w:val="00874E03"/>
    <w:rsid w:val="00897F32"/>
    <w:rsid w:val="008A28CD"/>
    <w:rsid w:val="008B5293"/>
    <w:rsid w:val="009106B8"/>
    <w:rsid w:val="00961763"/>
    <w:rsid w:val="009A1BCF"/>
    <w:rsid w:val="009D0107"/>
    <w:rsid w:val="009E11B7"/>
    <w:rsid w:val="00A15010"/>
    <w:rsid w:val="00A53857"/>
    <w:rsid w:val="00A80E6B"/>
    <w:rsid w:val="00AA4235"/>
    <w:rsid w:val="00AE5142"/>
    <w:rsid w:val="00AE7035"/>
    <w:rsid w:val="00AF6771"/>
    <w:rsid w:val="00B23461"/>
    <w:rsid w:val="00B45503"/>
    <w:rsid w:val="00B47B3E"/>
    <w:rsid w:val="00B93B21"/>
    <w:rsid w:val="00BB227A"/>
    <w:rsid w:val="00BC0D32"/>
    <w:rsid w:val="00BD240A"/>
    <w:rsid w:val="00BD4D55"/>
    <w:rsid w:val="00BD6A24"/>
    <w:rsid w:val="00C002D2"/>
    <w:rsid w:val="00C129DA"/>
    <w:rsid w:val="00C2381B"/>
    <w:rsid w:val="00C60D9A"/>
    <w:rsid w:val="00C97714"/>
    <w:rsid w:val="00CF5750"/>
    <w:rsid w:val="00D72137"/>
    <w:rsid w:val="00D773EC"/>
    <w:rsid w:val="00D80AC6"/>
    <w:rsid w:val="00D8187F"/>
    <w:rsid w:val="00D967DC"/>
    <w:rsid w:val="00DE2589"/>
    <w:rsid w:val="00E02CB2"/>
    <w:rsid w:val="00E10327"/>
    <w:rsid w:val="00E575DF"/>
    <w:rsid w:val="00E86C7B"/>
    <w:rsid w:val="00EA231A"/>
    <w:rsid w:val="00F01132"/>
    <w:rsid w:val="00F025CD"/>
    <w:rsid w:val="00F1296B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6716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3E6236"/>
    <w:pPr>
      <w:spacing w:after="120"/>
    </w:pPr>
  </w:style>
  <w:style w:type="paragraph" w:customStyle="1" w:styleId="exotitre">
    <w:name w:val="exotitre"/>
    <w:basedOn w:val="Normal"/>
    <w:rsid w:val="003E6236"/>
    <w:rPr>
      <w:rFonts w:ascii="Arial" w:hAnsi="Arial"/>
      <w:b/>
      <w:bCs/>
      <w:smallCaps/>
      <w:sz w:val="20"/>
      <w:szCs w:val="20"/>
    </w:rPr>
  </w:style>
  <w:style w:type="paragraph" w:customStyle="1" w:styleId="SautAvant">
    <w:name w:val="Saut Avant"/>
    <w:basedOn w:val="Normal"/>
    <w:rsid w:val="003E6236"/>
    <w:pPr>
      <w:spacing w:before="120"/>
    </w:pPr>
    <w:rPr>
      <w:rFonts w:ascii="Arial" w:hAnsi="Arial"/>
      <w:sz w:val="20"/>
      <w:szCs w:val="20"/>
    </w:rPr>
  </w:style>
  <w:style w:type="character" w:customStyle="1" w:styleId="TitreCar">
    <w:name w:val="Titre Car"/>
    <w:basedOn w:val="Policepardfaut"/>
    <w:link w:val="Titre"/>
    <w:rsid w:val="005D78E4"/>
    <w:rPr>
      <w:noProof/>
      <w:sz w:val="28"/>
      <w:szCs w:val="28"/>
    </w:rPr>
  </w:style>
  <w:style w:type="character" w:styleId="Lienhypertexte">
    <w:name w:val="Hyperlink"/>
    <w:basedOn w:val="Policepardfaut"/>
    <w:unhideWhenUsed/>
    <w:rsid w:val="005D78E4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5D78E4"/>
    <w:rPr>
      <w:sz w:val="24"/>
      <w:szCs w:val="22"/>
    </w:rPr>
  </w:style>
  <w:style w:type="character" w:customStyle="1" w:styleId="En-tteCar">
    <w:name w:val="En-tête Car"/>
    <w:link w:val="En-tte"/>
    <w:rsid w:val="009D0107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6716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3E6236"/>
    <w:pPr>
      <w:spacing w:after="120"/>
    </w:pPr>
  </w:style>
  <w:style w:type="paragraph" w:customStyle="1" w:styleId="exotitre">
    <w:name w:val="exotitre"/>
    <w:basedOn w:val="Normal"/>
    <w:rsid w:val="003E6236"/>
    <w:rPr>
      <w:rFonts w:ascii="Arial" w:hAnsi="Arial"/>
      <w:b/>
      <w:bCs/>
      <w:smallCaps/>
      <w:sz w:val="20"/>
      <w:szCs w:val="20"/>
    </w:rPr>
  </w:style>
  <w:style w:type="paragraph" w:customStyle="1" w:styleId="SautAvant">
    <w:name w:val="Saut Avant"/>
    <w:basedOn w:val="Normal"/>
    <w:rsid w:val="003E6236"/>
    <w:pPr>
      <w:spacing w:before="120"/>
    </w:pPr>
    <w:rPr>
      <w:rFonts w:ascii="Arial" w:hAnsi="Arial"/>
      <w:sz w:val="20"/>
      <w:szCs w:val="20"/>
    </w:rPr>
  </w:style>
  <w:style w:type="character" w:customStyle="1" w:styleId="TitreCar">
    <w:name w:val="Titre Car"/>
    <w:basedOn w:val="Policepardfaut"/>
    <w:link w:val="Titre"/>
    <w:rsid w:val="005D78E4"/>
    <w:rPr>
      <w:noProof/>
      <w:sz w:val="28"/>
      <w:szCs w:val="28"/>
    </w:rPr>
  </w:style>
  <w:style w:type="character" w:styleId="Lienhypertexte">
    <w:name w:val="Hyperlink"/>
    <w:basedOn w:val="Policepardfaut"/>
    <w:unhideWhenUsed/>
    <w:rsid w:val="005D78E4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5D78E4"/>
    <w:rPr>
      <w:sz w:val="24"/>
      <w:szCs w:val="22"/>
    </w:rPr>
  </w:style>
  <w:style w:type="character" w:customStyle="1" w:styleId="En-tteCar">
    <w:name w:val="En-tête Car"/>
    <w:link w:val="En-tte"/>
    <w:rsid w:val="009D0107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2259</Words>
  <Characters>11881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Links>
    <vt:vector size="6" baseType="variant">
      <vt:variant>
        <vt:i4>2883629</vt:i4>
      </vt:variant>
      <vt:variant>
        <vt:i4>5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3</cp:revision>
  <cp:lastPrinted>2012-09-12T13:44:00Z</cp:lastPrinted>
  <dcterms:created xsi:type="dcterms:W3CDTF">2012-09-12T13:44:00Z</dcterms:created>
  <dcterms:modified xsi:type="dcterms:W3CDTF">2012-09-12T13:45:00Z</dcterms:modified>
</cp:coreProperties>
</file>