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B3" w:rsidRPr="007432B3" w:rsidRDefault="007432B3" w:rsidP="007432B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hAnsi="Times New Roman"/>
          <w:b/>
          <w:bCs/>
          <w:noProof/>
        </w:rPr>
      </w:pPr>
      <w:r>
        <w:rPr>
          <w:rFonts w:ascii="Times New Roman" w:hAnsi="Times New Roman"/>
          <w:b/>
          <w:bCs/>
          <w:noProof/>
        </w:rPr>
        <w:t>DCG session 2013</w:t>
      </w:r>
      <w:r>
        <w:rPr>
          <w:rFonts w:ascii="Times New Roman" w:hAnsi="Times New Roman"/>
          <w:b/>
          <w:bCs/>
          <w:noProof/>
        </w:rPr>
        <w:tab/>
      </w:r>
      <w:r>
        <w:rPr>
          <w:rFonts w:ascii="Times New Roman" w:hAnsi="Times New Roman"/>
          <w:b/>
          <w:bCs/>
          <w:noProof/>
        </w:rPr>
        <w:tab/>
      </w:r>
      <w:r>
        <w:rPr>
          <w:rFonts w:ascii="Times New Roman" w:hAnsi="Times New Roman"/>
          <w:b/>
          <w:bCs/>
          <w:noProof/>
        </w:rPr>
        <w:tab/>
        <w:t>UE6 Finance d’entreprise</w:t>
      </w:r>
      <w:r w:rsidRPr="007432B3">
        <w:rPr>
          <w:rFonts w:ascii="Times New Roman" w:hAnsi="Times New Roman"/>
          <w:b/>
          <w:bCs/>
          <w:noProof/>
        </w:rPr>
        <w:tab/>
      </w:r>
      <w:r w:rsidRPr="007432B3">
        <w:rPr>
          <w:rFonts w:ascii="Times New Roman" w:hAnsi="Times New Roman"/>
          <w:b/>
          <w:bCs/>
          <w:noProof/>
        </w:rPr>
        <w:tab/>
        <w:t>Corrigé indicatif</w:t>
      </w:r>
    </w:p>
    <w:p w:rsidR="007432B3" w:rsidRDefault="007432B3" w:rsidP="007432B3"/>
    <w:p w:rsidR="00817C79" w:rsidRPr="007432B3" w:rsidRDefault="007432B3" w:rsidP="007432B3">
      <w:pPr>
        <w:pStyle w:val="Standard"/>
        <w:pBdr>
          <w:top w:val="single" w:sz="4" w:space="0" w:color="00000A"/>
          <w:left w:val="single" w:sz="4" w:space="0" w:color="00000A"/>
          <w:bottom w:val="single" w:sz="4" w:space="0" w:color="00000A"/>
          <w:right w:val="single" w:sz="4" w:space="0" w:color="00000A"/>
        </w:pBdr>
        <w:spacing w:after="0" w:line="240" w:lineRule="auto"/>
        <w:jc w:val="center"/>
        <w:rPr>
          <w:b/>
          <w:u w:val="single"/>
        </w:rPr>
      </w:pPr>
      <w:r>
        <w:rPr>
          <w:b/>
          <w:u w:val="single"/>
        </w:rPr>
        <w:t>DOSSIER 1-DIAGNOSTIC FINANCIER</w:t>
      </w:r>
    </w:p>
    <w:p w:rsidR="00817C79" w:rsidRDefault="00817C79" w:rsidP="00A43B0A">
      <w:pPr>
        <w:pStyle w:val="Standard"/>
        <w:spacing w:after="0" w:line="240" w:lineRule="auto"/>
      </w:pPr>
    </w:p>
    <w:p w:rsidR="00817C79" w:rsidRDefault="00A80301" w:rsidP="00A43B0A">
      <w:pPr>
        <w:pStyle w:val="Standard"/>
        <w:spacing w:after="0" w:line="240" w:lineRule="auto"/>
      </w:pPr>
      <w:r>
        <w:rPr>
          <w:b/>
          <w:u w:val="single"/>
        </w:rPr>
        <w:t>Question 1 - Élaboration du tableau des flux de l’OEC :</w:t>
      </w:r>
    </w:p>
    <w:p w:rsidR="00817C79" w:rsidRPr="00E51EF8" w:rsidRDefault="00817C79" w:rsidP="00A43B0A">
      <w:pPr>
        <w:pStyle w:val="Standard"/>
        <w:spacing w:after="0" w:line="240" w:lineRule="auto"/>
        <w:rPr>
          <w:sz w:val="8"/>
          <w:szCs w:val="8"/>
        </w:rPr>
      </w:pPr>
    </w:p>
    <w:tbl>
      <w:tblPr>
        <w:tblW w:w="10124" w:type="dxa"/>
        <w:jc w:val="center"/>
        <w:tblInd w:w="-1067"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8922"/>
        <w:gridCol w:w="1202"/>
      </w:tblGrid>
      <w:tr w:rsidR="007432B3" w:rsidRPr="00F66924" w:rsidTr="007432B3">
        <w:trPr>
          <w:trHeight w:val="609"/>
          <w:jc w:val="center"/>
        </w:trPr>
        <w:tc>
          <w:tcPr>
            <w:tcW w:w="8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432B3" w:rsidRPr="00E51EF8" w:rsidRDefault="007432B3" w:rsidP="00E51EF8">
            <w:pPr>
              <w:pStyle w:val="Standard"/>
              <w:spacing w:after="0" w:line="240" w:lineRule="auto"/>
              <w:jc w:val="center"/>
            </w:pPr>
            <w:r w:rsidRPr="00E51EF8">
              <w:rPr>
                <w:b/>
              </w:rPr>
              <w:t>Opérations</w:t>
            </w:r>
          </w:p>
        </w:tc>
        <w:tc>
          <w:tcPr>
            <w:tcW w:w="1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432B3" w:rsidRPr="00E51EF8" w:rsidRDefault="007432B3" w:rsidP="00E51EF8">
            <w:pPr>
              <w:pStyle w:val="Standard"/>
              <w:spacing w:after="0" w:line="240" w:lineRule="auto"/>
              <w:jc w:val="center"/>
            </w:pPr>
            <w:r w:rsidRPr="00E51EF8">
              <w:rPr>
                <w:b/>
              </w:rPr>
              <w:t>Exercice N</w:t>
            </w:r>
          </w:p>
        </w:tc>
      </w:tr>
      <w:tr w:rsidR="007432B3" w:rsidRPr="00F66924" w:rsidTr="007432B3">
        <w:trPr>
          <w:trHeight w:val="2451"/>
          <w:jc w:val="center"/>
        </w:trPr>
        <w:tc>
          <w:tcPr>
            <w:tcW w:w="892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b/>
                <w:sz w:val="22"/>
              </w:rPr>
              <w:t xml:space="preserve">Flux de trésorerie liés à l'activité </w:t>
            </w:r>
          </w:p>
          <w:p w:rsidR="007432B3" w:rsidRDefault="007432B3" w:rsidP="00A43B0A">
            <w:pPr>
              <w:pStyle w:val="Standard"/>
              <w:spacing w:after="0" w:line="240" w:lineRule="auto"/>
            </w:pPr>
          </w:p>
          <w:p w:rsidR="007432B3" w:rsidRDefault="007432B3" w:rsidP="00A43B0A">
            <w:pPr>
              <w:pStyle w:val="Standard"/>
              <w:spacing w:after="0" w:line="240" w:lineRule="auto"/>
            </w:pPr>
            <w:r>
              <w:rPr>
                <w:sz w:val="22"/>
              </w:rPr>
              <w:t>RÉSULTAT NET</w:t>
            </w:r>
          </w:p>
          <w:p w:rsidR="007432B3" w:rsidRDefault="007432B3" w:rsidP="00A43B0A">
            <w:pPr>
              <w:pStyle w:val="Standard"/>
              <w:spacing w:after="0" w:line="240" w:lineRule="auto"/>
              <w:ind w:right="-533"/>
            </w:pPr>
            <w:r>
              <w:rPr>
                <w:sz w:val="22"/>
              </w:rPr>
              <w:t>Élimination des charges et produits sans incidence sur la trésorerie ou non liés à l'activité</w:t>
            </w:r>
          </w:p>
          <w:p w:rsidR="007432B3" w:rsidRDefault="007432B3" w:rsidP="00A43B0A">
            <w:pPr>
              <w:pStyle w:val="Standard"/>
              <w:tabs>
                <w:tab w:val="left" w:pos="3297"/>
              </w:tabs>
              <w:spacing w:after="0" w:line="240" w:lineRule="auto"/>
              <w:ind w:left="709" w:right="-533"/>
            </w:pPr>
          </w:p>
          <w:p w:rsidR="007432B3" w:rsidRDefault="007432B3" w:rsidP="00A43B0A">
            <w:pPr>
              <w:pStyle w:val="Standard"/>
              <w:tabs>
                <w:tab w:val="left" w:pos="4149"/>
              </w:tabs>
              <w:spacing w:after="0" w:line="240" w:lineRule="auto"/>
              <w:ind w:left="993" w:right="-533"/>
            </w:pPr>
            <w:r>
              <w:rPr>
                <w:sz w:val="22"/>
              </w:rPr>
              <w:t xml:space="preserve"> Amortissements, dépréciations et provisions</w:t>
            </w:r>
          </w:p>
          <w:p w:rsidR="007432B3" w:rsidRDefault="007432B3" w:rsidP="00A43B0A">
            <w:pPr>
              <w:pStyle w:val="Standard"/>
              <w:tabs>
                <w:tab w:val="left" w:pos="4149"/>
              </w:tabs>
              <w:spacing w:after="0" w:line="240" w:lineRule="auto"/>
              <w:ind w:left="993" w:right="-533"/>
            </w:pPr>
            <w:r>
              <w:rPr>
                <w:sz w:val="22"/>
              </w:rPr>
              <w:t xml:space="preserve"> Plus-values de cessions nettes d'impôts             (ou -3 103 sans retraitement I S)</w:t>
            </w:r>
          </w:p>
          <w:p w:rsidR="007432B3" w:rsidRDefault="007432B3" w:rsidP="00A43B0A">
            <w:pPr>
              <w:pStyle w:val="Standard"/>
              <w:tabs>
                <w:tab w:val="left" w:pos="4149"/>
              </w:tabs>
              <w:spacing w:after="0" w:line="240" w:lineRule="auto"/>
              <w:ind w:left="993" w:right="-533"/>
            </w:pPr>
            <w:r>
              <w:rPr>
                <w:sz w:val="22"/>
              </w:rPr>
              <w:t xml:space="preserve"> Quote-part des subventions d'investissement virée au résultat</w:t>
            </w:r>
          </w:p>
          <w:p w:rsidR="007432B3" w:rsidRDefault="007432B3" w:rsidP="00A43B0A">
            <w:pPr>
              <w:pStyle w:val="Standard"/>
              <w:tabs>
                <w:tab w:val="left" w:pos="1170"/>
              </w:tabs>
              <w:spacing w:after="0" w:line="240" w:lineRule="auto"/>
              <w:ind w:right="-533"/>
            </w:pPr>
          </w:p>
          <w:p w:rsidR="007432B3" w:rsidRDefault="007432B3" w:rsidP="00A43B0A">
            <w:pPr>
              <w:pStyle w:val="Standard"/>
              <w:tabs>
                <w:tab w:val="left" w:pos="1170"/>
              </w:tabs>
              <w:spacing w:after="0" w:line="240" w:lineRule="auto"/>
              <w:ind w:right="-533"/>
            </w:pPr>
            <w:r>
              <w:rPr>
                <w:sz w:val="22"/>
              </w:rPr>
              <w:t>Marge brute d'autofinancement                                            (ou 13 868 sans retraitement IS)</w:t>
            </w:r>
          </w:p>
          <w:p w:rsidR="007432B3" w:rsidRDefault="007432B3" w:rsidP="00A43B0A">
            <w:pPr>
              <w:pStyle w:val="Standard"/>
              <w:tabs>
                <w:tab w:val="left" w:pos="3102"/>
                <w:tab w:val="left" w:pos="3297"/>
              </w:tabs>
              <w:spacing w:after="0" w:line="240" w:lineRule="auto"/>
              <w:ind w:left="709" w:right="-533"/>
            </w:pPr>
          </w:p>
          <w:p w:rsidR="007432B3" w:rsidRDefault="007432B3" w:rsidP="00A43B0A">
            <w:pPr>
              <w:pStyle w:val="Standard"/>
              <w:tabs>
                <w:tab w:val="left" w:pos="975"/>
                <w:tab w:val="left" w:pos="1170"/>
              </w:tabs>
              <w:spacing w:after="0" w:line="240" w:lineRule="auto"/>
              <w:ind w:right="-533"/>
            </w:pPr>
            <w:r>
              <w:rPr>
                <w:sz w:val="22"/>
              </w:rPr>
              <w:t>Moins : variation du besoin en fonds de roulement lié à l'activité</w:t>
            </w:r>
          </w:p>
          <w:p w:rsidR="007432B3" w:rsidRDefault="007432B3" w:rsidP="00A43B0A">
            <w:pPr>
              <w:pStyle w:val="Standard"/>
              <w:tabs>
                <w:tab w:val="left" w:pos="3954"/>
                <w:tab w:val="left" w:pos="4149"/>
              </w:tabs>
              <w:spacing w:after="0" w:line="240" w:lineRule="auto"/>
              <w:ind w:left="993" w:right="-533"/>
            </w:pPr>
          </w:p>
          <w:p w:rsidR="007432B3" w:rsidRDefault="007432B3" w:rsidP="00A43B0A">
            <w:pPr>
              <w:pStyle w:val="Standard"/>
              <w:tabs>
                <w:tab w:val="left" w:pos="3954"/>
                <w:tab w:val="left" w:pos="4149"/>
              </w:tabs>
              <w:spacing w:after="0" w:line="240" w:lineRule="auto"/>
              <w:ind w:left="993" w:right="-533"/>
            </w:pPr>
            <w:r>
              <w:rPr>
                <w:sz w:val="22"/>
              </w:rPr>
              <w:t>Stocks</w:t>
            </w:r>
          </w:p>
          <w:p w:rsidR="007432B3" w:rsidRDefault="007432B3" w:rsidP="00A43B0A">
            <w:pPr>
              <w:pStyle w:val="Standard"/>
              <w:tabs>
                <w:tab w:val="left" w:pos="3954"/>
                <w:tab w:val="left" w:pos="4149"/>
              </w:tabs>
              <w:spacing w:after="0" w:line="240" w:lineRule="auto"/>
              <w:ind w:left="993" w:right="-533"/>
            </w:pPr>
            <w:r>
              <w:rPr>
                <w:sz w:val="22"/>
              </w:rPr>
              <w:t>Créances d'exploitation</w:t>
            </w:r>
          </w:p>
          <w:p w:rsidR="007432B3" w:rsidRDefault="007432B3" w:rsidP="00A43B0A">
            <w:pPr>
              <w:pStyle w:val="Standard"/>
              <w:tabs>
                <w:tab w:val="left" w:pos="3954"/>
                <w:tab w:val="left" w:pos="4149"/>
              </w:tabs>
              <w:spacing w:after="0" w:line="240" w:lineRule="auto"/>
              <w:ind w:left="993" w:right="-533"/>
            </w:pPr>
            <w:r>
              <w:rPr>
                <w:sz w:val="22"/>
              </w:rPr>
              <w:t>Dettes d'exploitation</w:t>
            </w:r>
          </w:p>
          <w:p w:rsidR="007432B3" w:rsidRDefault="007432B3" w:rsidP="00A43B0A">
            <w:pPr>
              <w:pStyle w:val="Standard"/>
              <w:tabs>
                <w:tab w:val="left" w:pos="3954"/>
                <w:tab w:val="left" w:pos="4149"/>
              </w:tabs>
              <w:spacing w:after="0" w:line="240" w:lineRule="auto"/>
              <w:ind w:left="993" w:right="-533"/>
            </w:pPr>
            <w:r>
              <w:rPr>
                <w:sz w:val="22"/>
              </w:rPr>
              <w:t>Autres créances liées à l'activité</w:t>
            </w:r>
          </w:p>
          <w:p w:rsidR="007432B3" w:rsidRDefault="007432B3" w:rsidP="00A43B0A">
            <w:pPr>
              <w:pStyle w:val="Standard"/>
              <w:tabs>
                <w:tab w:val="left" w:pos="3954"/>
                <w:tab w:val="left" w:pos="4149"/>
              </w:tabs>
              <w:spacing w:after="0" w:line="240" w:lineRule="auto"/>
              <w:ind w:left="993" w:right="-533"/>
            </w:pPr>
            <w:r>
              <w:rPr>
                <w:sz w:val="22"/>
              </w:rPr>
              <w:t>Autres dettes liées à l'activité</w:t>
            </w:r>
          </w:p>
          <w:p w:rsidR="007432B3" w:rsidRDefault="007432B3" w:rsidP="00A43B0A">
            <w:pPr>
              <w:pStyle w:val="Standard"/>
              <w:tabs>
                <w:tab w:val="left" w:pos="3954"/>
                <w:tab w:val="left" w:pos="4149"/>
              </w:tabs>
              <w:spacing w:after="0" w:line="240" w:lineRule="auto"/>
              <w:ind w:left="993" w:right="-533"/>
            </w:pPr>
          </w:p>
          <w:p w:rsidR="007432B3" w:rsidRDefault="007432B3" w:rsidP="007432B3">
            <w:pPr>
              <w:pStyle w:val="Standard"/>
              <w:tabs>
                <w:tab w:val="left" w:pos="8631"/>
                <w:tab w:val="left" w:pos="8826"/>
              </w:tabs>
              <w:spacing w:after="0" w:line="240" w:lineRule="auto"/>
              <w:ind w:left="1418"/>
              <w:jc w:val="right"/>
            </w:pPr>
            <w:r>
              <w:rPr>
                <w:b/>
                <w:sz w:val="22"/>
              </w:rPr>
              <w:t>Flux net de trésorerie généré par l'activité (ou -45 678)</w:t>
            </w:r>
          </w:p>
        </w:tc>
        <w:tc>
          <w:tcPr>
            <w:tcW w:w="1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right"/>
            </w:pPr>
          </w:p>
          <w:p w:rsidR="007432B3" w:rsidRDefault="007432B3" w:rsidP="00A43B0A">
            <w:pPr>
              <w:pStyle w:val="Standard"/>
              <w:spacing w:after="0" w:line="240" w:lineRule="auto"/>
              <w:jc w:val="right"/>
            </w:pPr>
          </w:p>
          <w:p w:rsidR="007432B3" w:rsidRDefault="007432B3" w:rsidP="00A43B0A">
            <w:pPr>
              <w:pStyle w:val="Standard"/>
              <w:spacing w:after="0" w:line="240" w:lineRule="auto"/>
              <w:jc w:val="right"/>
            </w:pPr>
            <w:r>
              <w:rPr>
                <w:sz w:val="22"/>
                <w:szCs w:val="22"/>
              </w:rPr>
              <w:t>3 539</w:t>
            </w:r>
          </w:p>
          <w:p w:rsidR="007432B3" w:rsidRDefault="007432B3" w:rsidP="00A43B0A">
            <w:pPr>
              <w:pStyle w:val="Standard"/>
              <w:spacing w:after="0" w:line="240" w:lineRule="auto"/>
              <w:ind w:left="-108"/>
              <w:jc w:val="right"/>
            </w:pPr>
          </w:p>
          <w:p w:rsidR="007432B3" w:rsidRDefault="007432B3" w:rsidP="00A43B0A">
            <w:pPr>
              <w:pStyle w:val="Standard"/>
              <w:spacing w:after="0" w:line="240" w:lineRule="auto"/>
              <w:ind w:left="-108"/>
              <w:jc w:val="right"/>
            </w:pPr>
          </w:p>
          <w:p w:rsidR="007432B3" w:rsidRDefault="007432B3" w:rsidP="00A43B0A">
            <w:pPr>
              <w:pStyle w:val="Standard"/>
              <w:spacing w:after="0" w:line="240" w:lineRule="auto"/>
              <w:ind w:left="-108"/>
              <w:jc w:val="right"/>
            </w:pPr>
            <w:r>
              <w:rPr>
                <w:sz w:val="22"/>
                <w:szCs w:val="22"/>
              </w:rPr>
              <w:t>13 839</w:t>
            </w:r>
          </w:p>
          <w:p w:rsidR="007432B3" w:rsidRDefault="007432B3" w:rsidP="00A43B0A">
            <w:pPr>
              <w:pStyle w:val="Standard"/>
              <w:numPr>
                <w:ilvl w:val="0"/>
                <w:numId w:val="1"/>
              </w:numPr>
              <w:spacing w:after="0" w:line="240" w:lineRule="auto"/>
              <w:jc w:val="right"/>
            </w:pPr>
            <w:r>
              <w:rPr>
                <w:sz w:val="22"/>
                <w:szCs w:val="22"/>
              </w:rPr>
              <w:t>2069</w:t>
            </w:r>
          </w:p>
          <w:p w:rsidR="007432B3" w:rsidRDefault="007432B3" w:rsidP="00A43B0A">
            <w:pPr>
              <w:pStyle w:val="Standard"/>
              <w:spacing w:after="0" w:line="240" w:lineRule="auto"/>
              <w:ind w:left="-108"/>
              <w:jc w:val="right"/>
            </w:pPr>
            <w:r>
              <w:rPr>
                <w:sz w:val="22"/>
                <w:szCs w:val="22"/>
              </w:rPr>
              <w:t>407</w:t>
            </w:r>
          </w:p>
          <w:p w:rsidR="007432B3" w:rsidRDefault="007432B3" w:rsidP="00A43B0A">
            <w:pPr>
              <w:pStyle w:val="Standard"/>
              <w:spacing w:after="0" w:line="240" w:lineRule="auto"/>
              <w:ind w:left="-108"/>
              <w:jc w:val="right"/>
            </w:pPr>
          </w:p>
        </w:tc>
      </w:tr>
      <w:tr w:rsidR="007432B3" w:rsidRPr="00F66924" w:rsidTr="007432B3">
        <w:trPr>
          <w:trHeight w:val="205"/>
          <w:jc w:val="center"/>
        </w:trPr>
        <w:tc>
          <w:tcPr>
            <w:tcW w:w="892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tc>
        <w:tc>
          <w:tcPr>
            <w:tcW w:w="1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108"/>
              <w:jc w:val="right"/>
            </w:pPr>
            <w:r>
              <w:rPr>
                <w:sz w:val="22"/>
                <w:szCs w:val="22"/>
              </w:rPr>
              <w:t>14 902</w:t>
            </w:r>
          </w:p>
        </w:tc>
      </w:tr>
      <w:tr w:rsidR="007432B3" w:rsidRPr="00F66924" w:rsidTr="007432B3">
        <w:trPr>
          <w:trHeight w:val="1924"/>
          <w:jc w:val="center"/>
        </w:trPr>
        <w:tc>
          <w:tcPr>
            <w:tcW w:w="892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tc>
        <w:tc>
          <w:tcPr>
            <w:tcW w:w="1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108"/>
              <w:jc w:val="right"/>
            </w:pPr>
          </w:p>
          <w:p w:rsidR="007432B3" w:rsidRDefault="007432B3" w:rsidP="00A43B0A">
            <w:pPr>
              <w:pStyle w:val="Standard"/>
              <w:spacing w:after="0" w:line="240" w:lineRule="auto"/>
              <w:ind w:left="-108"/>
              <w:jc w:val="right"/>
            </w:pPr>
            <w:r>
              <w:rPr>
                <w:sz w:val="22"/>
                <w:szCs w:val="22"/>
              </w:rPr>
              <w:t>-45 008</w:t>
            </w:r>
          </w:p>
          <w:p w:rsidR="007432B3" w:rsidRDefault="007432B3" w:rsidP="00A43B0A">
            <w:pPr>
              <w:pStyle w:val="Standard"/>
              <w:spacing w:after="0" w:line="240" w:lineRule="auto"/>
              <w:ind w:left="-108"/>
              <w:jc w:val="right"/>
            </w:pPr>
            <w:r>
              <w:rPr>
                <w:sz w:val="22"/>
                <w:szCs w:val="22"/>
              </w:rPr>
              <w:t>-48 592</w:t>
            </w:r>
          </w:p>
          <w:p w:rsidR="007432B3" w:rsidRDefault="007432B3" w:rsidP="00A43B0A">
            <w:pPr>
              <w:pStyle w:val="Standard"/>
              <w:spacing w:after="0" w:line="240" w:lineRule="auto"/>
              <w:ind w:left="-108"/>
              <w:jc w:val="right"/>
            </w:pPr>
            <w:bookmarkStart w:id="0" w:name="_GoBack"/>
            <w:bookmarkEnd w:id="0"/>
            <w:r>
              <w:rPr>
                <w:sz w:val="22"/>
                <w:szCs w:val="22"/>
              </w:rPr>
              <w:t>10 017</w:t>
            </w:r>
          </w:p>
          <w:p w:rsidR="007432B3" w:rsidRDefault="007432B3" w:rsidP="00A43B0A">
            <w:pPr>
              <w:pStyle w:val="Standard"/>
              <w:spacing w:after="0" w:line="240" w:lineRule="auto"/>
              <w:ind w:left="-108"/>
              <w:jc w:val="right"/>
            </w:pPr>
            <w:r>
              <w:rPr>
                <w:sz w:val="22"/>
                <w:szCs w:val="22"/>
              </w:rPr>
              <w:t>24 171</w:t>
            </w:r>
          </w:p>
          <w:p w:rsidR="007432B3" w:rsidRDefault="007432B3" w:rsidP="00A43B0A">
            <w:pPr>
              <w:pStyle w:val="Standard"/>
              <w:spacing w:after="0" w:line="240" w:lineRule="auto"/>
              <w:ind w:left="-108"/>
              <w:jc w:val="right"/>
            </w:pPr>
            <w:r>
              <w:rPr>
                <w:sz w:val="22"/>
                <w:szCs w:val="22"/>
              </w:rPr>
              <w:t>-134</w:t>
            </w:r>
          </w:p>
        </w:tc>
      </w:tr>
      <w:tr w:rsidR="007432B3" w:rsidRPr="00F66924" w:rsidTr="007432B3">
        <w:trPr>
          <w:trHeight w:val="265"/>
          <w:jc w:val="center"/>
        </w:trPr>
        <w:tc>
          <w:tcPr>
            <w:tcW w:w="892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tc>
        <w:tc>
          <w:tcPr>
            <w:tcW w:w="1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108"/>
              <w:jc w:val="right"/>
            </w:pPr>
            <w:r>
              <w:rPr>
                <w:sz w:val="22"/>
                <w:szCs w:val="22"/>
              </w:rPr>
              <w:t>-44 644</w:t>
            </w:r>
          </w:p>
        </w:tc>
      </w:tr>
      <w:tr w:rsidR="007432B3" w:rsidRPr="00F66924" w:rsidTr="007432B3">
        <w:trPr>
          <w:trHeight w:val="885"/>
          <w:jc w:val="center"/>
        </w:trPr>
        <w:tc>
          <w:tcPr>
            <w:tcW w:w="892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p w:rsidR="007432B3" w:rsidRDefault="007432B3" w:rsidP="00A43B0A">
            <w:pPr>
              <w:pStyle w:val="Standard"/>
              <w:spacing w:after="0" w:line="240" w:lineRule="auto"/>
            </w:pPr>
            <w:r>
              <w:rPr>
                <w:b/>
                <w:sz w:val="22"/>
                <w:szCs w:val="22"/>
              </w:rPr>
              <w:t>Flux de trésorerie liés aux opérations d'investissement</w:t>
            </w:r>
          </w:p>
          <w:p w:rsidR="007432B3" w:rsidRDefault="007432B3" w:rsidP="00A43B0A">
            <w:pPr>
              <w:pStyle w:val="Standard"/>
              <w:spacing w:after="0" w:line="240" w:lineRule="auto"/>
            </w:pPr>
            <w:r>
              <w:rPr>
                <w:sz w:val="22"/>
                <w:szCs w:val="22"/>
              </w:rPr>
              <w:t>Acquisitions d'immobilisations</w:t>
            </w:r>
          </w:p>
          <w:p w:rsidR="007432B3" w:rsidRDefault="007432B3" w:rsidP="00A43B0A">
            <w:pPr>
              <w:pStyle w:val="Standard"/>
              <w:spacing w:after="0" w:line="240" w:lineRule="auto"/>
            </w:pPr>
            <w:r>
              <w:rPr>
                <w:sz w:val="22"/>
                <w:szCs w:val="22"/>
              </w:rPr>
              <w:t xml:space="preserve">Cessions d'immobilisations nettes d'impôts (ou 4 780 </w:t>
            </w:r>
            <w:r>
              <w:rPr>
                <w:sz w:val="22"/>
              </w:rPr>
              <w:t>sans retraitement IS)</w:t>
            </w:r>
          </w:p>
          <w:p w:rsidR="007432B3" w:rsidRDefault="007432B3" w:rsidP="00A43B0A">
            <w:pPr>
              <w:pStyle w:val="Standard"/>
              <w:spacing w:after="0" w:line="240" w:lineRule="auto"/>
            </w:pPr>
            <w:r>
              <w:rPr>
                <w:sz w:val="22"/>
                <w:szCs w:val="22"/>
              </w:rPr>
              <w:t>Réductions d'immobilisations financières</w:t>
            </w:r>
          </w:p>
          <w:p w:rsidR="007432B3" w:rsidRDefault="007432B3" w:rsidP="00A43B0A">
            <w:pPr>
              <w:pStyle w:val="Standard"/>
              <w:spacing w:after="0" w:line="240" w:lineRule="auto"/>
            </w:pPr>
            <w:r>
              <w:rPr>
                <w:sz w:val="22"/>
                <w:szCs w:val="22"/>
              </w:rPr>
              <w:t>Variation des créances et dettes sur immobilisations</w:t>
            </w:r>
          </w:p>
          <w:p w:rsidR="007432B3" w:rsidRDefault="007432B3" w:rsidP="00A43B0A">
            <w:pPr>
              <w:pStyle w:val="Standard"/>
              <w:spacing w:after="0" w:line="240" w:lineRule="auto"/>
              <w:ind w:right="-108"/>
            </w:pPr>
            <w:r>
              <w:rPr>
                <w:b/>
                <w:sz w:val="22"/>
                <w:szCs w:val="22"/>
              </w:rPr>
              <w:t xml:space="preserve">                                             </w:t>
            </w:r>
          </w:p>
          <w:p w:rsidR="007432B3" w:rsidRDefault="007432B3" w:rsidP="00A43B0A">
            <w:pPr>
              <w:pStyle w:val="Standard"/>
              <w:spacing w:after="0" w:line="240" w:lineRule="auto"/>
              <w:ind w:right="-108"/>
            </w:pPr>
          </w:p>
          <w:p w:rsidR="007432B3" w:rsidRDefault="007432B3" w:rsidP="00AA5320">
            <w:pPr>
              <w:pStyle w:val="Standard"/>
              <w:spacing w:after="0" w:line="240" w:lineRule="auto"/>
              <w:ind w:right="-108"/>
              <w:jc w:val="right"/>
            </w:pPr>
            <w:r>
              <w:rPr>
                <w:b/>
                <w:sz w:val="22"/>
                <w:szCs w:val="22"/>
              </w:rPr>
              <w:t>Flux net de trésorerie lié aux opérations d'investissement (ou – 27 197)</w:t>
            </w:r>
          </w:p>
        </w:tc>
        <w:tc>
          <w:tcPr>
            <w:tcW w:w="1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right"/>
            </w:pPr>
          </w:p>
          <w:p w:rsidR="007432B3" w:rsidRDefault="007432B3" w:rsidP="00A43B0A">
            <w:pPr>
              <w:pStyle w:val="Standard"/>
              <w:spacing w:after="0" w:line="240" w:lineRule="auto"/>
              <w:jc w:val="right"/>
            </w:pPr>
          </w:p>
          <w:p w:rsidR="007432B3" w:rsidRDefault="007432B3" w:rsidP="00A43B0A">
            <w:pPr>
              <w:pStyle w:val="Standard"/>
              <w:spacing w:after="0" w:line="240" w:lineRule="auto"/>
              <w:jc w:val="right"/>
            </w:pPr>
            <w:r>
              <w:rPr>
                <w:sz w:val="22"/>
                <w:szCs w:val="22"/>
              </w:rPr>
              <w:t>-34 996</w:t>
            </w:r>
          </w:p>
          <w:p w:rsidR="007432B3" w:rsidRDefault="007432B3" w:rsidP="00A43B0A">
            <w:pPr>
              <w:pStyle w:val="Standard"/>
              <w:spacing w:after="0" w:line="240" w:lineRule="auto"/>
              <w:jc w:val="right"/>
            </w:pPr>
            <w:r>
              <w:rPr>
                <w:sz w:val="22"/>
                <w:szCs w:val="22"/>
              </w:rPr>
              <w:t>3 746</w:t>
            </w:r>
          </w:p>
          <w:p w:rsidR="007432B3" w:rsidRDefault="007432B3" w:rsidP="00A43B0A">
            <w:pPr>
              <w:pStyle w:val="Standard"/>
              <w:spacing w:after="0" w:line="240" w:lineRule="auto"/>
              <w:jc w:val="right"/>
            </w:pPr>
            <w:r>
              <w:rPr>
                <w:sz w:val="22"/>
                <w:szCs w:val="22"/>
              </w:rPr>
              <w:t>500</w:t>
            </w:r>
          </w:p>
          <w:p w:rsidR="007432B3" w:rsidRDefault="007432B3" w:rsidP="00A43B0A">
            <w:pPr>
              <w:pStyle w:val="Standard"/>
              <w:spacing w:after="0" w:line="240" w:lineRule="auto"/>
              <w:jc w:val="right"/>
            </w:pPr>
            <w:r>
              <w:rPr>
                <w:sz w:val="22"/>
                <w:szCs w:val="22"/>
              </w:rPr>
              <w:t>2 519</w:t>
            </w:r>
          </w:p>
          <w:p w:rsidR="007432B3" w:rsidRDefault="007432B3" w:rsidP="00A43B0A">
            <w:pPr>
              <w:pStyle w:val="Standard"/>
              <w:spacing w:after="0" w:line="240" w:lineRule="auto"/>
              <w:jc w:val="right"/>
            </w:pPr>
          </w:p>
          <w:p w:rsidR="007432B3" w:rsidRDefault="007432B3" w:rsidP="00A43B0A">
            <w:pPr>
              <w:pStyle w:val="Standard"/>
              <w:spacing w:after="0" w:line="240" w:lineRule="auto"/>
              <w:ind w:left="-85"/>
              <w:jc w:val="right"/>
            </w:pPr>
          </w:p>
        </w:tc>
      </w:tr>
      <w:tr w:rsidR="007432B3" w:rsidRPr="00F66924" w:rsidTr="007432B3">
        <w:trPr>
          <w:trHeight w:val="289"/>
          <w:jc w:val="center"/>
        </w:trPr>
        <w:tc>
          <w:tcPr>
            <w:tcW w:w="892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tc>
        <w:tc>
          <w:tcPr>
            <w:tcW w:w="1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right"/>
            </w:pPr>
            <w:r>
              <w:rPr>
                <w:sz w:val="22"/>
                <w:szCs w:val="22"/>
              </w:rPr>
              <w:t>-28 231</w:t>
            </w:r>
          </w:p>
        </w:tc>
      </w:tr>
      <w:tr w:rsidR="007432B3" w:rsidRPr="00F66924" w:rsidTr="007432B3">
        <w:trPr>
          <w:trHeight w:val="1980"/>
          <w:jc w:val="center"/>
        </w:trPr>
        <w:tc>
          <w:tcPr>
            <w:tcW w:w="892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p w:rsidR="007432B3" w:rsidRDefault="007432B3" w:rsidP="00A43B0A">
            <w:pPr>
              <w:pStyle w:val="Standard"/>
              <w:spacing w:after="0" w:line="240" w:lineRule="auto"/>
            </w:pPr>
            <w:r>
              <w:rPr>
                <w:b/>
                <w:sz w:val="22"/>
                <w:szCs w:val="22"/>
              </w:rPr>
              <w:t xml:space="preserve">Flux de trésorerie liés aux opérations de financement </w:t>
            </w:r>
          </w:p>
          <w:p w:rsidR="007432B3" w:rsidRDefault="007432B3" w:rsidP="00A43B0A">
            <w:pPr>
              <w:pStyle w:val="Standard"/>
              <w:spacing w:after="0" w:line="240" w:lineRule="auto"/>
            </w:pPr>
            <w:r>
              <w:rPr>
                <w:sz w:val="22"/>
                <w:szCs w:val="22"/>
              </w:rPr>
              <w:t>Dividendes versés</w:t>
            </w:r>
          </w:p>
          <w:p w:rsidR="007432B3" w:rsidRDefault="007432B3" w:rsidP="00A43B0A">
            <w:pPr>
              <w:pStyle w:val="Standard"/>
              <w:spacing w:after="0" w:line="240" w:lineRule="auto"/>
            </w:pPr>
            <w:r>
              <w:rPr>
                <w:sz w:val="22"/>
                <w:szCs w:val="22"/>
              </w:rPr>
              <w:t>Incidence des variations de capital</w:t>
            </w:r>
          </w:p>
          <w:p w:rsidR="007432B3" w:rsidRDefault="007432B3" w:rsidP="00A43B0A">
            <w:pPr>
              <w:pStyle w:val="Standard"/>
              <w:spacing w:after="0" w:line="240" w:lineRule="auto"/>
            </w:pPr>
            <w:r>
              <w:rPr>
                <w:sz w:val="22"/>
                <w:szCs w:val="22"/>
              </w:rPr>
              <w:t>Émissions d'emprunts</w:t>
            </w:r>
          </w:p>
          <w:p w:rsidR="007432B3" w:rsidRDefault="007432B3" w:rsidP="00A43B0A">
            <w:pPr>
              <w:pStyle w:val="Standard"/>
              <w:spacing w:after="0" w:line="240" w:lineRule="auto"/>
            </w:pPr>
            <w:r>
              <w:rPr>
                <w:sz w:val="22"/>
                <w:szCs w:val="22"/>
              </w:rPr>
              <w:t>Remboursements d'emprunts</w:t>
            </w:r>
          </w:p>
          <w:p w:rsidR="007432B3" w:rsidRDefault="007432B3" w:rsidP="00A43B0A">
            <w:pPr>
              <w:pStyle w:val="Standard"/>
              <w:spacing w:after="0" w:line="240" w:lineRule="auto"/>
            </w:pPr>
            <w:r>
              <w:rPr>
                <w:sz w:val="22"/>
                <w:szCs w:val="22"/>
              </w:rPr>
              <w:t>Subventions d'investissements reçues</w:t>
            </w:r>
          </w:p>
          <w:p w:rsidR="007432B3" w:rsidRDefault="007432B3" w:rsidP="00A43B0A">
            <w:pPr>
              <w:pStyle w:val="Standard"/>
              <w:spacing w:after="0" w:line="240" w:lineRule="auto"/>
            </w:pPr>
          </w:p>
          <w:p w:rsidR="007432B3" w:rsidRDefault="007432B3" w:rsidP="00AA5320">
            <w:pPr>
              <w:pStyle w:val="Standard"/>
              <w:spacing w:after="0" w:line="240" w:lineRule="auto"/>
              <w:ind w:left="1418" w:right="-108"/>
              <w:jc w:val="right"/>
            </w:pPr>
            <w:r>
              <w:rPr>
                <w:b/>
                <w:sz w:val="22"/>
                <w:szCs w:val="22"/>
              </w:rPr>
              <w:t>Flux net de trésorerie lié aux opérations de financement</w:t>
            </w:r>
          </w:p>
        </w:tc>
        <w:tc>
          <w:tcPr>
            <w:tcW w:w="1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85"/>
              <w:jc w:val="right"/>
            </w:pPr>
          </w:p>
          <w:p w:rsidR="007432B3" w:rsidRDefault="007432B3" w:rsidP="00A43B0A">
            <w:pPr>
              <w:pStyle w:val="Standard"/>
              <w:spacing w:after="0" w:line="240" w:lineRule="auto"/>
              <w:ind w:left="-85"/>
              <w:jc w:val="right"/>
            </w:pPr>
          </w:p>
          <w:p w:rsidR="007432B3" w:rsidRDefault="007432B3" w:rsidP="00A43B0A">
            <w:pPr>
              <w:pStyle w:val="Standard"/>
              <w:spacing w:after="0" w:line="240" w:lineRule="auto"/>
              <w:ind w:left="-85"/>
              <w:jc w:val="right"/>
            </w:pPr>
            <w:r>
              <w:rPr>
                <w:sz w:val="22"/>
                <w:szCs w:val="22"/>
              </w:rPr>
              <w:t>0</w:t>
            </w:r>
          </w:p>
          <w:p w:rsidR="007432B3" w:rsidRDefault="007432B3" w:rsidP="00A43B0A">
            <w:pPr>
              <w:pStyle w:val="Standard"/>
              <w:spacing w:after="0" w:line="240" w:lineRule="auto"/>
              <w:ind w:left="-85"/>
              <w:jc w:val="right"/>
            </w:pPr>
            <w:r>
              <w:rPr>
                <w:sz w:val="22"/>
                <w:szCs w:val="22"/>
              </w:rPr>
              <w:t>17 373</w:t>
            </w:r>
          </w:p>
          <w:p w:rsidR="007432B3" w:rsidRDefault="007432B3" w:rsidP="00A43B0A">
            <w:pPr>
              <w:pStyle w:val="Standard"/>
              <w:spacing w:after="0" w:line="240" w:lineRule="auto"/>
              <w:ind w:left="-85"/>
              <w:jc w:val="right"/>
            </w:pPr>
            <w:r>
              <w:rPr>
                <w:sz w:val="22"/>
                <w:szCs w:val="22"/>
              </w:rPr>
              <w:t>32 691</w:t>
            </w:r>
          </w:p>
          <w:p w:rsidR="007432B3" w:rsidRDefault="007432B3" w:rsidP="00A43B0A">
            <w:pPr>
              <w:pStyle w:val="Standard"/>
              <w:spacing w:after="0" w:line="240" w:lineRule="auto"/>
              <w:ind w:left="-85"/>
              <w:jc w:val="right"/>
            </w:pPr>
            <w:r>
              <w:rPr>
                <w:sz w:val="22"/>
                <w:szCs w:val="22"/>
              </w:rPr>
              <w:t>-6 800</w:t>
            </w:r>
          </w:p>
          <w:p w:rsidR="007432B3" w:rsidRDefault="007432B3" w:rsidP="00A43B0A">
            <w:pPr>
              <w:pStyle w:val="Standard"/>
              <w:spacing w:after="0" w:line="240" w:lineRule="auto"/>
              <w:ind w:left="-85"/>
              <w:jc w:val="right"/>
            </w:pPr>
            <w:r>
              <w:rPr>
                <w:sz w:val="22"/>
                <w:szCs w:val="22"/>
              </w:rPr>
              <w:t>5 265</w:t>
            </w:r>
          </w:p>
        </w:tc>
      </w:tr>
      <w:tr w:rsidR="007432B3" w:rsidRPr="00F66924" w:rsidTr="007432B3">
        <w:trPr>
          <w:trHeight w:val="279"/>
          <w:jc w:val="center"/>
        </w:trPr>
        <w:tc>
          <w:tcPr>
            <w:tcW w:w="892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tc>
        <w:tc>
          <w:tcPr>
            <w:tcW w:w="1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85"/>
              <w:jc w:val="right"/>
            </w:pPr>
            <w:r>
              <w:rPr>
                <w:sz w:val="22"/>
                <w:szCs w:val="22"/>
              </w:rPr>
              <w:t>48 529</w:t>
            </w:r>
          </w:p>
        </w:tc>
      </w:tr>
      <w:tr w:rsidR="007432B3" w:rsidRPr="00F66924" w:rsidTr="007432B3">
        <w:trPr>
          <w:jc w:val="center"/>
        </w:trPr>
        <w:tc>
          <w:tcPr>
            <w:tcW w:w="8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p w:rsidR="007432B3" w:rsidRDefault="007432B3" w:rsidP="00A43B0A">
            <w:pPr>
              <w:pStyle w:val="Standard"/>
              <w:spacing w:after="0" w:line="240" w:lineRule="auto"/>
            </w:pPr>
            <w:r>
              <w:rPr>
                <w:b/>
                <w:sz w:val="22"/>
                <w:szCs w:val="22"/>
              </w:rPr>
              <w:t>Variati</w:t>
            </w:r>
            <w:r w:rsidR="00D80F46">
              <w:rPr>
                <w:b/>
                <w:sz w:val="22"/>
                <w:szCs w:val="22"/>
              </w:rPr>
              <w:t xml:space="preserve">on de la trésorerie </w:t>
            </w:r>
          </w:p>
          <w:p w:rsidR="007432B3" w:rsidRDefault="007432B3" w:rsidP="00A43B0A">
            <w:pPr>
              <w:pStyle w:val="Standard"/>
              <w:spacing w:after="0" w:line="240" w:lineRule="auto"/>
            </w:pPr>
          </w:p>
          <w:p w:rsidR="007432B3" w:rsidRDefault="007432B3" w:rsidP="00A43B0A">
            <w:pPr>
              <w:pStyle w:val="Standard"/>
              <w:spacing w:after="0" w:line="240" w:lineRule="auto"/>
            </w:pPr>
            <w:r>
              <w:rPr>
                <w:sz w:val="22"/>
                <w:szCs w:val="22"/>
              </w:rPr>
              <w:t>Trésorerie d'ouverture</w:t>
            </w:r>
          </w:p>
          <w:p w:rsidR="007432B3" w:rsidRDefault="007432B3" w:rsidP="00A43B0A">
            <w:pPr>
              <w:pStyle w:val="Standard"/>
              <w:spacing w:after="0" w:line="240" w:lineRule="auto"/>
            </w:pPr>
            <w:r>
              <w:rPr>
                <w:sz w:val="22"/>
                <w:szCs w:val="22"/>
              </w:rPr>
              <w:t>Trésorerie de clôture</w:t>
            </w:r>
          </w:p>
        </w:tc>
        <w:tc>
          <w:tcPr>
            <w:tcW w:w="1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85"/>
              <w:jc w:val="right"/>
            </w:pPr>
          </w:p>
          <w:p w:rsidR="007432B3" w:rsidRDefault="007432B3" w:rsidP="00A43B0A">
            <w:pPr>
              <w:pStyle w:val="Standard"/>
              <w:spacing w:after="0" w:line="240" w:lineRule="auto"/>
              <w:ind w:left="-85"/>
              <w:jc w:val="right"/>
            </w:pPr>
            <w:r>
              <w:rPr>
                <w:sz w:val="22"/>
                <w:szCs w:val="22"/>
              </w:rPr>
              <w:t>-24 346</w:t>
            </w:r>
          </w:p>
          <w:p w:rsidR="007432B3" w:rsidRDefault="007432B3" w:rsidP="00A43B0A">
            <w:pPr>
              <w:pStyle w:val="Standard"/>
              <w:spacing w:after="0" w:line="240" w:lineRule="auto"/>
              <w:ind w:left="-85"/>
              <w:jc w:val="right"/>
            </w:pPr>
          </w:p>
          <w:p w:rsidR="007432B3" w:rsidRDefault="007432B3" w:rsidP="00A43B0A">
            <w:pPr>
              <w:pStyle w:val="Standard"/>
              <w:spacing w:after="0" w:line="240" w:lineRule="auto"/>
              <w:ind w:left="-85"/>
              <w:jc w:val="right"/>
            </w:pPr>
            <w:r>
              <w:rPr>
                <w:sz w:val="22"/>
                <w:szCs w:val="22"/>
              </w:rPr>
              <w:t>64 681</w:t>
            </w:r>
          </w:p>
          <w:p w:rsidR="007432B3" w:rsidRDefault="007432B3" w:rsidP="00A43B0A">
            <w:pPr>
              <w:pStyle w:val="Standard"/>
              <w:spacing w:after="0" w:line="240" w:lineRule="auto"/>
              <w:ind w:left="-85"/>
              <w:jc w:val="right"/>
            </w:pPr>
            <w:r>
              <w:rPr>
                <w:sz w:val="22"/>
                <w:szCs w:val="22"/>
              </w:rPr>
              <w:t>40 335</w:t>
            </w:r>
          </w:p>
        </w:tc>
      </w:tr>
    </w:tbl>
    <w:p w:rsidR="00817C79" w:rsidRDefault="00817C79" w:rsidP="00A43B0A">
      <w:pPr>
        <w:pStyle w:val="Standard"/>
        <w:spacing w:after="0" w:line="240" w:lineRule="auto"/>
      </w:pPr>
    </w:p>
    <w:p w:rsidR="00817C79" w:rsidRDefault="007432B3" w:rsidP="0079752F">
      <w:r>
        <w:rPr>
          <w:b/>
          <w:u w:val="single"/>
        </w:rPr>
        <w:br w:type="page"/>
      </w:r>
      <w:r w:rsidR="00A80301">
        <w:rPr>
          <w:b/>
          <w:u w:val="single"/>
        </w:rPr>
        <w:lastRenderedPageBreak/>
        <w:t>Détails :</w:t>
      </w:r>
    </w:p>
    <w:p w:rsidR="00817C79" w:rsidRDefault="00817C79" w:rsidP="00A43B0A">
      <w:pPr>
        <w:pStyle w:val="Standard"/>
        <w:spacing w:after="0" w:line="240" w:lineRule="auto"/>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703"/>
        <w:gridCol w:w="2342"/>
      </w:tblGrid>
      <w:tr w:rsidR="007432B3" w:rsidRPr="00F66924">
        <w:trPr>
          <w:jc w:val="center"/>
        </w:trPr>
        <w:tc>
          <w:tcPr>
            <w:tcW w:w="4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A5320">
            <w:pPr>
              <w:pStyle w:val="Standard"/>
              <w:spacing w:after="0" w:line="240" w:lineRule="auto"/>
            </w:pPr>
            <w:r>
              <w:t>- Reprise sur provisions d’exploitation</w:t>
            </w:r>
          </w:p>
        </w:tc>
        <w:tc>
          <w:tcPr>
            <w:tcW w:w="2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rsidRPr="00AA5320">
              <w:t>-</w:t>
            </w:r>
            <w:r>
              <w:t xml:space="preserve"> 3 750</w:t>
            </w:r>
          </w:p>
        </w:tc>
      </w:tr>
      <w:tr w:rsidR="007432B3" w:rsidRPr="00F66924">
        <w:trPr>
          <w:jc w:val="center"/>
        </w:trPr>
        <w:tc>
          <w:tcPr>
            <w:tcW w:w="4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108"/>
            </w:pPr>
            <w:r>
              <w:t>+ Dotations aux amortissements</w:t>
            </w:r>
          </w:p>
        </w:tc>
        <w:tc>
          <w:tcPr>
            <w:tcW w:w="2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15 946</w:t>
            </w:r>
          </w:p>
        </w:tc>
      </w:tr>
      <w:tr w:rsidR="007432B3" w:rsidRPr="00F66924">
        <w:trPr>
          <w:jc w:val="center"/>
        </w:trPr>
        <w:tc>
          <w:tcPr>
            <w:tcW w:w="4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108"/>
            </w:pPr>
            <w:r>
              <w:t>+ Dotations aux provisions d’exploitation</w:t>
            </w:r>
          </w:p>
        </w:tc>
        <w:tc>
          <w:tcPr>
            <w:tcW w:w="2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879</w:t>
            </w:r>
          </w:p>
        </w:tc>
      </w:tr>
      <w:tr w:rsidR="007432B3" w:rsidRPr="00F66924">
        <w:trPr>
          <w:jc w:val="center"/>
        </w:trPr>
        <w:tc>
          <w:tcPr>
            <w:tcW w:w="4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108"/>
            </w:pPr>
            <w:r>
              <w:t>+ Dotations financières</w:t>
            </w:r>
          </w:p>
        </w:tc>
        <w:tc>
          <w:tcPr>
            <w:tcW w:w="2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369</w:t>
            </w:r>
          </w:p>
        </w:tc>
      </w:tr>
      <w:tr w:rsidR="007432B3" w:rsidRPr="00F66924">
        <w:trPr>
          <w:jc w:val="center"/>
        </w:trPr>
        <w:tc>
          <w:tcPr>
            <w:tcW w:w="4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108"/>
            </w:pPr>
            <w:r>
              <w:t>+ Dotations exceptionnelles</w:t>
            </w:r>
          </w:p>
        </w:tc>
        <w:tc>
          <w:tcPr>
            <w:tcW w:w="2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395</w:t>
            </w:r>
          </w:p>
        </w:tc>
      </w:tr>
      <w:tr w:rsidR="007432B3" w:rsidRPr="00F66924">
        <w:trPr>
          <w:trHeight w:val="278"/>
          <w:jc w:val="center"/>
        </w:trPr>
        <w:tc>
          <w:tcPr>
            <w:tcW w:w="4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b/>
              </w:rPr>
              <w:t>Charges et produits sans incidences sur la trésorerie</w:t>
            </w:r>
          </w:p>
        </w:tc>
        <w:tc>
          <w:tcPr>
            <w:tcW w:w="2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rPr>
                <w:b/>
              </w:rPr>
              <w:t>13 839</w:t>
            </w:r>
          </w:p>
        </w:tc>
      </w:tr>
    </w:tbl>
    <w:p w:rsidR="00817C79" w:rsidRDefault="00817C79" w:rsidP="00A43B0A">
      <w:pPr>
        <w:pStyle w:val="Standard"/>
        <w:spacing w:after="0" w:line="240" w:lineRule="auto"/>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11"/>
        <w:gridCol w:w="2389"/>
      </w:tblGrid>
      <w:tr w:rsidR="007432B3" w:rsidRPr="00F66924">
        <w:trPr>
          <w:jc w:val="center"/>
        </w:trPr>
        <w:tc>
          <w:tcPr>
            <w:tcW w:w="4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+VCN des éléments d’actif cédés</w:t>
            </w:r>
          </w:p>
        </w:tc>
        <w:tc>
          <w:tcPr>
            <w:tcW w:w="23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1 677</w:t>
            </w:r>
          </w:p>
        </w:tc>
      </w:tr>
      <w:tr w:rsidR="007432B3" w:rsidRPr="00F66924">
        <w:trPr>
          <w:jc w:val="center"/>
        </w:trPr>
        <w:tc>
          <w:tcPr>
            <w:tcW w:w="4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A5320">
            <w:pPr>
              <w:pStyle w:val="Standard"/>
              <w:spacing w:after="0" w:line="240" w:lineRule="auto"/>
            </w:pPr>
            <w:r w:rsidRPr="00AA5320">
              <w:rPr>
                <w:b/>
              </w:rPr>
              <w:t>-</w:t>
            </w:r>
            <w:r>
              <w:t xml:space="preserve"> Produits des cessions d’éléments d’actif</w:t>
            </w:r>
          </w:p>
        </w:tc>
        <w:tc>
          <w:tcPr>
            <w:tcW w:w="23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-4 780</w:t>
            </w:r>
          </w:p>
        </w:tc>
      </w:tr>
      <w:tr w:rsidR="007432B3" w:rsidRPr="00F66924">
        <w:trPr>
          <w:jc w:val="center"/>
        </w:trPr>
        <w:tc>
          <w:tcPr>
            <w:tcW w:w="4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 impôt sur la plus-value (4 780 – 1 677) / 3</w:t>
            </w:r>
          </w:p>
        </w:tc>
        <w:tc>
          <w:tcPr>
            <w:tcW w:w="23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1 034</w:t>
            </w:r>
          </w:p>
        </w:tc>
      </w:tr>
      <w:tr w:rsidR="007432B3" w:rsidRPr="00F66924">
        <w:trPr>
          <w:jc w:val="center"/>
        </w:trPr>
        <w:tc>
          <w:tcPr>
            <w:tcW w:w="4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b/>
              </w:rPr>
              <w:t>Plus-value nette d’impôt</w:t>
            </w:r>
          </w:p>
        </w:tc>
        <w:tc>
          <w:tcPr>
            <w:tcW w:w="23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rPr>
                <w:b/>
              </w:rPr>
              <w:t>-2 069</w:t>
            </w:r>
          </w:p>
        </w:tc>
      </w:tr>
    </w:tbl>
    <w:p w:rsidR="00817C79" w:rsidRDefault="00817C79" w:rsidP="00A43B0A">
      <w:pPr>
        <w:pStyle w:val="Standard"/>
        <w:spacing w:after="0" w:line="240" w:lineRule="auto"/>
        <w:rPr>
          <w:b/>
        </w:rPr>
      </w:pPr>
    </w:p>
    <w:p w:rsidR="007432B3" w:rsidRDefault="007432B3" w:rsidP="00A43B0A">
      <w:pPr>
        <w:pStyle w:val="Standard"/>
        <w:spacing w:after="0" w:line="240" w:lineRule="auto"/>
      </w:pPr>
    </w:p>
    <w:p w:rsidR="00817C79" w:rsidRDefault="00A80301" w:rsidP="00A43B0A">
      <w:pPr>
        <w:pStyle w:val="Standard"/>
        <w:spacing w:after="0" w:line="240" w:lineRule="auto"/>
      </w:pPr>
      <w:r>
        <w:t>Quote-part de subvention d’investissement virée au résultat : lecture directe sur le compte de résultat</w:t>
      </w:r>
    </w:p>
    <w:p w:rsidR="00817C79" w:rsidRDefault="00817C79" w:rsidP="00A43B0A">
      <w:pPr>
        <w:pStyle w:val="Standard"/>
        <w:spacing w:after="0" w:line="240" w:lineRule="auto"/>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808"/>
        <w:gridCol w:w="1569"/>
        <w:gridCol w:w="1569"/>
      </w:tblGrid>
      <w:tr w:rsidR="007432B3" w:rsidRPr="00F66924">
        <w:trPr>
          <w:jc w:val="center"/>
        </w:trPr>
        <w:tc>
          <w:tcPr>
            <w:tcW w:w="4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center"/>
            </w:pP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center"/>
            </w:pPr>
            <w:r>
              <w:t>31/12/2012</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center"/>
            </w:pPr>
            <w:r>
              <w:t>31/12/2011</w:t>
            </w:r>
          </w:p>
        </w:tc>
      </w:tr>
      <w:tr w:rsidR="007432B3" w:rsidRPr="00F66924">
        <w:trPr>
          <w:jc w:val="center"/>
        </w:trPr>
        <w:tc>
          <w:tcPr>
            <w:tcW w:w="4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+Stock de matières</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51 477</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19 878</w:t>
            </w:r>
          </w:p>
        </w:tc>
      </w:tr>
      <w:tr w:rsidR="007432B3" w:rsidRPr="00F66924">
        <w:trPr>
          <w:jc w:val="center"/>
        </w:trPr>
        <w:tc>
          <w:tcPr>
            <w:tcW w:w="4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+Stock de produits finis</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208 447</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179 979</w:t>
            </w:r>
          </w:p>
        </w:tc>
      </w:tr>
      <w:tr w:rsidR="007432B3" w:rsidRPr="00F66924">
        <w:trPr>
          <w:jc w:val="center"/>
        </w:trPr>
        <w:tc>
          <w:tcPr>
            <w:tcW w:w="4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+Stock de marchandises</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7 399</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22 458</w:t>
            </w:r>
          </w:p>
        </w:tc>
      </w:tr>
      <w:tr w:rsidR="007432B3" w:rsidRPr="00F66924">
        <w:trPr>
          <w:jc w:val="center"/>
        </w:trPr>
        <w:tc>
          <w:tcPr>
            <w:tcW w:w="4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Total</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267 323</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222 315</w:t>
            </w:r>
          </w:p>
        </w:tc>
      </w:tr>
      <w:tr w:rsidR="007432B3" w:rsidRPr="00F66924">
        <w:trPr>
          <w:jc w:val="center"/>
        </w:trPr>
        <w:tc>
          <w:tcPr>
            <w:tcW w:w="4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pPr>
            <w:r>
              <w:rPr>
                <w:b/>
              </w:rPr>
              <w:t>Variation des stocks (augmentation)</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rPr>
                <w:b/>
              </w:rPr>
              <w:t>+ 45 008</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tc>
      </w:tr>
    </w:tbl>
    <w:p w:rsidR="00817C79" w:rsidRDefault="00817C79" w:rsidP="00A43B0A">
      <w:pPr>
        <w:pStyle w:val="Standard"/>
        <w:spacing w:after="0" w:line="240" w:lineRule="auto"/>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812"/>
        <w:gridCol w:w="1567"/>
        <w:gridCol w:w="1568"/>
      </w:tblGrid>
      <w:tr w:rsidR="007432B3" w:rsidRPr="00F66924">
        <w:trPr>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center"/>
            </w:pPr>
          </w:p>
        </w:tc>
        <w:tc>
          <w:tcPr>
            <w:tcW w:w="1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center"/>
            </w:pPr>
            <w:r>
              <w:t>31/12/2012</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center"/>
            </w:pPr>
            <w:r>
              <w:t>31/12/2011</w:t>
            </w:r>
          </w:p>
        </w:tc>
      </w:tr>
      <w:tr w:rsidR="007432B3" w:rsidRPr="00F66924">
        <w:trPr>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+Créances clients et comptes rattachés</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233 170</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146 548</w:t>
            </w:r>
          </w:p>
        </w:tc>
      </w:tr>
      <w:tr w:rsidR="007432B3" w:rsidRPr="00F66924">
        <w:trPr>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+Charges constatées d’avance</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59 899</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97 929</w:t>
            </w:r>
          </w:p>
        </w:tc>
      </w:tr>
      <w:tr w:rsidR="007432B3" w:rsidRPr="00F66924">
        <w:trPr>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Total</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293 069</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244 477</w:t>
            </w:r>
          </w:p>
        </w:tc>
      </w:tr>
      <w:tr w:rsidR="007432B3" w:rsidRPr="00F66924">
        <w:trPr>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b/>
              </w:rPr>
              <w:t>Variation des créances d’exploitation (augmentation)</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rPr>
                <w:b/>
              </w:rPr>
              <w:t>48 592</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p>
        </w:tc>
      </w:tr>
    </w:tbl>
    <w:p w:rsidR="00817C79" w:rsidRDefault="00817C79" w:rsidP="00A43B0A">
      <w:pPr>
        <w:pStyle w:val="Standard"/>
        <w:spacing w:after="0" w:line="240" w:lineRule="auto"/>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812"/>
        <w:gridCol w:w="1567"/>
        <w:gridCol w:w="1568"/>
      </w:tblGrid>
      <w:tr w:rsidR="007432B3" w:rsidRPr="00F66924">
        <w:trPr>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center"/>
            </w:pPr>
          </w:p>
        </w:tc>
        <w:tc>
          <w:tcPr>
            <w:tcW w:w="1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center"/>
            </w:pPr>
            <w:r>
              <w:t>31/12/2012</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center"/>
            </w:pPr>
            <w:r>
              <w:t>31/12/2011</w:t>
            </w:r>
          </w:p>
        </w:tc>
      </w:tr>
      <w:tr w:rsidR="007432B3" w:rsidRPr="00F66924">
        <w:trPr>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 Avances et acomptes reçus sur commande</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0</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3 032</w:t>
            </w:r>
          </w:p>
        </w:tc>
      </w:tr>
      <w:tr w:rsidR="007432B3" w:rsidRPr="00F66924">
        <w:trPr>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 Dettes fournisseur et comptes rattachés</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148 830</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130 907</w:t>
            </w:r>
          </w:p>
        </w:tc>
      </w:tr>
      <w:tr w:rsidR="007432B3" w:rsidRPr="00F66924">
        <w:trPr>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A5320">
            <w:pPr>
              <w:pStyle w:val="Standard"/>
              <w:spacing w:after="0" w:line="240" w:lineRule="auto"/>
            </w:pPr>
            <w:r w:rsidRPr="00AA5320">
              <w:rPr>
                <w:b/>
              </w:rPr>
              <w:t>-</w:t>
            </w:r>
            <w:r>
              <w:rPr>
                <w:b/>
              </w:rPr>
              <w:t xml:space="preserve"> </w:t>
            </w:r>
            <w:r>
              <w:t xml:space="preserve">Ecarts de conversion </w:t>
            </w:r>
            <w:proofErr w:type="gramStart"/>
            <w:r>
              <w:t>actif</w:t>
            </w:r>
            <w:proofErr w:type="gramEnd"/>
          </w:p>
        </w:tc>
        <w:tc>
          <w:tcPr>
            <w:tcW w:w="1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-369</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p>
        </w:tc>
      </w:tr>
      <w:tr w:rsidR="007432B3" w:rsidRPr="00F66924">
        <w:trPr>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 xml:space="preserve">+ Ecarts de conversion </w:t>
            </w:r>
            <w:proofErr w:type="gramStart"/>
            <w:r>
              <w:t>passif</w:t>
            </w:r>
            <w:proofErr w:type="gramEnd"/>
          </w:p>
        </w:tc>
        <w:tc>
          <w:tcPr>
            <w:tcW w:w="1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922</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1165</w:t>
            </w:r>
          </w:p>
        </w:tc>
      </w:tr>
      <w:tr w:rsidR="007432B3" w:rsidRPr="00F66924">
        <w:trPr>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 Dettes fiscales et sociales</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67 215</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71 477</w:t>
            </w:r>
          </w:p>
        </w:tc>
      </w:tr>
      <w:tr w:rsidR="007432B3" w:rsidRPr="00F66924">
        <w:trPr>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tc>
        <w:tc>
          <w:tcPr>
            <w:tcW w:w="1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216 598</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206 581</w:t>
            </w:r>
          </w:p>
        </w:tc>
      </w:tr>
      <w:tr w:rsidR="007432B3" w:rsidRPr="00F66924">
        <w:trPr>
          <w:jc w:val="center"/>
        </w:trPr>
        <w:tc>
          <w:tcPr>
            <w:tcW w:w="4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b/>
              </w:rPr>
              <w:t>Variation des dettes d’exploitation (augmentation)</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rPr>
                <w:b/>
              </w:rPr>
              <w:t>10 017</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p>
        </w:tc>
      </w:tr>
    </w:tbl>
    <w:p w:rsidR="00817C79" w:rsidRDefault="00817C79" w:rsidP="00A43B0A">
      <w:pPr>
        <w:pStyle w:val="Standard"/>
        <w:spacing w:after="0" w:line="240" w:lineRule="auto"/>
      </w:pPr>
    </w:p>
    <w:p w:rsidR="00817C79" w:rsidRDefault="00817C79" w:rsidP="00A43B0A">
      <w:pPr>
        <w:pStyle w:val="Standard"/>
        <w:spacing w:after="0" w:line="240" w:lineRule="auto"/>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795"/>
        <w:gridCol w:w="1569"/>
        <w:gridCol w:w="1570"/>
      </w:tblGrid>
      <w:tr w:rsidR="007432B3" w:rsidRPr="00F66924">
        <w:trPr>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center"/>
            </w:pP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center"/>
            </w:pPr>
            <w:r>
              <w:t>31/12/2012</w:t>
            </w: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center"/>
            </w:pPr>
            <w:r>
              <w:t>31/12/2011</w:t>
            </w:r>
          </w:p>
        </w:tc>
      </w:tr>
      <w:tr w:rsidR="007432B3" w:rsidRPr="00F66924">
        <w:trPr>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+créances diverses</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43 722</w:t>
            </w: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t>67 893</w:t>
            </w:r>
          </w:p>
        </w:tc>
      </w:tr>
      <w:tr w:rsidR="007432B3" w:rsidRPr="00F66924">
        <w:trPr>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b/>
              </w:rPr>
              <w:t>Variation autres créances liées à l’activité (diminution)</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r>
              <w:rPr>
                <w:b/>
              </w:rPr>
              <w:t>-24 171</w:t>
            </w: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D61461">
            <w:pPr>
              <w:pStyle w:val="Standard"/>
              <w:spacing w:after="0" w:line="240" w:lineRule="auto"/>
              <w:jc w:val="right"/>
            </w:pPr>
          </w:p>
        </w:tc>
      </w:tr>
    </w:tbl>
    <w:p w:rsidR="00817C79" w:rsidRDefault="00817C79" w:rsidP="00A43B0A">
      <w:pPr>
        <w:pStyle w:val="Standard"/>
        <w:spacing w:after="0" w:line="240" w:lineRule="auto"/>
      </w:pPr>
    </w:p>
    <w:p w:rsidR="007432B3" w:rsidRDefault="007432B3">
      <w:pPr>
        <w:rPr>
          <w:rFonts w:ascii="Times New Roman" w:hAnsi="Times New Roman"/>
          <w:color w:val="00000A"/>
          <w:sz w:val="24"/>
          <w:szCs w:val="24"/>
        </w:rPr>
      </w:pPr>
      <w:r>
        <w:br w:type="page"/>
      </w:r>
    </w:p>
    <w:p w:rsidR="00B140AD" w:rsidRDefault="00B140AD" w:rsidP="00A43B0A">
      <w:pPr>
        <w:pStyle w:val="Standard"/>
        <w:spacing w:after="0" w:line="240" w:lineRule="auto"/>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795"/>
        <w:gridCol w:w="1569"/>
        <w:gridCol w:w="1570"/>
      </w:tblGrid>
      <w:tr w:rsidR="007432B3" w:rsidRPr="00F66924">
        <w:trPr>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spacing w:after="0" w:line="240" w:lineRule="auto"/>
              <w:jc w:val="center"/>
            </w:pP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spacing w:after="0" w:line="240" w:lineRule="auto"/>
              <w:jc w:val="center"/>
            </w:pPr>
            <w:r>
              <w:t>31/12/2012</w:t>
            </w: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spacing w:after="0" w:line="240" w:lineRule="auto"/>
              <w:jc w:val="center"/>
            </w:pPr>
            <w:r>
              <w:t>31/12/2011</w:t>
            </w:r>
          </w:p>
        </w:tc>
      </w:tr>
      <w:tr w:rsidR="007432B3" w:rsidRPr="00F66924">
        <w:trPr>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+intérêts courus sur emprunts</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spacing w:after="0" w:line="240" w:lineRule="auto"/>
              <w:jc w:val="right"/>
            </w:pPr>
            <w:r>
              <w:t>308</w:t>
            </w: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spacing w:after="0" w:line="240" w:lineRule="auto"/>
              <w:jc w:val="right"/>
            </w:pPr>
            <w:r>
              <w:t>442</w:t>
            </w:r>
          </w:p>
        </w:tc>
      </w:tr>
      <w:tr w:rsidR="007432B3" w:rsidRPr="00F66924">
        <w:trPr>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b/>
              </w:rPr>
              <w:t>Variation autres dettes liées à l’activité (diminution)</w:t>
            </w:r>
          </w:p>
        </w:tc>
        <w:tc>
          <w:tcPr>
            <w:tcW w:w="1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spacing w:after="0" w:line="240" w:lineRule="auto"/>
              <w:jc w:val="right"/>
            </w:pPr>
            <w:r>
              <w:rPr>
                <w:b/>
              </w:rPr>
              <w:t>-134</w:t>
            </w: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spacing w:after="0" w:line="240" w:lineRule="auto"/>
              <w:jc w:val="right"/>
            </w:pPr>
          </w:p>
        </w:tc>
      </w:tr>
    </w:tbl>
    <w:p w:rsidR="00817C79" w:rsidRDefault="00817C79" w:rsidP="00A43B0A">
      <w:pPr>
        <w:pStyle w:val="Standard"/>
        <w:spacing w:after="0" w:line="240" w:lineRule="auto"/>
      </w:pPr>
    </w:p>
    <w:p w:rsidR="00B140AD" w:rsidRDefault="00B140AD" w:rsidP="00A43B0A">
      <w:pPr>
        <w:pStyle w:val="Standard"/>
        <w:spacing w:after="0" w:line="240" w:lineRule="auto"/>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667"/>
        <w:gridCol w:w="1636"/>
      </w:tblGrid>
      <w:tr w:rsidR="007432B3" w:rsidRPr="00F66924">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tc>
      </w:tr>
      <w:tr w:rsidR="007432B3" w:rsidRPr="00F66924">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Total de la col</w:t>
            </w:r>
            <w:r w:rsidR="006E44D6">
              <w:t xml:space="preserve">onne augmentation – tableau </w:t>
            </w:r>
            <w:proofErr w:type="gramStart"/>
            <w:r w:rsidR="006E44D6">
              <w:t xml:space="preserve">des </w:t>
            </w:r>
            <w:r>
              <w:t>immob</w:t>
            </w:r>
            <w:proofErr w:type="gramEnd"/>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spacing w:after="0" w:line="240" w:lineRule="auto"/>
              <w:jc w:val="right"/>
            </w:pPr>
            <w:r>
              <w:t>38 496</w:t>
            </w:r>
          </w:p>
        </w:tc>
      </w:tr>
      <w:tr w:rsidR="007432B3" w:rsidRPr="00F66924">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numPr>
                <w:ilvl w:val="0"/>
                <w:numId w:val="1"/>
              </w:numPr>
              <w:spacing w:after="0" w:line="240" w:lineRule="auto"/>
            </w:pPr>
            <w:r>
              <w:t>Diminution des immobilisations en cours</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numPr>
                <w:ilvl w:val="0"/>
                <w:numId w:val="1"/>
              </w:numPr>
              <w:spacing w:after="0" w:line="240" w:lineRule="auto"/>
              <w:jc w:val="right"/>
            </w:pPr>
            <w:r>
              <w:t>3 500</w:t>
            </w:r>
          </w:p>
        </w:tc>
      </w:tr>
      <w:tr w:rsidR="007432B3" w:rsidRPr="00F66924">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spacing w:after="0" w:line="240" w:lineRule="auto"/>
            </w:pPr>
            <w:r>
              <w:rPr>
                <w:b/>
              </w:rPr>
              <w:t>Total des acquisitions d’immobilisations</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spacing w:after="0" w:line="240" w:lineRule="auto"/>
              <w:ind w:left="252"/>
              <w:jc w:val="right"/>
            </w:pPr>
            <w:r>
              <w:rPr>
                <w:b/>
              </w:rPr>
              <w:t>34 996</w:t>
            </w:r>
          </w:p>
        </w:tc>
      </w:tr>
    </w:tbl>
    <w:p w:rsidR="00817C79" w:rsidRDefault="00817C79" w:rsidP="00A43B0A">
      <w:pPr>
        <w:pStyle w:val="Standard"/>
        <w:spacing w:after="0" w:line="240" w:lineRule="auto"/>
      </w:pPr>
    </w:p>
    <w:p w:rsidR="00B140AD" w:rsidRDefault="00B140AD" w:rsidP="00A43B0A">
      <w:pPr>
        <w:pStyle w:val="Standard"/>
        <w:spacing w:after="0" w:line="240" w:lineRule="auto"/>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667"/>
        <w:gridCol w:w="1636"/>
      </w:tblGrid>
      <w:tr w:rsidR="007432B3" w:rsidRPr="00F66924">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Prix de cession des immobilisations</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spacing w:after="0" w:line="240" w:lineRule="auto"/>
              <w:jc w:val="right"/>
            </w:pPr>
            <w:r>
              <w:t>4 780</w:t>
            </w:r>
          </w:p>
        </w:tc>
      </w:tr>
      <w:tr w:rsidR="007432B3" w:rsidRPr="00F66924">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Impôts sur plus-value de cession</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spacing w:after="0" w:line="240" w:lineRule="auto"/>
              <w:jc w:val="right"/>
            </w:pPr>
            <w:r>
              <w:t>-1 034</w:t>
            </w:r>
          </w:p>
        </w:tc>
      </w:tr>
      <w:tr w:rsidR="007432B3" w:rsidRPr="00F66924">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b/>
              </w:rPr>
              <w:t>Cession d’immobilisation nette d’impôt</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6E44D6">
            <w:pPr>
              <w:pStyle w:val="Standard"/>
              <w:spacing w:after="0" w:line="240" w:lineRule="auto"/>
              <w:jc w:val="right"/>
            </w:pPr>
            <w:r>
              <w:rPr>
                <w:b/>
              </w:rPr>
              <w:t>3 746</w:t>
            </w:r>
          </w:p>
        </w:tc>
      </w:tr>
    </w:tbl>
    <w:p w:rsidR="00817C79" w:rsidRDefault="00817C79" w:rsidP="00A43B0A">
      <w:pPr>
        <w:pStyle w:val="Standard"/>
        <w:spacing w:after="0" w:line="240" w:lineRule="auto"/>
      </w:pPr>
    </w:p>
    <w:p w:rsidR="00B140AD" w:rsidRDefault="00B140AD" w:rsidP="00A43B0A">
      <w:pPr>
        <w:pStyle w:val="Standard"/>
        <w:spacing w:after="0" w:line="240" w:lineRule="auto"/>
      </w:pPr>
    </w:p>
    <w:p w:rsidR="00817C79" w:rsidRPr="00B140AD" w:rsidRDefault="00A80301" w:rsidP="00A43B0A">
      <w:pPr>
        <w:pStyle w:val="Standard"/>
        <w:spacing w:after="0" w:line="240" w:lineRule="auto"/>
        <w:rPr>
          <w:b/>
        </w:rPr>
      </w:pPr>
      <w:r w:rsidRPr="00B140AD">
        <w:rPr>
          <w:b/>
        </w:rPr>
        <w:t xml:space="preserve">Réduction d’immobilisations financières : </w:t>
      </w:r>
      <w:r w:rsidR="007432B3">
        <w:rPr>
          <w:b/>
        </w:rPr>
        <w:t>remboursement de prêt : 500€</w:t>
      </w:r>
    </w:p>
    <w:p w:rsidR="00817C79" w:rsidRDefault="00817C79" w:rsidP="00A43B0A">
      <w:pPr>
        <w:pStyle w:val="Standard"/>
        <w:spacing w:after="0" w:line="240" w:lineRule="auto"/>
      </w:pPr>
    </w:p>
    <w:p w:rsidR="00B140AD" w:rsidRDefault="00B140AD" w:rsidP="00A43B0A">
      <w:pPr>
        <w:pStyle w:val="Standard"/>
        <w:spacing w:after="0" w:line="240" w:lineRule="auto"/>
      </w:pPr>
    </w:p>
    <w:p w:rsidR="00817C79" w:rsidRPr="00B140AD" w:rsidRDefault="00A80301" w:rsidP="00A43B0A">
      <w:pPr>
        <w:pStyle w:val="Standard"/>
        <w:spacing w:after="0" w:line="240" w:lineRule="auto"/>
        <w:rPr>
          <w:b/>
        </w:rPr>
      </w:pPr>
      <w:r w:rsidRPr="00B140AD">
        <w:rPr>
          <w:b/>
        </w:rPr>
        <w:t>Variation des dettes sur immobilisati</w:t>
      </w:r>
      <w:r w:rsidR="00B140AD" w:rsidRPr="00B140AD">
        <w:rPr>
          <w:b/>
        </w:rPr>
        <w:t>ons : augmentation de</w:t>
      </w:r>
      <w:r w:rsidR="00B140AD">
        <w:rPr>
          <w:b/>
        </w:rPr>
        <w:t xml:space="preserve"> 2 519€</w:t>
      </w:r>
    </w:p>
    <w:p w:rsidR="00817C79" w:rsidRDefault="00817C79" w:rsidP="00A43B0A">
      <w:pPr>
        <w:pStyle w:val="Standard"/>
        <w:spacing w:after="0" w:line="240" w:lineRule="auto"/>
      </w:pPr>
    </w:p>
    <w:p w:rsidR="00B140AD" w:rsidRDefault="00B140AD" w:rsidP="00A43B0A">
      <w:pPr>
        <w:pStyle w:val="Standard"/>
        <w:spacing w:after="0" w:line="240" w:lineRule="auto"/>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667"/>
        <w:gridCol w:w="1636"/>
      </w:tblGrid>
      <w:tr w:rsidR="007432B3"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Augmentation de capital 364 889 – 314 889</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right"/>
            </w:pPr>
            <w:r>
              <w:t>50 000</w:t>
            </w:r>
          </w:p>
        </w:tc>
      </w:tr>
      <w:tr w:rsidR="007432B3"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 incorporation de réserves 115 860 – 85 860</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right"/>
            </w:pPr>
            <w:r>
              <w:t>-30 000</w:t>
            </w:r>
          </w:p>
        </w:tc>
      </w:tr>
      <w:tr w:rsidR="007432B3"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 Augmentation de capital par apports nouveaux</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right"/>
            </w:pPr>
            <w:r>
              <w:t>20 000</w:t>
            </w:r>
          </w:p>
        </w:tc>
      </w:tr>
      <w:tr w:rsidR="007432B3"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 Capital souscrit appelé non versé</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right"/>
            </w:pPr>
            <w:r>
              <w:t>-10 000</w:t>
            </w:r>
          </w:p>
        </w:tc>
      </w:tr>
      <w:tr w:rsidR="007432B3"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 Prime d’émission</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right"/>
            </w:pPr>
            <w:r>
              <w:t>7 373</w:t>
            </w:r>
          </w:p>
        </w:tc>
      </w:tr>
      <w:tr w:rsidR="007432B3"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Pr="00B140AD" w:rsidRDefault="007432B3" w:rsidP="00A43B0A">
            <w:pPr>
              <w:pStyle w:val="Standard"/>
              <w:spacing w:after="0" w:line="240" w:lineRule="auto"/>
              <w:rPr>
                <w:b/>
              </w:rPr>
            </w:pPr>
            <w:r w:rsidRPr="00B140AD">
              <w:rPr>
                <w:b/>
              </w:rPr>
              <w:t>= Apports nouveaux libérés</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Pr="00B140AD" w:rsidRDefault="007432B3" w:rsidP="00A43B0A">
            <w:pPr>
              <w:pStyle w:val="Standard"/>
              <w:spacing w:after="0" w:line="240" w:lineRule="auto"/>
              <w:jc w:val="right"/>
              <w:rPr>
                <w:b/>
              </w:rPr>
            </w:pPr>
            <w:r w:rsidRPr="00B140AD">
              <w:rPr>
                <w:b/>
              </w:rPr>
              <w:t>17 373</w:t>
            </w:r>
          </w:p>
        </w:tc>
      </w:tr>
    </w:tbl>
    <w:p w:rsidR="00817C79" w:rsidRDefault="00817C79" w:rsidP="00A43B0A">
      <w:pPr>
        <w:pStyle w:val="Standard"/>
        <w:spacing w:after="0" w:line="240" w:lineRule="auto"/>
      </w:pPr>
    </w:p>
    <w:p w:rsidR="00B140AD" w:rsidRDefault="00B140AD" w:rsidP="00A43B0A">
      <w:pPr>
        <w:pStyle w:val="Standard"/>
        <w:spacing w:after="0" w:line="240" w:lineRule="auto"/>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667"/>
        <w:gridCol w:w="1638"/>
      </w:tblGrid>
      <w:tr w:rsidR="00817C79"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pPr>
            <w:r>
              <w:t xml:space="preserve">Emprunts auprès des </w:t>
            </w:r>
            <w:proofErr w:type="spellStart"/>
            <w:r>
              <w:t>établiss</w:t>
            </w:r>
            <w:proofErr w:type="spellEnd"/>
            <w:r>
              <w:t>. de crédit au 31/12/2012 :</w:t>
            </w:r>
          </w:p>
        </w:tc>
        <w:tc>
          <w:tcPr>
            <w:tcW w:w="16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jc w:val="right"/>
            </w:pPr>
            <w:r>
              <w:t>242 752</w:t>
            </w:r>
          </w:p>
        </w:tc>
      </w:tr>
      <w:tr w:rsidR="00817C79"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pPr>
            <w:r>
              <w:t>Emprunts et dettes financières divers au 31/12/2012</w:t>
            </w:r>
          </w:p>
        </w:tc>
        <w:tc>
          <w:tcPr>
            <w:tcW w:w="16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jc w:val="right"/>
            </w:pPr>
            <w:r>
              <w:t>61 438</w:t>
            </w:r>
          </w:p>
        </w:tc>
      </w:tr>
      <w:tr w:rsidR="00817C79"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numPr>
                <w:ilvl w:val="0"/>
                <w:numId w:val="1"/>
              </w:numPr>
              <w:spacing w:after="0" w:line="240" w:lineRule="auto"/>
            </w:pPr>
            <w:r>
              <w:t>Intérêts courus au 31/12/2012</w:t>
            </w:r>
          </w:p>
        </w:tc>
        <w:tc>
          <w:tcPr>
            <w:tcW w:w="16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jc w:val="right"/>
            </w:pPr>
            <w:r>
              <w:t>-308</w:t>
            </w:r>
          </w:p>
        </w:tc>
      </w:tr>
      <w:tr w:rsidR="00817C79"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numPr>
                <w:ilvl w:val="0"/>
                <w:numId w:val="1"/>
              </w:numPr>
              <w:spacing w:after="0" w:line="240" w:lineRule="auto"/>
            </w:pPr>
            <w:r>
              <w:t>Concours bancaires courants au 31/12/2012</w:t>
            </w:r>
          </w:p>
        </w:tc>
        <w:tc>
          <w:tcPr>
            <w:tcW w:w="16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jc w:val="right"/>
            </w:pPr>
            <w:r>
              <w:t>-15 354</w:t>
            </w:r>
          </w:p>
        </w:tc>
      </w:tr>
      <w:tr w:rsidR="00817C79"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817C79" w:rsidP="00A43B0A">
            <w:pPr>
              <w:pStyle w:val="Standard"/>
              <w:spacing w:after="0" w:line="240" w:lineRule="auto"/>
            </w:pPr>
          </w:p>
        </w:tc>
        <w:tc>
          <w:tcPr>
            <w:tcW w:w="16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jc w:val="right"/>
            </w:pPr>
            <w:r>
              <w:rPr>
                <w:b/>
              </w:rPr>
              <w:t>288 528</w:t>
            </w:r>
          </w:p>
        </w:tc>
      </w:tr>
      <w:tr w:rsidR="00817C79"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pPr>
            <w:r>
              <w:t xml:space="preserve">Emprunts auprès des </w:t>
            </w:r>
            <w:proofErr w:type="spellStart"/>
            <w:r>
              <w:t>établiss</w:t>
            </w:r>
            <w:proofErr w:type="spellEnd"/>
            <w:r>
              <w:t>. de crédit au 31/12/2011 :</w:t>
            </w:r>
          </w:p>
        </w:tc>
        <w:tc>
          <w:tcPr>
            <w:tcW w:w="16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jc w:val="right"/>
            </w:pPr>
            <w:r>
              <w:t>202 744</w:t>
            </w:r>
          </w:p>
        </w:tc>
      </w:tr>
      <w:tr w:rsidR="00817C79"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pPr>
            <w:r>
              <w:t>Emprunts et dettes financières divers au 31/12/2011</w:t>
            </w:r>
          </w:p>
        </w:tc>
        <w:tc>
          <w:tcPr>
            <w:tcW w:w="16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jc w:val="right"/>
            </w:pPr>
            <w:r>
              <w:t>82 975</w:t>
            </w:r>
          </w:p>
        </w:tc>
      </w:tr>
      <w:tr w:rsidR="00817C79"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numPr>
                <w:ilvl w:val="0"/>
                <w:numId w:val="1"/>
              </w:numPr>
              <w:spacing w:after="0" w:line="240" w:lineRule="auto"/>
            </w:pPr>
            <w:r>
              <w:t>Intérêts courus au 31/12/2011</w:t>
            </w:r>
          </w:p>
        </w:tc>
        <w:tc>
          <w:tcPr>
            <w:tcW w:w="16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jc w:val="right"/>
            </w:pPr>
            <w:r>
              <w:t>-22 640</w:t>
            </w:r>
          </w:p>
        </w:tc>
      </w:tr>
      <w:tr w:rsidR="00817C79"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numPr>
                <w:ilvl w:val="0"/>
                <w:numId w:val="1"/>
              </w:numPr>
              <w:spacing w:after="0" w:line="240" w:lineRule="auto"/>
            </w:pPr>
            <w:r>
              <w:t>Concours bancaires courants au 31/12/2011</w:t>
            </w:r>
          </w:p>
        </w:tc>
        <w:tc>
          <w:tcPr>
            <w:tcW w:w="16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jc w:val="right"/>
            </w:pPr>
            <w:r>
              <w:t>-442</w:t>
            </w:r>
          </w:p>
        </w:tc>
      </w:tr>
      <w:tr w:rsidR="00817C79"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817C79" w:rsidP="00A43B0A">
            <w:pPr>
              <w:pStyle w:val="Standard"/>
              <w:spacing w:after="0" w:line="240" w:lineRule="auto"/>
            </w:pPr>
          </w:p>
        </w:tc>
        <w:tc>
          <w:tcPr>
            <w:tcW w:w="16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jc w:val="right"/>
            </w:pPr>
            <w:r>
              <w:rPr>
                <w:b/>
              </w:rPr>
              <w:t>262 637</w:t>
            </w:r>
          </w:p>
        </w:tc>
      </w:tr>
      <w:tr w:rsidR="00817C79"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pPr>
            <w:r>
              <w:t>Emprunts remboursés au cours de l’exercice</w:t>
            </w:r>
          </w:p>
        </w:tc>
        <w:tc>
          <w:tcPr>
            <w:tcW w:w="16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jc w:val="right"/>
            </w:pPr>
            <w:r>
              <w:t>6 800</w:t>
            </w:r>
          </w:p>
        </w:tc>
      </w:tr>
      <w:tr w:rsidR="00817C79" w:rsidRPr="00F66924" w:rsidTr="00B140AD">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pPr>
            <w:r>
              <w:t>Emprunts contractés dans l’exercice</w:t>
            </w:r>
          </w:p>
          <w:p w:rsidR="00817C79" w:rsidRDefault="00A80301" w:rsidP="00A43B0A">
            <w:pPr>
              <w:pStyle w:val="Standard"/>
              <w:spacing w:after="0" w:line="240" w:lineRule="auto"/>
            </w:pPr>
            <w:r>
              <w:t>288 528 – (262 637 – 6 800)</w:t>
            </w:r>
          </w:p>
        </w:tc>
        <w:tc>
          <w:tcPr>
            <w:tcW w:w="16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17C79" w:rsidRDefault="00A80301" w:rsidP="00A43B0A">
            <w:pPr>
              <w:pStyle w:val="Standard"/>
              <w:spacing w:after="0" w:line="240" w:lineRule="auto"/>
              <w:jc w:val="right"/>
            </w:pPr>
            <w:r>
              <w:t>32 691</w:t>
            </w:r>
          </w:p>
        </w:tc>
      </w:tr>
    </w:tbl>
    <w:p w:rsidR="00817C79" w:rsidRDefault="00817C79" w:rsidP="00A43B0A">
      <w:pPr>
        <w:pStyle w:val="Standard"/>
        <w:spacing w:after="0" w:line="240" w:lineRule="auto"/>
      </w:pPr>
    </w:p>
    <w:p w:rsidR="00B140AD" w:rsidRDefault="00B140AD" w:rsidP="00A43B0A">
      <w:pPr>
        <w:pStyle w:val="Standard"/>
        <w:spacing w:after="0" w:line="240" w:lineRule="auto"/>
      </w:pPr>
    </w:p>
    <w:p w:rsidR="00B140AD" w:rsidRDefault="00B140AD" w:rsidP="00A43B0A">
      <w:pPr>
        <w:pStyle w:val="Standard"/>
        <w:spacing w:after="0" w:line="240" w:lineRule="auto"/>
      </w:pPr>
    </w:p>
    <w:p w:rsidR="007432B3" w:rsidRDefault="007432B3">
      <w:pPr>
        <w:rPr>
          <w:rFonts w:ascii="Times New Roman" w:hAnsi="Times New Roman"/>
          <w:color w:val="00000A"/>
          <w:sz w:val="24"/>
          <w:szCs w:val="24"/>
        </w:rPr>
      </w:pPr>
      <w:r>
        <w:br w:type="page"/>
      </w:r>
    </w:p>
    <w:p w:rsidR="002447CC" w:rsidRDefault="002447CC" w:rsidP="00A43B0A">
      <w:pPr>
        <w:pStyle w:val="Standard"/>
        <w:spacing w:after="0" w:line="240" w:lineRule="auto"/>
      </w:pPr>
      <w:r>
        <w:lastRenderedPageBreak/>
        <w:t>Émissions d’emprunts</w:t>
      </w:r>
    </w:p>
    <w:p w:rsidR="002447CC" w:rsidRDefault="002447CC" w:rsidP="00A43B0A">
      <w:pPr>
        <w:pStyle w:val="Standard"/>
        <w:spacing w:after="0" w:line="240" w:lineRule="auto"/>
      </w:pPr>
    </w:p>
    <w:tbl>
      <w:tblPr>
        <w:tblW w:w="0" w:type="auto"/>
        <w:jc w:val="center"/>
        <w:tblInd w:w="-32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1491"/>
        <w:gridCol w:w="1476"/>
        <w:gridCol w:w="1464"/>
        <w:gridCol w:w="1790"/>
        <w:gridCol w:w="1590"/>
      </w:tblGrid>
      <w:tr w:rsidR="007432B3" w:rsidRPr="00F66924" w:rsidTr="007432B3">
        <w:trPr>
          <w:jc w:val="center"/>
        </w:trPr>
        <w:tc>
          <w:tcPr>
            <w:tcW w:w="14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center"/>
            </w:pPr>
          </w:p>
        </w:tc>
        <w:tc>
          <w:tcPr>
            <w:tcW w:w="1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center"/>
            </w:pPr>
            <w:r>
              <w:t>n</w:t>
            </w:r>
          </w:p>
        </w:tc>
        <w:tc>
          <w:tcPr>
            <w:tcW w:w="1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center"/>
            </w:pPr>
            <w:r>
              <w:t>n-1</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center"/>
            </w:pPr>
            <w:r>
              <w:t>Remboursement</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center"/>
            </w:pPr>
            <w:r>
              <w:t>Augmentation</w:t>
            </w:r>
          </w:p>
        </w:tc>
      </w:tr>
      <w:tr w:rsidR="007432B3" w:rsidRPr="00F66924" w:rsidTr="007432B3">
        <w:trPr>
          <w:jc w:val="center"/>
        </w:trPr>
        <w:tc>
          <w:tcPr>
            <w:tcW w:w="14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Crédit</w:t>
            </w:r>
          </w:p>
        </w:tc>
        <w:tc>
          <w:tcPr>
            <w:tcW w:w="1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r>
              <w:t>242 572</w:t>
            </w:r>
          </w:p>
        </w:tc>
        <w:tc>
          <w:tcPr>
            <w:tcW w:w="1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r>
              <w:t>202 744</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p>
        </w:tc>
      </w:tr>
      <w:tr w:rsidR="007432B3" w:rsidRPr="00F66924" w:rsidTr="007432B3">
        <w:trPr>
          <w:jc w:val="center"/>
        </w:trPr>
        <w:tc>
          <w:tcPr>
            <w:tcW w:w="14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Dettes</w:t>
            </w:r>
          </w:p>
        </w:tc>
        <w:tc>
          <w:tcPr>
            <w:tcW w:w="1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r>
              <w:t>61 438</w:t>
            </w:r>
          </w:p>
        </w:tc>
        <w:tc>
          <w:tcPr>
            <w:tcW w:w="1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r>
              <w:t>82975</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p>
        </w:tc>
      </w:tr>
      <w:tr w:rsidR="007432B3" w:rsidRPr="00F66924" w:rsidTr="007432B3">
        <w:trPr>
          <w:jc w:val="center"/>
        </w:trPr>
        <w:tc>
          <w:tcPr>
            <w:tcW w:w="14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Paragraphedeliste"/>
              <w:numPr>
                <w:ilvl w:val="0"/>
                <w:numId w:val="1"/>
              </w:numPr>
              <w:spacing w:after="0" w:line="240" w:lineRule="auto"/>
            </w:pPr>
            <w:r>
              <w:t>Int courus</w:t>
            </w:r>
          </w:p>
        </w:tc>
        <w:tc>
          <w:tcPr>
            <w:tcW w:w="1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r>
              <w:t>-308</w:t>
            </w:r>
          </w:p>
        </w:tc>
        <w:tc>
          <w:tcPr>
            <w:tcW w:w="1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r>
              <w:t>-22 640</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p>
        </w:tc>
      </w:tr>
      <w:tr w:rsidR="007432B3" w:rsidRPr="00F66924" w:rsidTr="007432B3">
        <w:trPr>
          <w:jc w:val="center"/>
        </w:trPr>
        <w:tc>
          <w:tcPr>
            <w:tcW w:w="14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Paragraphedeliste"/>
              <w:numPr>
                <w:ilvl w:val="0"/>
                <w:numId w:val="1"/>
              </w:numPr>
              <w:spacing w:after="0" w:line="240" w:lineRule="auto"/>
            </w:pPr>
            <w:r>
              <w:t>CBC</w:t>
            </w:r>
          </w:p>
        </w:tc>
        <w:tc>
          <w:tcPr>
            <w:tcW w:w="1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r>
              <w:t>-15 354</w:t>
            </w:r>
          </w:p>
        </w:tc>
        <w:tc>
          <w:tcPr>
            <w:tcW w:w="1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r>
              <w:t>-442</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p>
        </w:tc>
      </w:tr>
      <w:tr w:rsidR="007432B3" w:rsidRPr="00F66924" w:rsidTr="007432B3">
        <w:trPr>
          <w:jc w:val="center"/>
        </w:trPr>
        <w:tc>
          <w:tcPr>
            <w:tcW w:w="14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Paragraphedeliste"/>
              <w:spacing w:after="0" w:line="240" w:lineRule="auto"/>
              <w:ind w:left="252"/>
            </w:pPr>
            <w:r>
              <w:t>Totaux</w:t>
            </w:r>
          </w:p>
        </w:tc>
        <w:tc>
          <w:tcPr>
            <w:tcW w:w="1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r>
              <w:t>288 528</w:t>
            </w:r>
          </w:p>
        </w:tc>
        <w:tc>
          <w:tcPr>
            <w:tcW w:w="1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r>
              <w:t>262 387</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r>
              <w:t xml:space="preserve">6 800 </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1023BE">
            <w:pPr>
              <w:pStyle w:val="Standard"/>
              <w:spacing w:after="0" w:line="240" w:lineRule="auto"/>
              <w:jc w:val="right"/>
            </w:pPr>
            <w:r w:rsidRPr="002447CC">
              <w:rPr>
                <w:b/>
              </w:rPr>
              <w:t>32 691</w:t>
            </w:r>
          </w:p>
        </w:tc>
      </w:tr>
    </w:tbl>
    <w:p w:rsidR="002447CC" w:rsidRDefault="002447CC" w:rsidP="00A43B0A">
      <w:pPr>
        <w:pStyle w:val="Standard"/>
        <w:spacing w:after="0" w:line="240" w:lineRule="auto"/>
      </w:pPr>
    </w:p>
    <w:p w:rsidR="00817C79" w:rsidRDefault="002447CC" w:rsidP="00A43B0A">
      <w:pPr>
        <w:pStyle w:val="Standard"/>
        <w:spacing w:after="0" w:line="240" w:lineRule="auto"/>
      </w:pPr>
      <w:r>
        <w:t xml:space="preserve">Remboursements d’emprunts : </w:t>
      </w:r>
      <w:r w:rsidRPr="002447CC">
        <w:rPr>
          <w:b/>
        </w:rPr>
        <w:t>6800</w:t>
      </w:r>
    </w:p>
    <w:p w:rsidR="00B140AD" w:rsidRDefault="00B140AD" w:rsidP="00A43B0A">
      <w:pPr>
        <w:pStyle w:val="Standard"/>
        <w:spacing w:after="0" w:line="240" w:lineRule="auto"/>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667"/>
        <w:gridCol w:w="1636"/>
      </w:tblGrid>
      <w:tr w:rsidR="007432B3" w:rsidRPr="00F66924">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Disponibilités au 31/12/2011</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right"/>
            </w:pPr>
            <w:r>
              <w:t>87 321</w:t>
            </w:r>
          </w:p>
        </w:tc>
      </w:tr>
      <w:tr w:rsidR="007432B3" w:rsidRPr="00F66924">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-Concours bancaires courants au 31/12/2011</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right"/>
            </w:pPr>
            <w:r>
              <w:t>-22 640</w:t>
            </w:r>
          </w:p>
        </w:tc>
      </w:tr>
      <w:tr w:rsidR="007432B3" w:rsidRPr="00F66924">
        <w:trPr>
          <w:jc w:val="center"/>
        </w:trPr>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tabs>
                <w:tab w:val="left" w:pos="960"/>
              </w:tabs>
              <w:spacing w:after="0" w:line="240" w:lineRule="auto"/>
            </w:pPr>
            <w:r>
              <w:rPr>
                <w:b/>
              </w:rPr>
              <w:t>Trésorerie à l’ouverture</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right"/>
            </w:pPr>
            <w:r>
              <w:rPr>
                <w:b/>
              </w:rPr>
              <w:t>64 681</w:t>
            </w:r>
          </w:p>
        </w:tc>
      </w:tr>
    </w:tbl>
    <w:p w:rsidR="00817C79" w:rsidRDefault="00817C79" w:rsidP="00A43B0A">
      <w:pPr>
        <w:pStyle w:val="Standard"/>
        <w:spacing w:after="0" w:line="240" w:lineRule="auto"/>
      </w:pPr>
    </w:p>
    <w:p w:rsidR="00B140AD" w:rsidRDefault="00B140AD" w:rsidP="00A43B0A">
      <w:pPr>
        <w:pStyle w:val="Standard"/>
        <w:spacing w:after="0" w:line="240" w:lineRule="auto"/>
      </w:pPr>
    </w:p>
    <w:tbl>
      <w:tblPr>
        <w:tblpPr w:leftFromText="141" w:rightFromText="141" w:vertAnchor="text" w:tblpXSpec="center" w:tblpY="1"/>
        <w:tblOverlap w:val="never"/>
        <w:tblW w:w="0" w:type="auto"/>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667"/>
        <w:gridCol w:w="1636"/>
      </w:tblGrid>
      <w:tr w:rsidR="007432B3" w:rsidRPr="00F66924" w:rsidTr="007432B3">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7432B3">
            <w:pPr>
              <w:pStyle w:val="Standard"/>
              <w:spacing w:after="0" w:line="240" w:lineRule="auto"/>
            </w:pPr>
            <w:r>
              <w:t>Disponibilités au 31/12/2012</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7432B3">
            <w:pPr>
              <w:pStyle w:val="Standard"/>
              <w:spacing w:after="0" w:line="240" w:lineRule="auto"/>
              <w:jc w:val="right"/>
            </w:pPr>
            <w:r>
              <w:t>55 689</w:t>
            </w:r>
          </w:p>
        </w:tc>
      </w:tr>
      <w:tr w:rsidR="007432B3" w:rsidRPr="00F66924" w:rsidTr="007432B3">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7432B3">
            <w:pPr>
              <w:pStyle w:val="Standard"/>
              <w:spacing w:after="0" w:line="240" w:lineRule="auto"/>
            </w:pPr>
            <w:r>
              <w:t>-Concours bancaires courants au 31/12/2012</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7432B3">
            <w:pPr>
              <w:pStyle w:val="Standard"/>
              <w:spacing w:after="0" w:line="240" w:lineRule="auto"/>
              <w:jc w:val="right"/>
            </w:pPr>
            <w:r>
              <w:t>-15354</w:t>
            </w:r>
          </w:p>
        </w:tc>
      </w:tr>
      <w:tr w:rsidR="007432B3" w:rsidRPr="00F66924" w:rsidTr="007432B3">
        <w:tc>
          <w:tcPr>
            <w:tcW w:w="5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7432B3">
            <w:pPr>
              <w:pStyle w:val="Standard"/>
              <w:tabs>
                <w:tab w:val="left" w:pos="960"/>
              </w:tabs>
              <w:spacing w:after="0" w:line="240" w:lineRule="auto"/>
            </w:pPr>
            <w:r>
              <w:rPr>
                <w:b/>
              </w:rPr>
              <w:t>Trésorerie à la clôture</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7432B3">
            <w:pPr>
              <w:pStyle w:val="Standard"/>
              <w:spacing w:after="0" w:line="240" w:lineRule="auto"/>
              <w:jc w:val="right"/>
            </w:pPr>
            <w:r>
              <w:rPr>
                <w:b/>
              </w:rPr>
              <w:t>40 335</w:t>
            </w:r>
          </w:p>
        </w:tc>
      </w:tr>
    </w:tbl>
    <w:p w:rsidR="00817C79" w:rsidRDefault="007432B3" w:rsidP="00B140AD">
      <w:pPr>
        <w:pStyle w:val="Standard"/>
        <w:pageBreakBefore/>
        <w:spacing w:after="80" w:line="240" w:lineRule="auto"/>
      </w:pPr>
      <w:r>
        <w:rPr>
          <w:b/>
          <w:u w:val="single"/>
        </w:rPr>
        <w:lastRenderedPageBreak/>
        <w:br w:type="textWrapping" w:clear="all"/>
      </w:r>
      <w:r w:rsidR="00A80301">
        <w:rPr>
          <w:b/>
          <w:u w:val="single"/>
        </w:rPr>
        <w:t xml:space="preserve">Question 2 </w:t>
      </w:r>
      <w:r w:rsidR="00B140AD">
        <w:rPr>
          <w:b/>
          <w:u w:val="single"/>
        </w:rPr>
        <w:t>–</w:t>
      </w:r>
      <w:r w:rsidR="00A80301">
        <w:rPr>
          <w:b/>
          <w:u w:val="single"/>
        </w:rPr>
        <w:t xml:space="preserve"> Calculs</w:t>
      </w: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470"/>
        <w:gridCol w:w="1611"/>
        <w:gridCol w:w="1608"/>
      </w:tblGrid>
      <w:tr w:rsidR="007432B3" w:rsidRPr="00F66924">
        <w:trPr>
          <w:jc w:val="center"/>
        </w:trPr>
        <w:tc>
          <w:tcPr>
            <w:tcW w:w="44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tc>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Exercice 2012</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Exercice 2011</w:t>
            </w:r>
          </w:p>
        </w:tc>
      </w:tr>
      <w:tr w:rsidR="007432B3" w:rsidRPr="00F66924">
        <w:trPr>
          <w:jc w:val="center"/>
        </w:trPr>
        <w:tc>
          <w:tcPr>
            <w:tcW w:w="44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Ventes de marchandises</w:t>
            </w:r>
          </w:p>
          <w:p w:rsidR="007432B3" w:rsidRDefault="007432B3" w:rsidP="00A43B0A">
            <w:pPr>
              <w:pStyle w:val="Standard"/>
              <w:spacing w:after="0" w:line="240" w:lineRule="auto"/>
            </w:pPr>
            <w:r>
              <w:t>Achat de marchandises</w:t>
            </w:r>
          </w:p>
          <w:p w:rsidR="007432B3" w:rsidRDefault="007432B3" w:rsidP="00A43B0A">
            <w:pPr>
              <w:pStyle w:val="Standard"/>
              <w:spacing w:after="0" w:line="240" w:lineRule="auto"/>
            </w:pPr>
            <w:r>
              <w:t>Variation du stock de marchandises</w:t>
            </w:r>
          </w:p>
        </w:tc>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790 361</w:t>
            </w:r>
          </w:p>
          <w:p w:rsidR="007432B3" w:rsidRDefault="007432B3" w:rsidP="00301FB9">
            <w:pPr>
              <w:pStyle w:val="Standard"/>
              <w:spacing w:after="0" w:line="240" w:lineRule="auto"/>
              <w:jc w:val="right"/>
            </w:pPr>
            <w:r>
              <w:t>-355 297</w:t>
            </w:r>
          </w:p>
          <w:p w:rsidR="007432B3" w:rsidRDefault="007432B3" w:rsidP="00301FB9">
            <w:pPr>
              <w:pStyle w:val="Standard"/>
              <w:spacing w:after="0" w:line="240" w:lineRule="auto"/>
              <w:jc w:val="right"/>
            </w:pPr>
            <w:r>
              <w:t>-15 059</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Marge commerciale</w:t>
            </w:r>
          </w:p>
        </w:tc>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420 005</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536 981</w:t>
            </w:r>
          </w:p>
        </w:tc>
      </w:tr>
      <w:tr w:rsidR="007432B3" w:rsidRPr="00F66924">
        <w:trPr>
          <w:jc w:val="center"/>
        </w:trPr>
        <w:tc>
          <w:tcPr>
            <w:tcW w:w="44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Production vendue</w:t>
            </w:r>
          </w:p>
          <w:p w:rsidR="007432B3" w:rsidRDefault="007432B3" w:rsidP="00A43B0A">
            <w:pPr>
              <w:pStyle w:val="Standard"/>
              <w:spacing w:after="0" w:line="240" w:lineRule="auto"/>
            </w:pPr>
            <w:r>
              <w:t>Production stockée</w:t>
            </w:r>
          </w:p>
          <w:p w:rsidR="007432B3" w:rsidRDefault="007432B3" w:rsidP="00A43B0A">
            <w:pPr>
              <w:pStyle w:val="Standard"/>
              <w:spacing w:after="0" w:line="240" w:lineRule="auto"/>
            </w:pPr>
            <w:r>
              <w:t>Production immobilisée</w:t>
            </w:r>
          </w:p>
        </w:tc>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738 256</w:t>
            </w:r>
          </w:p>
          <w:p w:rsidR="007432B3" w:rsidRDefault="007432B3" w:rsidP="00301FB9">
            <w:pPr>
              <w:pStyle w:val="Standard"/>
              <w:spacing w:after="0" w:line="240" w:lineRule="auto"/>
              <w:jc w:val="right"/>
            </w:pPr>
            <w:r>
              <w:t>+13 602</w:t>
            </w:r>
          </w:p>
          <w:p w:rsidR="007432B3" w:rsidRDefault="007432B3" w:rsidP="00301FB9">
            <w:pPr>
              <w:pStyle w:val="Standard"/>
              <w:spacing w:after="0" w:line="240" w:lineRule="auto"/>
              <w:jc w:val="right"/>
            </w:pP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Production de l’exercice</w:t>
            </w:r>
          </w:p>
        </w:tc>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751 858</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637 762</w:t>
            </w:r>
          </w:p>
        </w:tc>
      </w:tr>
      <w:tr w:rsidR="007432B3" w:rsidRPr="00F66924">
        <w:trPr>
          <w:jc w:val="center"/>
        </w:trPr>
        <w:tc>
          <w:tcPr>
            <w:tcW w:w="44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Marge commerciale</w:t>
            </w:r>
          </w:p>
          <w:p w:rsidR="007432B3" w:rsidRDefault="007432B3" w:rsidP="00A43B0A">
            <w:pPr>
              <w:pStyle w:val="Standard"/>
              <w:spacing w:after="0" w:line="240" w:lineRule="auto"/>
            </w:pPr>
            <w:r>
              <w:t>Production de l’exercice</w:t>
            </w:r>
          </w:p>
          <w:p w:rsidR="007432B3" w:rsidRDefault="007432B3" w:rsidP="00301FB9">
            <w:pPr>
              <w:pStyle w:val="Standard"/>
              <w:spacing w:after="0" w:line="240" w:lineRule="auto"/>
            </w:pPr>
            <w:r>
              <w:t>Consommat</w:t>
            </w:r>
            <w:r w:rsidR="00301FB9">
              <w:t>ions</w:t>
            </w:r>
            <w:r>
              <w:t xml:space="preserve"> en provenance de tiers (1)</w:t>
            </w:r>
          </w:p>
        </w:tc>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420 005</w:t>
            </w:r>
          </w:p>
          <w:p w:rsidR="007432B3" w:rsidRDefault="007432B3" w:rsidP="00301FB9">
            <w:pPr>
              <w:pStyle w:val="Standard"/>
              <w:spacing w:after="0" w:line="240" w:lineRule="auto"/>
              <w:jc w:val="right"/>
            </w:pPr>
            <w:r>
              <w:t>+751 858</w:t>
            </w:r>
          </w:p>
          <w:p w:rsidR="007432B3" w:rsidRDefault="007432B3" w:rsidP="00301FB9">
            <w:pPr>
              <w:pStyle w:val="Standard"/>
              <w:spacing w:after="0" w:line="240" w:lineRule="auto"/>
              <w:jc w:val="right"/>
            </w:pPr>
            <w:r>
              <w:t>-735 252</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Valeur ajoutée</w:t>
            </w:r>
          </w:p>
        </w:tc>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436 611</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444 699</w:t>
            </w:r>
          </w:p>
        </w:tc>
      </w:tr>
      <w:tr w:rsidR="007432B3" w:rsidRPr="00F66924">
        <w:trPr>
          <w:jc w:val="center"/>
        </w:trPr>
        <w:tc>
          <w:tcPr>
            <w:tcW w:w="44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Valeur ajoutée</w:t>
            </w:r>
          </w:p>
          <w:p w:rsidR="007432B3" w:rsidRDefault="007432B3" w:rsidP="00A43B0A">
            <w:pPr>
              <w:pStyle w:val="Standard"/>
              <w:spacing w:after="0" w:line="240" w:lineRule="auto"/>
            </w:pPr>
            <w:r>
              <w:t>Subvention d’exploitation</w:t>
            </w:r>
          </w:p>
          <w:p w:rsidR="007432B3" w:rsidRDefault="007432B3" w:rsidP="00A43B0A">
            <w:pPr>
              <w:pStyle w:val="Standard"/>
              <w:spacing w:after="0" w:line="240" w:lineRule="auto"/>
            </w:pPr>
            <w:r>
              <w:t>Impôts et taxes</w:t>
            </w:r>
          </w:p>
          <w:p w:rsidR="007432B3" w:rsidRDefault="007432B3" w:rsidP="00A43B0A">
            <w:pPr>
              <w:pStyle w:val="Standard"/>
              <w:spacing w:after="0" w:line="240" w:lineRule="auto"/>
            </w:pPr>
            <w:r>
              <w:t>Salaires et traitements</w:t>
            </w:r>
          </w:p>
          <w:p w:rsidR="007432B3" w:rsidRDefault="007432B3" w:rsidP="00A43B0A">
            <w:pPr>
              <w:pStyle w:val="Standard"/>
              <w:spacing w:after="0" w:line="240" w:lineRule="auto"/>
            </w:pPr>
            <w:r>
              <w:t>Charges sociales</w:t>
            </w:r>
          </w:p>
        </w:tc>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436 611</w:t>
            </w:r>
          </w:p>
          <w:p w:rsidR="007432B3" w:rsidRDefault="007432B3" w:rsidP="00301FB9">
            <w:pPr>
              <w:pStyle w:val="Standard"/>
              <w:spacing w:after="0" w:line="240" w:lineRule="auto"/>
              <w:jc w:val="right"/>
            </w:pPr>
            <w:r>
              <w:t>+16 441</w:t>
            </w:r>
          </w:p>
          <w:p w:rsidR="007432B3" w:rsidRDefault="007432B3" w:rsidP="00301FB9">
            <w:pPr>
              <w:pStyle w:val="Standard"/>
              <w:spacing w:after="0" w:line="240" w:lineRule="auto"/>
              <w:jc w:val="right"/>
            </w:pPr>
            <w:r>
              <w:t>-9 769</w:t>
            </w:r>
          </w:p>
          <w:p w:rsidR="007432B3" w:rsidRDefault="007432B3" w:rsidP="00301FB9">
            <w:pPr>
              <w:pStyle w:val="Standard"/>
              <w:spacing w:after="0" w:line="240" w:lineRule="auto"/>
              <w:jc w:val="right"/>
            </w:pPr>
            <w:r>
              <w:t>-352 450</w:t>
            </w:r>
          </w:p>
          <w:p w:rsidR="007432B3" w:rsidRDefault="007432B3" w:rsidP="00301FB9">
            <w:pPr>
              <w:pStyle w:val="Standard"/>
              <w:spacing w:after="0" w:line="240" w:lineRule="auto"/>
              <w:jc w:val="right"/>
            </w:pPr>
            <w:r>
              <w:t>-99 907</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EBE</w:t>
            </w:r>
          </w:p>
        </w:tc>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-9 074</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-41 734</w:t>
            </w:r>
          </w:p>
        </w:tc>
      </w:tr>
    </w:tbl>
    <w:p w:rsidR="00817C79" w:rsidRPr="00C65A89" w:rsidRDefault="00817C79" w:rsidP="00A43B0A">
      <w:pPr>
        <w:pStyle w:val="Standard"/>
        <w:spacing w:after="0" w:line="240" w:lineRule="auto"/>
        <w:rPr>
          <w:sz w:val="20"/>
          <w:szCs w:val="20"/>
        </w:rPr>
      </w:pPr>
    </w:p>
    <w:p w:rsidR="00817C79" w:rsidRDefault="00A80301" w:rsidP="00A43B0A">
      <w:pPr>
        <w:pStyle w:val="Standard"/>
        <w:numPr>
          <w:ilvl w:val="0"/>
          <w:numId w:val="2"/>
        </w:numPr>
        <w:spacing w:after="0" w:line="240" w:lineRule="auto"/>
      </w:pPr>
      <w:r>
        <w:t>310 836 – 31 599 + 456 015 = 735 252</w:t>
      </w: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476"/>
        <w:gridCol w:w="1608"/>
        <w:gridCol w:w="1606"/>
      </w:tblGrid>
      <w:tr w:rsidR="007432B3" w:rsidRPr="00F66924">
        <w:trPr>
          <w:jc w:val="center"/>
        </w:trPr>
        <w:tc>
          <w:tcPr>
            <w:tcW w:w="4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Exercice 2012</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Exercice 2011</w:t>
            </w:r>
          </w:p>
        </w:tc>
      </w:tr>
      <w:tr w:rsidR="007432B3" w:rsidRPr="00F66924">
        <w:trPr>
          <w:jc w:val="center"/>
        </w:trPr>
        <w:tc>
          <w:tcPr>
            <w:tcW w:w="4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Résultat net</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3 539</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numPr>
                <w:ilvl w:val="0"/>
                <w:numId w:val="1"/>
              </w:numPr>
              <w:spacing w:after="0" w:line="240" w:lineRule="auto"/>
            </w:pPr>
            <w:r>
              <w:t>Reprises d’exploitation</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-29 981</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 xml:space="preserve">+Dotation </w:t>
            </w:r>
            <w:proofErr w:type="gramStart"/>
            <w:r>
              <w:t xml:space="preserve">aux </w:t>
            </w:r>
            <w:proofErr w:type="spellStart"/>
            <w:r>
              <w:t>amort</w:t>
            </w:r>
            <w:proofErr w:type="spellEnd"/>
            <w:proofErr w:type="gramEnd"/>
            <w:r>
              <w:t>. des immobilisations</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+15 946</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+Dot aux dépréciations des actifs circulants</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+ 6 580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+Dotations aux provisions d’exploitation</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+ 879</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+Dotations financières</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+369</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+Dotations exceptionnelles</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+395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+VCN des éléments d’actif cédés</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+1 677</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numPr>
                <w:ilvl w:val="0"/>
                <w:numId w:val="1"/>
              </w:numPr>
              <w:spacing w:after="0" w:line="240" w:lineRule="auto"/>
            </w:pPr>
            <w:r>
              <w:t>Produits des cessions d’éléments d’actif</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-4 780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numPr>
                <w:ilvl w:val="0"/>
                <w:numId w:val="1"/>
              </w:numPr>
              <w:spacing w:after="0" w:line="240" w:lineRule="auto"/>
            </w:pPr>
            <w:r>
              <w:t xml:space="preserve">Quote-part de </w:t>
            </w:r>
            <w:proofErr w:type="spellStart"/>
            <w:r>
              <w:t>subv</w:t>
            </w:r>
            <w:proofErr w:type="spellEnd"/>
            <w:r>
              <w:t xml:space="preserve"> d’</w:t>
            </w:r>
            <w:proofErr w:type="spellStart"/>
            <w:r>
              <w:t>invest</w:t>
            </w:r>
            <w:proofErr w:type="spellEnd"/>
            <w:r>
              <w:t xml:space="preserve"> virée au résultat</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-407</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p>
        </w:tc>
      </w:tr>
      <w:tr w:rsidR="007432B3" w:rsidRPr="00F66924">
        <w:trPr>
          <w:jc w:val="center"/>
        </w:trPr>
        <w:tc>
          <w:tcPr>
            <w:tcW w:w="4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b/>
              </w:rPr>
              <w:t>= Capacité d’autofinancement</w:t>
            </w:r>
          </w:p>
        </w:tc>
        <w:tc>
          <w:tcPr>
            <w:tcW w:w="1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rPr>
                <w:b/>
              </w:rPr>
              <w:t>-5 783</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rPr>
                <w:b/>
              </w:rPr>
              <w:t>-83 881</w:t>
            </w:r>
          </w:p>
        </w:tc>
      </w:tr>
    </w:tbl>
    <w:p w:rsidR="00817C79" w:rsidRPr="00C65A89" w:rsidRDefault="007432B3" w:rsidP="007432B3">
      <w:pPr>
        <w:pStyle w:val="Standard"/>
        <w:spacing w:before="40" w:after="40" w:line="240" w:lineRule="auto"/>
        <w:jc w:val="center"/>
        <w:rPr>
          <w:sz w:val="22"/>
          <w:szCs w:val="22"/>
        </w:rPr>
      </w:pPr>
      <w:r>
        <w:rPr>
          <w:sz w:val="22"/>
          <w:szCs w:val="22"/>
        </w:rPr>
        <w:t>OU autre présentation</w:t>
      </w:r>
    </w:p>
    <w:tbl>
      <w:tblPr>
        <w:tblW w:w="0" w:type="auto"/>
        <w:jc w:val="center"/>
        <w:tblInd w:w="-32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3070"/>
        <w:gridCol w:w="3065"/>
      </w:tblGrid>
      <w:tr w:rsidR="007432B3" w:rsidRPr="00F66924" w:rsidTr="007432B3">
        <w:trPr>
          <w:jc w:val="center"/>
        </w:trPr>
        <w:tc>
          <w:tcPr>
            <w:tcW w:w="3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center"/>
            </w:pPr>
          </w:p>
        </w:tc>
        <w:tc>
          <w:tcPr>
            <w:tcW w:w="3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center"/>
            </w:pPr>
            <w:r>
              <w:t>Exercice 2012</w:t>
            </w:r>
          </w:p>
        </w:tc>
      </w:tr>
      <w:tr w:rsidR="007432B3" w:rsidRPr="00F66924" w:rsidTr="007432B3">
        <w:trPr>
          <w:jc w:val="center"/>
        </w:trPr>
        <w:tc>
          <w:tcPr>
            <w:tcW w:w="3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EBE</w:t>
            </w:r>
          </w:p>
        </w:tc>
        <w:tc>
          <w:tcPr>
            <w:tcW w:w="3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-9074</w:t>
            </w:r>
          </w:p>
        </w:tc>
      </w:tr>
      <w:tr w:rsidR="007432B3" w:rsidRPr="00F66924" w:rsidTr="007432B3">
        <w:trPr>
          <w:jc w:val="center"/>
        </w:trPr>
        <w:tc>
          <w:tcPr>
            <w:tcW w:w="3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 transferts exploitation</w:t>
            </w:r>
          </w:p>
        </w:tc>
        <w:tc>
          <w:tcPr>
            <w:tcW w:w="3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7 000</w:t>
            </w:r>
          </w:p>
        </w:tc>
      </w:tr>
      <w:tr w:rsidR="007432B3" w:rsidRPr="00F66924" w:rsidTr="007432B3">
        <w:trPr>
          <w:jc w:val="center"/>
        </w:trPr>
        <w:tc>
          <w:tcPr>
            <w:tcW w:w="3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 autres produits</w:t>
            </w:r>
          </w:p>
        </w:tc>
        <w:tc>
          <w:tcPr>
            <w:tcW w:w="3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8 266</w:t>
            </w:r>
          </w:p>
        </w:tc>
      </w:tr>
      <w:tr w:rsidR="007432B3" w:rsidRPr="00F66924" w:rsidTr="007432B3">
        <w:trPr>
          <w:jc w:val="center"/>
        </w:trPr>
        <w:tc>
          <w:tcPr>
            <w:tcW w:w="3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Paragraphedeliste"/>
              <w:numPr>
                <w:ilvl w:val="0"/>
                <w:numId w:val="1"/>
              </w:numPr>
              <w:spacing w:after="0" w:line="240" w:lineRule="auto"/>
            </w:pPr>
            <w:r>
              <w:t>Autres charges</w:t>
            </w:r>
          </w:p>
        </w:tc>
        <w:tc>
          <w:tcPr>
            <w:tcW w:w="3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Paragraphedeliste"/>
              <w:numPr>
                <w:ilvl w:val="0"/>
                <w:numId w:val="1"/>
              </w:numPr>
              <w:spacing w:after="0" w:line="240" w:lineRule="auto"/>
              <w:jc w:val="right"/>
            </w:pPr>
            <w:r>
              <w:t>7 131</w:t>
            </w:r>
          </w:p>
        </w:tc>
      </w:tr>
      <w:tr w:rsidR="007432B3" w:rsidRPr="00F66924" w:rsidTr="007432B3">
        <w:trPr>
          <w:jc w:val="center"/>
        </w:trPr>
        <w:tc>
          <w:tcPr>
            <w:tcW w:w="3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 produits financiers</w:t>
            </w:r>
          </w:p>
        </w:tc>
        <w:tc>
          <w:tcPr>
            <w:tcW w:w="3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4 387</w:t>
            </w:r>
          </w:p>
        </w:tc>
      </w:tr>
      <w:tr w:rsidR="007432B3" w:rsidRPr="00F66924" w:rsidTr="007432B3">
        <w:trPr>
          <w:jc w:val="center"/>
        </w:trPr>
        <w:tc>
          <w:tcPr>
            <w:tcW w:w="3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Paragraphedeliste"/>
              <w:numPr>
                <w:ilvl w:val="0"/>
                <w:numId w:val="1"/>
              </w:numPr>
              <w:spacing w:after="0" w:line="240" w:lineRule="auto"/>
            </w:pPr>
            <w:r>
              <w:t xml:space="preserve">Charges financières : </w:t>
            </w:r>
            <w:proofErr w:type="spellStart"/>
            <w:r>
              <w:t>int</w:t>
            </w:r>
            <w:proofErr w:type="spellEnd"/>
          </w:p>
        </w:tc>
        <w:tc>
          <w:tcPr>
            <w:tcW w:w="3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Paragraphedeliste"/>
              <w:numPr>
                <w:ilvl w:val="0"/>
                <w:numId w:val="1"/>
              </w:numPr>
              <w:spacing w:after="0" w:line="240" w:lineRule="auto"/>
              <w:jc w:val="right"/>
            </w:pPr>
            <w:r>
              <w:t>21 498</w:t>
            </w:r>
          </w:p>
        </w:tc>
      </w:tr>
      <w:tr w:rsidR="007432B3" w:rsidRPr="00F66924" w:rsidTr="007432B3">
        <w:trPr>
          <w:jc w:val="center"/>
        </w:trPr>
        <w:tc>
          <w:tcPr>
            <w:tcW w:w="3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Paragraphedeliste"/>
              <w:numPr>
                <w:ilvl w:val="0"/>
                <w:numId w:val="1"/>
              </w:numPr>
              <w:spacing w:after="0" w:line="240" w:lineRule="auto"/>
            </w:pPr>
            <w:r>
              <w:t xml:space="preserve">Charges financières : </w:t>
            </w:r>
            <w:proofErr w:type="spellStart"/>
            <w:r>
              <w:t>diffé</w:t>
            </w:r>
            <w:proofErr w:type="spellEnd"/>
          </w:p>
        </w:tc>
        <w:tc>
          <w:tcPr>
            <w:tcW w:w="3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-5 227</w:t>
            </w:r>
          </w:p>
        </w:tc>
      </w:tr>
      <w:tr w:rsidR="007432B3" w:rsidRPr="00F66924" w:rsidTr="007432B3">
        <w:trPr>
          <w:jc w:val="center"/>
        </w:trPr>
        <w:tc>
          <w:tcPr>
            <w:tcW w:w="3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Paragraphedeliste"/>
              <w:spacing w:after="0" w:line="240" w:lineRule="auto"/>
              <w:ind w:left="252"/>
            </w:pPr>
            <w:r>
              <w:t xml:space="preserve">+ produits </w:t>
            </w:r>
            <w:proofErr w:type="spellStart"/>
            <w:r>
              <w:t>excep</w:t>
            </w:r>
            <w:proofErr w:type="spellEnd"/>
          </w:p>
        </w:tc>
        <w:tc>
          <w:tcPr>
            <w:tcW w:w="3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t>27 468</w:t>
            </w:r>
          </w:p>
        </w:tc>
      </w:tr>
      <w:tr w:rsidR="007432B3" w:rsidRPr="00F66924" w:rsidTr="007432B3">
        <w:trPr>
          <w:jc w:val="center"/>
        </w:trPr>
        <w:tc>
          <w:tcPr>
            <w:tcW w:w="3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Paragraphedeliste"/>
              <w:numPr>
                <w:ilvl w:val="0"/>
                <w:numId w:val="1"/>
              </w:numPr>
              <w:spacing w:after="0" w:line="240" w:lineRule="auto"/>
            </w:pPr>
            <w:r>
              <w:t xml:space="preserve">Charges </w:t>
            </w:r>
            <w:proofErr w:type="spellStart"/>
            <w:r>
              <w:t>excep</w:t>
            </w:r>
            <w:proofErr w:type="spellEnd"/>
          </w:p>
        </w:tc>
        <w:tc>
          <w:tcPr>
            <w:tcW w:w="3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Paragraphedeliste"/>
              <w:numPr>
                <w:ilvl w:val="0"/>
                <w:numId w:val="1"/>
              </w:numPr>
              <w:spacing w:after="0" w:line="240" w:lineRule="auto"/>
              <w:jc w:val="right"/>
            </w:pPr>
            <w:r>
              <w:t>8 871</w:t>
            </w:r>
          </w:p>
        </w:tc>
      </w:tr>
      <w:tr w:rsidR="007432B3" w:rsidRPr="00F66924" w:rsidTr="007432B3">
        <w:trPr>
          <w:jc w:val="center"/>
        </w:trPr>
        <w:tc>
          <w:tcPr>
            <w:tcW w:w="3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Paragraphedeliste"/>
              <w:numPr>
                <w:ilvl w:val="0"/>
                <w:numId w:val="1"/>
              </w:numPr>
              <w:spacing w:after="0" w:line="240" w:lineRule="auto"/>
            </w:pPr>
            <w:r>
              <w:t>IS</w:t>
            </w:r>
          </w:p>
        </w:tc>
        <w:tc>
          <w:tcPr>
            <w:tcW w:w="3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Paragraphedeliste"/>
              <w:numPr>
                <w:ilvl w:val="0"/>
                <w:numId w:val="1"/>
              </w:numPr>
              <w:spacing w:after="0" w:line="240" w:lineRule="auto"/>
              <w:jc w:val="right"/>
            </w:pPr>
            <w:r>
              <w:t>1103</w:t>
            </w:r>
          </w:p>
        </w:tc>
      </w:tr>
      <w:tr w:rsidR="007432B3" w:rsidRPr="00F66924" w:rsidTr="007432B3">
        <w:trPr>
          <w:jc w:val="center"/>
        </w:trPr>
        <w:tc>
          <w:tcPr>
            <w:tcW w:w="3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Paragraphedeliste"/>
              <w:spacing w:after="0" w:line="240" w:lineRule="auto"/>
              <w:ind w:left="252"/>
            </w:pPr>
            <w:r>
              <w:rPr>
                <w:b/>
              </w:rPr>
              <w:t>Total CAF</w:t>
            </w:r>
          </w:p>
        </w:tc>
        <w:tc>
          <w:tcPr>
            <w:tcW w:w="3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Paragraphedeliste"/>
              <w:numPr>
                <w:ilvl w:val="0"/>
                <w:numId w:val="1"/>
              </w:numPr>
              <w:spacing w:after="0" w:line="240" w:lineRule="auto"/>
              <w:jc w:val="right"/>
            </w:pPr>
            <w:r>
              <w:rPr>
                <w:b/>
              </w:rPr>
              <w:t>5 783</w:t>
            </w:r>
          </w:p>
        </w:tc>
      </w:tr>
    </w:tbl>
    <w:p w:rsidR="00817C79" w:rsidRDefault="00817C79" w:rsidP="00A43B0A">
      <w:pPr>
        <w:pStyle w:val="Standard"/>
        <w:spacing w:after="0" w:line="240" w:lineRule="auto"/>
      </w:pPr>
    </w:p>
    <w:p w:rsidR="00301FB9" w:rsidRDefault="00301FB9" w:rsidP="00A43B0A">
      <w:pPr>
        <w:pStyle w:val="Standard"/>
        <w:spacing w:after="0" w:line="240" w:lineRule="auto"/>
      </w:pPr>
    </w:p>
    <w:tbl>
      <w:tblPr>
        <w:tblW w:w="5000"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3264"/>
        <w:gridCol w:w="4033"/>
        <w:gridCol w:w="1991"/>
      </w:tblGrid>
      <w:tr w:rsidR="007432B3" w:rsidRPr="00F66924" w:rsidTr="00301FB9">
        <w:trPr>
          <w:jc w:val="center"/>
        </w:trPr>
        <w:tc>
          <w:tcPr>
            <w:tcW w:w="1757"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center"/>
            </w:pPr>
          </w:p>
        </w:tc>
        <w:tc>
          <w:tcPr>
            <w:tcW w:w="217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center"/>
            </w:pPr>
            <w:r>
              <w:t>Exercice 2012</w:t>
            </w:r>
          </w:p>
        </w:tc>
        <w:tc>
          <w:tcPr>
            <w:tcW w:w="107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center"/>
            </w:pPr>
            <w:r>
              <w:t>Exercice 2011</w:t>
            </w:r>
          </w:p>
        </w:tc>
      </w:tr>
      <w:tr w:rsidR="007432B3" w:rsidRPr="00F66924" w:rsidTr="00301FB9">
        <w:trPr>
          <w:jc w:val="center"/>
        </w:trPr>
        <w:tc>
          <w:tcPr>
            <w:tcW w:w="1757"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Taux de marge commerciale</w:t>
            </w:r>
          </w:p>
        </w:tc>
        <w:tc>
          <w:tcPr>
            <w:tcW w:w="217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rPr>
                <w:sz w:val="22"/>
                <w:szCs w:val="22"/>
              </w:rPr>
              <w:t>420 005 / 790 361 = 53,14%</w:t>
            </w:r>
          </w:p>
        </w:tc>
        <w:tc>
          <w:tcPr>
            <w:tcW w:w="107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center"/>
            </w:pPr>
            <w:r>
              <w:rPr>
                <w:sz w:val="22"/>
                <w:szCs w:val="22"/>
              </w:rPr>
              <w:t>52,2</w:t>
            </w:r>
            <w:r w:rsidR="00301FB9">
              <w:rPr>
                <w:sz w:val="22"/>
                <w:szCs w:val="22"/>
              </w:rPr>
              <w:t>0</w:t>
            </w:r>
            <w:r>
              <w:rPr>
                <w:sz w:val="22"/>
                <w:szCs w:val="22"/>
              </w:rPr>
              <w:t>%</w:t>
            </w:r>
          </w:p>
        </w:tc>
      </w:tr>
      <w:tr w:rsidR="007432B3" w:rsidRPr="00F66924" w:rsidTr="00301FB9">
        <w:trPr>
          <w:jc w:val="center"/>
        </w:trPr>
        <w:tc>
          <w:tcPr>
            <w:tcW w:w="1757"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Taux de valeur ajoutée</w:t>
            </w:r>
          </w:p>
        </w:tc>
        <w:tc>
          <w:tcPr>
            <w:tcW w:w="217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rPr>
                <w:sz w:val="22"/>
                <w:szCs w:val="22"/>
              </w:rPr>
              <w:t>436 611 / (790 361 + 738 256) = 28,56%</w:t>
            </w:r>
          </w:p>
        </w:tc>
        <w:tc>
          <w:tcPr>
            <w:tcW w:w="107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center"/>
            </w:pPr>
            <w:r>
              <w:rPr>
                <w:sz w:val="22"/>
                <w:szCs w:val="22"/>
              </w:rPr>
              <w:t>26,3</w:t>
            </w:r>
            <w:r w:rsidR="00301FB9">
              <w:rPr>
                <w:sz w:val="22"/>
                <w:szCs w:val="22"/>
              </w:rPr>
              <w:t>0</w:t>
            </w:r>
            <w:r>
              <w:rPr>
                <w:sz w:val="22"/>
                <w:szCs w:val="22"/>
              </w:rPr>
              <w:t>%</w:t>
            </w:r>
          </w:p>
        </w:tc>
      </w:tr>
      <w:tr w:rsidR="007432B3" w:rsidRPr="00F66924" w:rsidTr="00301FB9">
        <w:trPr>
          <w:jc w:val="center"/>
        </w:trPr>
        <w:tc>
          <w:tcPr>
            <w:tcW w:w="1757"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Taux d’endettement</w:t>
            </w:r>
          </w:p>
        </w:tc>
        <w:tc>
          <w:tcPr>
            <w:tcW w:w="217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rPr>
                <w:sz w:val="22"/>
                <w:szCs w:val="22"/>
              </w:rPr>
              <w:t>(242 752+61 438) / 471 440 = 64,52%</w:t>
            </w:r>
          </w:p>
        </w:tc>
        <w:tc>
          <w:tcPr>
            <w:tcW w:w="107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center"/>
            </w:pPr>
            <w:r>
              <w:rPr>
                <w:sz w:val="22"/>
                <w:szCs w:val="22"/>
              </w:rPr>
              <w:t>65,64%</w:t>
            </w:r>
          </w:p>
        </w:tc>
      </w:tr>
      <w:tr w:rsidR="007432B3" w:rsidRPr="00F66924" w:rsidTr="00301FB9">
        <w:trPr>
          <w:jc w:val="center"/>
        </w:trPr>
        <w:tc>
          <w:tcPr>
            <w:tcW w:w="1757"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t>BFRE en % du CAHT</w:t>
            </w:r>
          </w:p>
        </w:tc>
        <w:tc>
          <w:tcPr>
            <w:tcW w:w="217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301FB9">
            <w:pPr>
              <w:pStyle w:val="Standard"/>
              <w:spacing w:after="0" w:line="240" w:lineRule="auto"/>
              <w:jc w:val="right"/>
            </w:pPr>
            <w:r>
              <w:rPr>
                <w:sz w:val="22"/>
                <w:szCs w:val="22"/>
              </w:rPr>
              <w:t>357 981 / (790 361 + 738 256)</w:t>
            </w:r>
            <w:r w:rsidR="00301FB9">
              <w:rPr>
                <w:sz w:val="22"/>
                <w:szCs w:val="22"/>
              </w:rPr>
              <w:t xml:space="preserve"> </w:t>
            </w:r>
            <w:r>
              <w:rPr>
                <w:sz w:val="22"/>
                <w:szCs w:val="22"/>
              </w:rPr>
              <w:t>=</w:t>
            </w:r>
            <w:r w:rsidR="00301FB9">
              <w:rPr>
                <w:sz w:val="22"/>
                <w:szCs w:val="22"/>
              </w:rPr>
              <w:t xml:space="preserve"> </w:t>
            </w:r>
            <w:r>
              <w:rPr>
                <w:sz w:val="22"/>
                <w:szCs w:val="22"/>
              </w:rPr>
              <w:t>23,42%</w:t>
            </w:r>
          </w:p>
        </w:tc>
        <w:tc>
          <w:tcPr>
            <w:tcW w:w="107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center"/>
            </w:pPr>
            <w:r>
              <w:rPr>
                <w:sz w:val="22"/>
                <w:szCs w:val="22"/>
              </w:rPr>
              <w:t>17,41%</w:t>
            </w:r>
          </w:p>
        </w:tc>
      </w:tr>
    </w:tbl>
    <w:p w:rsidR="00817C79" w:rsidRDefault="00817C79" w:rsidP="00A43B0A">
      <w:pPr>
        <w:pStyle w:val="Standard"/>
        <w:spacing w:after="0" w:line="240" w:lineRule="auto"/>
      </w:pPr>
    </w:p>
    <w:p w:rsidR="00817C79" w:rsidRDefault="00A80301" w:rsidP="00A43B0A">
      <w:pPr>
        <w:pStyle w:val="Standard"/>
        <w:spacing w:after="0" w:line="240" w:lineRule="auto"/>
      </w:pPr>
      <w:r>
        <w:t>Pour le ratio taux d’endettement accepter dettes financières / total passif</w:t>
      </w:r>
    </w:p>
    <w:p w:rsidR="00817C79" w:rsidRDefault="00A80301" w:rsidP="00A43B0A">
      <w:pPr>
        <w:pStyle w:val="Standard"/>
        <w:spacing w:after="0" w:line="240" w:lineRule="auto"/>
      </w:pPr>
      <w:r>
        <w:t xml:space="preserve"> = (242 752 + 61 438) / 997 382 = 30.49%</w:t>
      </w:r>
    </w:p>
    <w:p w:rsidR="00817C79" w:rsidRDefault="00817C79" w:rsidP="00A43B0A">
      <w:pPr>
        <w:pStyle w:val="Standard"/>
        <w:spacing w:after="0" w:line="240" w:lineRule="auto"/>
      </w:pPr>
    </w:p>
    <w:p w:rsidR="00817C79" w:rsidRDefault="00817C79" w:rsidP="00A43B0A">
      <w:pPr>
        <w:pStyle w:val="Standard"/>
        <w:spacing w:after="0" w:line="240" w:lineRule="auto"/>
      </w:pPr>
    </w:p>
    <w:p w:rsidR="00817C79" w:rsidRDefault="00817C79" w:rsidP="00A43B0A">
      <w:pPr>
        <w:pStyle w:val="Standard"/>
        <w:spacing w:after="0" w:line="240" w:lineRule="auto"/>
      </w:pPr>
    </w:p>
    <w:p w:rsidR="00817C79" w:rsidRDefault="00A80301" w:rsidP="00A43B0A">
      <w:pPr>
        <w:pStyle w:val="Standard"/>
        <w:spacing w:after="0" w:line="240" w:lineRule="auto"/>
      </w:pPr>
      <w:r>
        <w:rPr>
          <w:b/>
          <w:u w:val="single"/>
        </w:rPr>
        <w:t>Question 3 - Commentaire</w:t>
      </w:r>
      <w:r w:rsidRPr="00297C91">
        <w:rPr>
          <w:b/>
        </w:rPr>
        <w:t> </w:t>
      </w:r>
    </w:p>
    <w:p w:rsidR="007432B3" w:rsidRDefault="007432B3" w:rsidP="00A43B0A">
      <w:pPr>
        <w:pStyle w:val="Standard"/>
        <w:spacing w:after="0" w:line="240" w:lineRule="auto"/>
      </w:pPr>
    </w:p>
    <w:p w:rsidR="00817C79" w:rsidRDefault="00A80301" w:rsidP="00A43B0A">
      <w:pPr>
        <w:pStyle w:val="Standard"/>
        <w:spacing w:after="0" w:line="240" w:lineRule="auto"/>
      </w:pPr>
      <w:r>
        <w:rPr>
          <w:b/>
        </w:rPr>
        <w:t xml:space="preserve">Introduction + activité : </w:t>
      </w:r>
    </w:p>
    <w:p w:rsidR="00817C79" w:rsidRDefault="00A80301" w:rsidP="00A43B0A">
      <w:pPr>
        <w:pStyle w:val="Standard"/>
        <w:spacing w:after="0" w:line="240" w:lineRule="auto"/>
        <w:jc w:val="both"/>
      </w:pPr>
      <w:r>
        <w:t>L’activité de cette entreprise est en phase de ralentissement (baisse de 10% environ du chiffre d’affaires en 2012) combinant réduction de l’activité commerciale et progression de l’activité productive</w:t>
      </w:r>
      <w:r w:rsidR="00297C91">
        <w:t>.</w:t>
      </w:r>
    </w:p>
    <w:p w:rsidR="00817C79" w:rsidRDefault="00A80301" w:rsidP="00A43B0A">
      <w:pPr>
        <w:pStyle w:val="Standard"/>
        <w:spacing w:after="0" w:line="240" w:lineRule="auto"/>
        <w:jc w:val="both"/>
      </w:pPr>
      <w:r>
        <w:t>On remarque une légère amélioration des taux de marge commerciale et de valeur ajoutée qui a permis de diviser l’insuffisance brute d’exploitation par quatre. Les investissements de productivité ont donc été bénéfiques. Toutefois, la profitabilité de cette entreprise reste tout à fait insuffisante. En témoigne l’existence d’un EBE négatif au cours des 2 exercices 2011 et 2012. La valeur ajoutée, issue de l’activité, ne couvre même pas les charges de personnel, qui pour l’essentiel sont des charges de structure et donc difficiles à adapter aux variations de l’activité.</w:t>
      </w:r>
    </w:p>
    <w:p w:rsidR="00817C79" w:rsidRDefault="00A80301" w:rsidP="00A43B0A">
      <w:pPr>
        <w:pStyle w:val="Standard"/>
        <w:spacing w:after="0" w:line="240" w:lineRule="auto"/>
        <w:jc w:val="both"/>
      </w:pPr>
      <w:r>
        <w:t>On peut remarquer que le bénéfice de l’exercice 2012 n’a été obtenu que grâce à des produits exceptionnels, non reproductibles dans l’avenir.</w:t>
      </w:r>
    </w:p>
    <w:p w:rsidR="00817C79" w:rsidRDefault="00A80301" w:rsidP="00A43B0A">
      <w:pPr>
        <w:pStyle w:val="Standard"/>
        <w:spacing w:after="0" w:line="240" w:lineRule="auto"/>
        <w:jc w:val="both"/>
      </w:pPr>
      <w:r>
        <w:t>Cette insuffisance de profitabilité se retrouve également dans l’analyse du tableau de flux qui fait apparaître l’existence d’une MBA faible. En effet la comparaison de son montant avec celui des dotations aux amortissements de l’exercice montre que l’entreprise ne génère pas suffisamment de ressources potentielles en interne pour envisager le seul maintien de son outil de production.</w:t>
      </w:r>
    </w:p>
    <w:p w:rsidR="00817C79" w:rsidRDefault="00817C79" w:rsidP="00A43B0A">
      <w:pPr>
        <w:pStyle w:val="Standard"/>
        <w:spacing w:after="0" w:line="240" w:lineRule="auto"/>
        <w:jc w:val="both"/>
      </w:pPr>
    </w:p>
    <w:p w:rsidR="00C65A89" w:rsidRDefault="00C65A89">
      <w:pPr>
        <w:rPr>
          <w:rFonts w:ascii="Times New Roman" w:hAnsi="Times New Roman"/>
          <w:color w:val="00000A"/>
          <w:sz w:val="24"/>
          <w:szCs w:val="24"/>
        </w:rPr>
      </w:pPr>
      <w:r>
        <w:br w:type="page"/>
      </w:r>
    </w:p>
    <w:p w:rsidR="00817C79" w:rsidRDefault="00817C79" w:rsidP="00A43B0A">
      <w:pPr>
        <w:pStyle w:val="Standard"/>
        <w:spacing w:after="0" w:line="240" w:lineRule="auto"/>
        <w:jc w:val="both"/>
      </w:pPr>
    </w:p>
    <w:p w:rsidR="00817C79" w:rsidRDefault="00C65A89" w:rsidP="007432B3">
      <w:pPr>
        <w:pStyle w:val="Standard"/>
        <w:spacing w:after="0" w:line="240" w:lineRule="auto"/>
        <w:jc w:val="both"/>
      </w:pPr>
      <w:r>
        <w:rPr>
          <w:b/>
        </w:rPr>
        <w:t>É</w:t>
      </w:r>
      <w:r w:rsidR="00A80301">
        <w:rPr>
          <w:b/>
        </w:rPr>
        <w:t xml:space="preserve">quilibre financier : </w:t>
      </w:r>
    </w:p>
    <w:p w:rsidR="00817C79" w:rsidRDefault="00A80301" w:rsidP="00A43B0A">
      <w:pPr>
        <w:pStyle w:val="Standard"/>
        <w:spacing w:after="0" w:line="240" w:lineRule="auto"/>
        <w:jc w:val="both"/>
      </w:pPr>
      <w:r>
        <w:t xml:space="preserve">Le montant de la trésorerie nette est positif sur les deux exercices comptables, ce qui signifie que les ressources stables financent non seulement les emplois stables mais également le besoin en fonds de roulement généré par l’activité. </w:t>
      </w:r>
    </w:p>
    <w:p w:rsidR="00817C79" w:rsidRDefault="00A80301" w:rsidP="00A43B0A">
      <w:pPr>
        <w:pStyle w:val="Standard"/>
        <w:spacing w:after="0" w:line="240" w:lineRule="auto"/>
        <w:jc w:val="both"/>
      </w:pPr>
      <w:r>
        <w:t>En dépit de la réduction du chiffre d’affaires, on note cependant une forte croissance du BFRE accompagnée logiquement d’une dégradation du poids du BFRE (ratio BFRE/CAHT), due au gonflement des stocks et de l’en-cours clients.</w:t>
      </w:r>
    </w:p>
    <w:p w:rsidR="00817C79" w:rsidRDefault="00A80301" w:rsidP="00A43B0A">
      <w:pPr>
        <w:pStyle w:val="Standard"/>
        <w:spacing w:after="0" w:line="240" w:lineRule="auto"/>
        <w:jc w:val="both"/>
      </w:pPr>
      <w:r>
        <w:t>L’augmentation des créances clients, ajoutée à la baisse du chiffre d’affaires, constitue donc la principale cause de l’existence d’un flux net de trésorerie généré par l’activité fortement négatif.</w:t>
      </w:r>
    </w:p>
    <w:p w:rsidR="00817C79" w:rsidRDefault="00817C79" w:rsidP="00A43B0A">
      <w:pPr>
        <w:pStyle w:val="Standard"/>
        <w:spacing w:after="0" w:line="240" w:lineRule="auto"/>
        <w:jc w:val="both"/>
      </w:pPr>
    </w:p>
    <w:p w:rsidR="00817C79" w:rsidRDefault="00A80301" w:rsidP="00A43B0A">
      <w:pPr>
        <w:pStyle w:val="Standard"/>
        <w:spacing w:after="0" w:line="240" w:lineRule="auto"/>
        <w:jc w:val="both"/>
      </w:pPr>
      <w:r>
        <w:t>Au niveau de la composition des ressources stables on observe un rapport endettement/ capitaux propres d’environ 65%, ce qui pourrait paraître raisonnable. Cependant l’existence dune CAF négative amène nécessairement à s’interroger sur l’aptitude de l’entreprise à faire face aux échéances futures.</w:t>
      </w:r>
    </w:p>
    <w:p w:rsidR="00817C79" w:rsidRDefault="00817C79" w:rsidP="00A43B0A">
      <w:pPr>
        <w:pStyle w:val="Standard"/>
        <w:spacing w:after="0" w:line="240" w:lineRule="auto"/>
        <w:jc w:val="both"/>
      </w:pPr>
    </w:p>
    <w:p w:rsidR="00817C79" w:rsidRDefault="00A80301" w:rsidP="00A43B0A">
      <w:pPr>
        <w:pStyle w:val="Standard"/>
        <w:spacing w:after="0" w:line="240" w:lineRule="auto"/>
        <w:jc w:val="both"/>
      </w:pPr>
      <w:r>
        <w:t>Si la trésorerie nette reste positive, on observe une réduction de son montant de 24 000€ environ. On constate, par ailleurs que seules la souscription d’emprunts nouveaux et la réalisation d’une augmentation de capital ont permis d’éviter qu’elle ne devienne négative, or par essence ces opérations n’ont pas un caractère récurrent.</w:t>
      </w:r>
    </w:p>
    <w:p w:rsidR="00817C79" w:rsidRDefault="00817C79" w:rsidP="00A43B0A">
      <w:pPr>
        <w:pStyle w:val="Standard"/>
        <w:spacing w:after="0" w:line="240" w:lineRule="auto"/>
      </w:pPr>
    </w:p>
    <w:p w:rsidR="00817C79" w:rsidRPr="005D72DD" w:rsidRDefault="00A80301" w:rsidP="00A43B0A">
      <w:pPr>
        <w:pStyle w:val="Standard"/>
        <w:pBdr>
          <w:top w:val="single" w:sz="4" w:space="0" w:color="00000A"/>
          <w:left w:val="single" w:sz="4" w:space="0" w:color="00000A"/>
          <w:bottom w:val="single" w:sz="4" w:space="0" w:color="00000A"/>
          <w:right w:val="single" w:sz="4" w:space="0" w:color="00000A"/>
        </w:pBdr>
        <w:spacing w:after="0" w:line="240" w:lineRule="auto"/>
        <w:jc w:val="center"/>
      </w:pPr>
      <w:r w:rsidRPr="005D72DD">
        <w:rPr>
          <w:b/>
        </w:rPr>
        <w:t>DOSSIER 2 – PROJET DE DÉVELOPPEMENT</w:t>
      </w:r>
    </w:p>
    <w:p w:rsidR="00817C79" w:rsidRDefault="00817C79" w:rsidP="00A43B0A">
      <w:pPr>
        <w:pStyle w:val="Standard"/>
        <w:spacing w:after="0" w:line="240" w:lineRule="auto"/>
      </w:pPr>
    </w:p>
    <w:p w:rsidR="00817C79" w:rsidRDefault="00817C79" w:rsidP="00A43B0A">
      <w:pPr>
        <w:pStyle w:val="Standard"/>
        <w:spacing w:after="0" w:line="240" w:lineRule="auto"/>
      </w:pPr>
    </w:p>
    <w:p w:rsidR="00817C79" w:rsidRDefault="00A80301" w:rsidP="007432B3">
      <w:pPr>
        <w:pStyle w:val="Standard"/>
        <w:spacing w:after="0" w:line="240" w:lineRule="auto"/>
      </w:pPr>
      <w:r>
        <w:rPr>
          <w:b/>
          <w:u w:val="single"/>
        </w:rPr>
        <w:t>Question 1</w:t>
      </w:r>
      <w:r w:rsidR="005D72DD">
        <w:rPr>
          <w:b/>
          <w:u w:val="single"/>
        </w:rPr>
        <w:t xml:space="preserve"> – </w:t>
      </w:r>
      <w:r>
        <w:rPr>
          <w:b/>
          <w:u w:val="single"/>
        </w:rPr>
        <w:t>Lien BFRE et rentabilité économique</w:t>
      </w:r>
      <w:r w:rsidR="00C65A89" w:rsidRPr="00C65A89">
        <w:rPr>
          <w:b/>
        </w:rPr>
        <w:t xml:space="preserve"> : </w:t>
      </w:r>
    </w:p>
    <w:p w:rsidR="00817C79" w:rsidRDefault="00817C79" w:rsidP="00A43B0A">
      <w:pPr>
        <w:pStyle w:val="Standard"/>
        <w:spacing w:after="0" w:line="240" w:lineRule="auto"/>
      </w:pPr>
    </w:p>
    <w:p w:rsidR="00817C79" w:rsidRDefault="00A80301" w:rsidP="00A43B0A">
      <w:pPr>
        <w:pStyle w:val="Standard"/>
        <w:spacing w:after="0" w:line="240" w:lineRule="auto"/>
      </w:pPr>
      <w:r>
        <w:t>Rentabilité économique = résultat économique / (immobilisations + BFRE)</w:t>
      </w:r>
    </w:p>
    <w:p w:rsidR="00817C79" w:rsidRDefault="00817C79" w:rsidP="00A43B0A">
      <w:pPr>
        <w:pStyle w:val="Standard"/>
        <w:spacing w:after="0" w:line="240" w:lineRule="auto"/>
      </w:pPr>
    </w:p>
    <w:p w:rsidR="00817C79" w:rsidRDefault="00A80301" w:rsidP="00A43B0A">
      <w:pPr>
        <w:pStyle w:val="Standard"/>
        <w:spacing w:after="0" w:line="240" w:lineRule="auto"/>
      </w:pPr>
      <w:r>
        <w:t>Plus le BFRE est élevé plus la rentabilité économiques diminue.</w:t>
      </w:r>
    </w:p>
    <w:p w:rsidR="00817C79" w:rsidRDefault="00817C79" w:rsidP="00A43B0A">
      <w:pPr>
        <w:pStyle w:val="Standard"/>
        <w:spacing w:after="0" w:line="240" w:lineRule="auto"/>
      </w:pPr>
    </w:p>
    <w:p w:rsidR="007432B3" w:rsidRDefault="00A80301" w:rsidP="007432B3">
      <w:pPr>
        <w:pStyle w:val="Standard"/>
        <w:spacing w:after="0" w:line="240" w:lineRule="auto"/>
        <w:rPr>
          <w:b/>
        </w:rPr>
      </w:pPr>
      <w:r>
        <w:rPr>
          <w:b/>
          <w:u w:val="single"/>
        </w:rPr>
        <w:t>Question 2 – Intérêt de la décomposition du BFRE</w:t>
      </w:r>
      <w:r w:rsidR="00C65A89" w:rsidRPr="00C65A89">
        <w:rPr>
          <w:b/>
        </w:rPr>
        <w:t> :</w:t>
      </w:r>
    </w:p>
    <w:p w:rsidR="00817C79" w:rsidRDefault="00A80301" w:rsidP="007432B3">
      <w:pPr>
        <w:pStyle w:val="Standard"/>
        <w:spacing w:after="0" w:line="240" w:lineRule="auto"/>
      </w:pPr>
      <w:r>
        <w:t xml:space="preserve">Le découpage de chaque élément du BFR en temps d’écoulement et coefficient de structure permet  de comprendre l’origine de chaque poste du BFR normatif (distinguer le problème entre la durée et la structure). </w:t>
      </w:r>
    </w:p>
    <w:p w:rsidR="00817C79" w:rsidRDefault="00A80301" w:rsidP="00A43B0A">
      <w:pPr>
        <w:pStyle w:val="Paragraphedeliste"/>
        <w:numPr>
          <w:ilvl w:val="0"/>
          <w:numId w:val="6"/>
        </w:numPr>
        <w:spacing w:after="0" w:line="240" w:lineRule="auto"/>
      </w:pPr>
      <w:r>
        <w:t xml:space="preserve">Il permet donc de cibler les actions correctrices (sur la durée ou la structure). </w:t>
      </w:r>
    </w:p>
    <w:p w:rsidR="00817C79" w:rsidRDefault="00A80301" w:rsidP="0079752F">
      <w:pPr>
        <w:pStyle w:val="Pieddepage"/>
        <w:numPr>
          <w:ilvl w:val="0"/>
          <w:numId w:val="8"/>
        </w:numPr>
        <w:tabs>
          <w:tab w:val="clear" w:pos="4536"/>
          <w:tab w:val="clear" w:pos="9072"/>
          <w:tab w:val="right" w:pos="709"/>
        </w:tabs>
        <w:spacing w:after="0" w:line="240" w:lineRule="auto"/>
      </w:pPr>
      <w:r>
        <w:t xml:space="preserve">Il facilite les comparaisons avec les durées et structures sectorielles. </w:t>
      </w:r>
    </w:p>
    <w:p w:rsidR="0079752F" w:rsidRDefault="0079752F" w:rsidP="0079752F">
      <w:pPr>
        <w:pStyle w:val="Pieddepage"/>
        <w:tabs>
          <w:tab w:val="clear" w:pos="4536"/>
        </w:tabs>
        <w:spacing w:after="0" w:line="240" w:lineRule="auto"/>
      </w:pPr>
    </w:p>
    <w:p w:rsidR="0079752F" w:rsidRDefault="0079752F" w:rsidP="0079752F">
      <w:pPr>
        <w:pStyle w:val="Pieddepage"/>
        <w:tabs>
          <w:tab w:val="clear" w:pos="4536"/>
        </w:tabs>
        <w:spacing w:after="0" w:line="240" w:lineRule="auto"/>
        <w:sectPr w:rsidR="0079752F" w:rsidSect="00D63390">
          <w:headerReference w:type="default" r:id="rId9"/>
          <w:footerReference w:type="default" r:id="rId10"/>
          <w:pgSz w:w="11906" w:h="16838"/>
          <w:pgMar w:top="851" w:right="1417" w:bottom="1417" w:left="1417" w:header="340" w:footer="548" w:gutter="0"/>
          <w:cols w:space="720"/>
          <w:formProt w:val="0"/>
          <w:docGrid w:linePitch="360"/>
        </w:sectPr>
      </w:pPr>
    </w:p>
    <w:p w:rsidR="00817C79" w:rsidRDefault="00A80301" w:rsidP="00A43B0A">
      <w:pPr>
        <w:pStyle w:val="Standard"/>
        <w:spacing w:after="0" w:line="240" w:lineRule="auto"/>
        <w:rPr>
          <w:b/>
        </w:rPr>
      </w:pPr>
      <w:r>
        <w:rPr>
          <w:b/>
          <w:u w:val="single"/>
        </w:rPr>
        <w:lastRenderedPageBreak/>
        <w:t>Question 3 - calcul du BFR normatif</w:t>
      </w:r>
      <w:r w:rsidRPr="00C65A89">
        <w:rPr>
          <w:b/>
        </w:rPr>
        <w:t xml:space="preserve"> : </w:t>
      </w:r>
    </w:p>
    <w:p w:rsidR="007432B3" w:rsidRDefault="007432B3" w:rsidP="00A43B0A">
      <w:pPr>
        <w:pStyle w:val="Standard"/>
        <w:spacing w:after="0" w:line="240" w:lineRule="auto"/>
      </w:pPr>
    </w:p>
    <w:tbl>
      <w:tblPr>
        <w:tblW w:w="13940" w:type="dxa"/>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3757"/>
        <w:gridCol w:w="1407"/>
        <w:gridCol w:w="4754"/>
        <w:gridCol w:w="2045"/>
        <w:gridCol w:w="1977"/>
      </w:tblGrid>
      <w:tr w:rsidR="007432B3" w:rsidRPr="00F66924" w:rsidTr="007432B3">
        <w:trPr>
          <w:jc w:val="center"/>
        </w:trPr>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Eléments de BFR</w:t>
            </w:r>
          </w:p>
        </w:tc>
        <w:tc>
          <w:tcPr>
            <w:tcW w:w="14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Temps d’écoulement en jours</w:t>
            </w:r>
          </w:p>
        </w:tc>
        <w:tc>
          <w:tcPr>
            <w:tcW w:w="47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Coefficient de structure</w:t>
            </w:r>
          </w:p>
        </w:tc>
        <w:tc>
          <w:tcPr>
            <w:tcW w:w="20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Besoin</w:t>
            </w:r>
          </w:p>
        </w:tc>
        <w:tc>
          <w:tcPr>
            <w:tcW w:w="1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Ressource</w:t>
            </w:r>
          </w:p>
        </w:tc>
      </w:tr>
      <w:tr w:rsidR="007432B3" w:rsidRPr="00F66924" w:rsidTr="007432B3">
        <w:trPr>
          <w:jc w:val="center"/>
        </w:trPr>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Stock de matière prem</w:t>
            </w:r>
            <w:r w:rsidRPr="00C65A89">
              <w:rPr>
                <w:sz w:val="28"/>
                <w:szCs w:val="28"/>
              </w:rPr>
              <w:t>i</w:t>
            </w:r>
            <w:r>
              <w:rPr>
                <w:sz w:val="20"/>
                <w:szCs w:val="20"/>
              </w:rPr>
              <w:t>ère</w:t>
            </w:r>
          </w:p>
        </w:tc>
        <w:tc>
          <w:tcPr>
            <w:tcW w:w="14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60</w:t>
            </w:r>
          </w:p>
        </w:tc>
        <w:tc>
          <w:tcPr>
            <w:tcW w:w="47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15/500 = 0,03</w:t>
            </w:r>
          </w:p>
        </w:tc>
        <w:tc>
          <w:tcPr>
            <w:tcW w:w="20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r>
              <w:rPr>
                <w:sz w:val="20"/>
                <w:szCs w:val="20"/>
              </w:rPr>
              <w:t>2</w:t>
            </w:r>
          </w:p>
        </w:tc>
        <w:tc>
          <w:tcPr>
            <w:tcW w:w="1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p>
        </w:tc>
      </w:tr>
      <w:tr w:rsidR="007432B3" w:rsidRPr="00F66924" w:rsidTr="007432B3">
        <w:trPr>
          <w:jc w:val="center"/>
        </w:trPr>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Stock d’emballages</w:t>
            </w:r>
          </w:p>
        </w:tc>
        <w:tc>
          <w:tcPr>
            <w:tcW w:w="14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45</w:t>
            </w:r>
          </w:p>
        </w:tc>
        <w:tc>
          <w:tcPr>
            <w:tcW w:w="47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65/500 = 0,13</w:t>
            </w:r>
          </w:p>
        </w:tc>
        <w:tc>
          <w:tcPr>
            <w:tcW w:w="20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r>
              <w:rPr>
                <w:sz w:val="20"/>
                <w:szCs w:val="20"/>
              </w:rPr>
              <w:t>6</w:t>
            </w:r>
          </w:p>
        </w:tc>
        <w:tc>
          <w:tcPr>
            <w:tcW w:w="1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p>
        </w:tc>
      </w:tr>
      <w:tr w:rsidR="007432B3" w:rsidRPr="00F66924" w:rsidTr="007432B3">
        <w:trPr>
          <w:jc w:val="center"/>
        </w:trPr>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Stock de produits finis</w:t>
            </w:r>
          </w:p>
        </w:tc>
        <w:tc>
          <w:tcPr>
            <w:tcW w:w="14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30</w:t>
            </w:r>
          </w:p>
        </w:tc>
        <w:tc>
          <w:tcPr>
            <w:tcW w:w="47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(15+65+55+80)/500 = 0,43</w:t>
            </w:r>
          </w:p>
          <w:p w:rsidR="007432B3" w:rsidRDefault="007432B3" w:rsidP="001F48A5">
            <w:pPr>
              <w:pStyle w:val="Standard"/>
              <w:spacing w:after="0" w:line="240" w:lineRule="auto"/>
            </w:pPr>
            <w:r>
              <w:rPr>
                <w:color w:val="FF0000"/>
                <w:sz w:val="20"/>
                <w:szCs w:val="20"/>
              </w:rPr>
              <w:t>Accepter (15+65+55+ 80+30)/500 = 0,49</w:t>
            </w:r>
          </w:p>
        </w:tc>
        <w:tc>
          <w:tcPr>
            <w:tcW w:w="20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r>
              <w:rPr>
                <w:sz w:val="20"/>
                <w:szCs w:val="20"/>
              </w:rPr>
              <w:t>13</w:t>
            </w:r>
          </w:p>
        </w:tc>
        <w:tc>
          <w:tcPr>
            <w:tcW w:w="1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p>
        </w:tc>
      </w:tr>
      <w:tr w:rsidR="007432B3" w:rsidRPr="00F66924" w:rsidTr="007432B3">
        <w:trPr>
          <w:jc w:val="center"/>
        </w:trPr>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Fournisseurs de matière</w:t>
            </w:r>
          </w:p>
        </w:tc>
        <w:tc>
          <w:tcPr>
            <w:tcW w:w="14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30</w:t>
            </w:r>
          </w:p>
        </w:tc>
        <w:tc>
          <w:tcPr>
            <w:tcW w:w="47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15 x 1,1 /500 = 0,033</w:t>
            </w:r>
          </w:p>
        </w:tc>
        <w:tc>
          <w:tcPr>
            <w:tcW w:w="20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p>
        </w:tc>
        <w:tc>
          <w:tcPr>
            <w:tcW w:w="1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r>
              <w:rPr>
                <w:sz w:val="20"/>
                <w:szCs w:val="20"/>
              </w:rPr>
              <w:t>1</w:t>
            </w:r>
          </w:p>
        </w:tc>
      </w:tr>
      <w:tr w:rsidR="007432B3" w:rsidRPr="00F66924" w:rsidTr="007432B3">
        <w:trPr>
          <w:jc w:val="center"/>
        </w:trPr>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Fourbisseurs d’emballages</w:t>
            </w:r>
          </w:p>
        </w:tc>
        <w:tc>
          <w:tcPr>
            <w:tcW w:w="14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(30+60)/2=45</w:t>
            </w:r>
          </w:p>
          <w:p w:rsidR="007432B3" w:rsidRDefault="007432B3" w:rsidP="00B04D18">
            <w:pPr>
              <w:pStyle w:val="Standard"/>
              <w:spacing w:after="0" w:line="240" w:lineRule="auto"/>
              <w:jc w:val="center"/>
            </w:pPr>
            <w:r>
              <w:rPr>
                <w:sz w:val="20"/>
                <w:szCs w:val="20"/>
              </w:rPr>
              <w:t>Ou (15 +30)</w:t>
            </w:r>
          </w:p>
        </w:tc>
        <w:tc>
          <w:tcPr>
            <w:tcW w:w="47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65 x 1,2 / 500 = 0,156</w:t>
            </w:r>
          </w:p>
        </w:tc>
        <w:tc>
          <w:tcPr>
            <w:tcW w:w="20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p>
        </w:tc>
        <w:tc>
          <w:tcPr>
            <w:tcW w:w="1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r>
              <w:rPr>
                <w:sz w:val="20"/>
                <w:szCs w:val="20"/>
              </w:rPr>
              <w:t>7</w:t>
            </w:r>
          </w:p>
        </w:tc>
      </w:tr>
      <w:tr w:rsidR="007432B3" w:rsidRPr="00F66924" w:rsidTr="007432B3">
        <w:trPr>
          <w:jc w:val="center"/>
        </w:trPr>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Fournisseurs de charges de production</w:t>
            </w:r>
          </w:p>
        </w:tc>
        <w:tc>
          <w:tcPr>
            <w:tcW w:w="14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15</w:t>
            </w:r>
          </w:p>
        </w:tc>
        <w:tc>
          <w:tcPr>
            <w:tcW w:w="47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55 x 1,2/500=0,132</w:t>
            </w:r>
          </w:p>
        </w:tc>
        <w:tc>
          <w:tcPr>
            <w:tcW w:w="20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p>
        </w:tc>
        <w:tc>
          <w:tcPr>
            <w:tcW w:w="1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r>
              <w:rPr>
                <w:sz w:val="20"/>
                <w:szCs w:val="20"/>
              </w:rPr>
              <w:t>2</w:t>
            </w:r>
          </w:p>
        </w:tc>
      </w:tr>
      <w:tr w:rsidR="007432B3" w:rsidRPr="00F66924" w:rsidTr="007432B3">
        <w:trPr>
          <w:jc w:val="center"/>
        </w:trPr>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Fournisseurs de charges  de distribution</w:t>
            </w:r>
          </w:p>
        </w:tc>
        <w:tc>
          <w:tcPr>
            <w:tcW w:w="14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30</w:t>
            </w:r>
          </w:p>
        </w:tc>
        <w:tc>
          <w:tcPr>
            <w:tcW w:w="47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145 x 1,2/500 = 0,348</w:t>
            </w:r>
          </w:p>
        </w:tc>
        <w:tc>
          <w:tcPr>
            <w:tcW w:w="20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p>
        </w:tc>
        <w:tc>
          <w:tcPr>
            <w:tcW w:w="1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r>
              <w:rPr>
                <w:sz w:val="20"/>
                <w:szCs w:val="20"/>
              </w:rPr>
              <w:t>10</w:t>
            </w:r>
          </w:p>
        </w:tc>
      </w:tr>
      <w:tr w:rsidR="007432B3" w:rsidRPr="00F66924" w:rsidTr="007432B3">
        <w:trPr>
          <w:jc w:val="center"/>
        </w:trPr>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TVA déductible</w:t>
            </w:r>
          </w:p>
        </w:tc>
        <w:tc>
          <w:tcPr>
            <w:tcW w:w="14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(20+50)/2=35</w:t>
            </w:r>
          </w:p>
          <w:p w:rsidR="007432B3" w:rsidRDefault="007432B3" w:rsidP="00B04D18">
            <w:pPr>
              <w:pStyle w:val="Standard"/>
              <w:spacing w:after="0" w:line="240" w:lineRule="auto"/>
              <w:jc w:val="center"/>
            </w:pPr>
            <w:r>
              <w:rPr>
                <w:color w:val="FF0000"/>
                <w:sz w:val="20"/>
                <w:szCs w:val="20"/>
                <w:shd w:val="clear" w:color="auto" w:fill="FFFFFF"/>
              </w:rPr>
              <w:t>Ou (15 +20)</w:t>
            </w:r>
          </w:p>
        </w:tc>
        <w:tc>
          <w:tcPr>
            <w:tcW w:w="47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[15x0,10+(65+55+145)x0,2]/500 = 0,109</w:t>
            </w:r>
          </w:p>
        </w:tc>
        <w:tc>
          <w:tcPr>
            <w:tcW w:w="20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r>
              <w:rPr>
                <w:sz w:val="20"/>
                <w:szCs w:val="20"/>
              </w:rPr>
              <w:t>4</w:t>
            </w:r>
          </w:p>
        </w:tc>
        <w:tc>
          <w:tcPr>
            <w:tcW w:w="1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p>
        </w:tc>
      </w:tr>
      <w:tr w:rsidR="007432B3" w:rsidRPr="00F66924" w:rsidTr="007432B3">
        <w:trPr>
          <w:jc w:val="center"/>
        </w:trPr>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Clients</w:t>
            </w:r>
          </w:p>
        </w:tc>
        <w:tc>
          <w:tcPr>
            <w:tcW w:w="14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(45+75)/2=60</w:t>
            </w:r>
          </w:p>
          <w:p w:rsidR="007432B3" w:rsidRDefault="007432B3" w:rsidP="00B04D18">
            <w:pPr>
              <w:pStyle w:val="Standard"/>
              <w:spacing w:after="0" w:line="240" w:lineRule="auto"/>
              <w:jc w:val="center"/>
            </w:pPr>
            <w:r>
              <w:rPr>
                <w:color w:val="FF0000"/>
                <w:sz w:val="20"/>
                <w:szCs w:val="20"/>
              </w:rPr>
              <w:t>Ou (15 + 45)</w:t>
            </w:r>
          </w:p>
        </w:tc>
        <w:tc>
          <w:tcPr>
            <w:tcW w:w="47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500 x 1,1 /500 = 1,1</w:t>
            </w:r>
          </w:p>
          <w:p w:rsidR="007432B3" w:rsidRDefault="007432B3" w:rsidP="001F48A5">
            <w:pPr>
              <w:pStyle w:val="Standard"/>
              <w:spacing w:after="0" w:line="240" w:lineRule="auto"/>
            </w:pPr>
          </w:p>
        </w:tc>
        <w:tc>
          <w:tcPr>
            <w:tcW w:w="20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r>
              <w:rPr>
                <w:sz w:val="20"/>
                <w:szCs w:val="20"/>
              </w:rPr>
              <w:t>66</w:t>
            </w:r>
          </w:p>
        </w:tc>
        <w:tc>
          <w:tcPr>
            <w:tcW w:w="1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p>
        </w:tc>
      </w:tr>
      <w:tr w:rsidR="007432B3" w:rsidRPr="00F66924" w:rsidTr="007432B3">
        <w:trPr>
          <w:trHeight w:val="340"/>
          <w:jc w:val="center"/>
        </w:trPr>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TVA collectée</w:t>
            </w:r>
          </w:p>
        </w:tc>
        <w:tc>
          <w:tcPr>
            <w:tcW w:w="14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B04D18">
            <w:pPr>
              <w:pStyle w:val="Standard"/>
              <w:spacing w:after="0" w:line="240" w:lineRule="auto"/>
              <w:jc w:val="center"/>
            </w:pPr>
            <w:r>
              <w:rPr>
                <w:sz w:val="20"/>
                <w:szCs w:val="20"/>
              </w:rPr>
              <w:t>(20+50)/2=35</w:t>
            </w:r>
          </w:p>
        </w:tc>
        <w:tc>
          <w:tcPr>
            <w:tcW w:w="47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500 x 0,10/500 = 0,10</w:t>
            </w:r>
          </w:p>
        </w:tc>
        <w:tc>
          <w:tcPr>
            <w:tcW w:w="20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p>
        </w:tc>
        <w:tc>
          <w:tcPr>
            <w:tcW w:w="1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r>
              <w:rPr>
                <w:sz w:val="20"/>
                <w:szCs w:val="20"/>
              </w:rPr>
              <w:t>4</w:t>
            </w:r>
          </w:p>
        </w:tc>
      </w:tr>
      <w:tr w:rsidR="007432B3" w:rsidRPr="00F66924" w:rsidTr="007432B3">
        <w:trPr>
          <w:jc w:val="center"/>
        </w:trPr>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r>
              <w:rPr>
                <w:sz w:val="20"/>
                <w:szCs w:val="20"/>
              </w:rPr>
              <w:t>Totaux</w:t>
            </w:r>
          </w:p>
        </w:tc>
        <w:tc>
          <w:tcPr>
            <w:tcW w:w="14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p>
        </w:tc>
        <w:tc>
          <w:tcPr>
            <w:tcW w:w="47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pPr>
          </w:p>
        </w:tc>
        <w:tc>
          <w:tcPr>
            <w:tcW w:w="20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r>
              <w:rPr>
                <w:sz w:val="20"/>
                <w:szCs w:val="20"/>
              </w:rPr>
              <w:t>91</w:t>
            </w:r>
          </w:p>
        </w:tc>
        <w:tc>
          <w:tcPr>
            <w:tcW w:w="1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432B3" w:rsidRDefault="007432B3" w:rsidP="001F48A5">
            <w:pPr>
              <w:pStyle w:val="Standard"/>
              <w:spacing w:after="0" w:line="240" w:lineRule="auto"/>
              <w:jc w:val="center"/>
            </w:pPr>
            <w:r>
              <w:rPr>
                <w:sz w:val="20"/>
                <w:szCs w:val="20"/>
              </w:rPr>
              <w:t>24</w:t>
            </w:r>
          </w:p>
        </w:tc>
      </w:tr>
    </w:tbl>
    <w:p w:rsidR="007432B3" w:rsidRDefault="007432B3" w:rsidP="00A43B0A">
      <w:pPr>
        <w:pStyle w:val="Standard"/>
        <w:spacing w:after="0" w:line="240" w:lineRule="auto"/>
      </w:pPr>
    </w:p>
    <w:p w:rsidR="00817C79" w:rsidRDefault="00A80301" w:rsidP="00A43B0A">
      <w:pPr>
        <w:pStyle w:val="Standard"/>
        <w:spacing w:after="0" w:line="240" w:lineRule="auto"/>
      </w:pPr>
      <w:r>
        <w:t>BFR en jours de chiffre d’affaires : 91 – 24 = 67 jours.</w:t>
      </w:r>
    </w:p>
    <w:p w:rsidR="00817C79" w:rsidRPr="004461C0" w:rsidRDefault="00817C79" w:rsidP="00A43B0A">
      <w:pPr>
        <w:pStyle w:val="Standard"/>
        <w:spacing w:after="0" w:line="240" w:lineRule="auto"/>
        <w:rPr>
          <w:sz w:val="20"/>
          <w:szCs w:val="20"/>
        </w:rPr>
      </w:pPr>
    </w:p>
    <w:p w:rsidR="007432B3" w:rsidRDefault="007432B3" w:rsidP="00A43B0A">
      <w:pPr>
        <w:pStyle w:val="Pieddepage"/>
        <w:spacing w:after="0" w:line="240" w:lineRule="auto"/>
        <w:jc w:val="right"/>
      </w:pPr>
    </w:p>
    <w:p w:rsidR="007432B3" w:rsidRDefault="007432B3" w:rsidP="00A43B0A">
      <w:pPr>
        <w:pStyle w:val="Pieddepage"/>
        <w:spacing w:after="0" w:line="240" w:lineRule="auto"/>
        <w:jc w:val="right"/>
      </w:pPr>
    </w:p>
    <w:p w:rsidR="007432B3" w:rsidRDefault="007432B3" w:rsidP="00A43B0A">
      <w:pPr>
        <w:pStyle w:val="Pieddepage"/>
        <w:spacing w:after="0" w:line="240" w:lineRule="auto"/>
        <w:jc w:val="right"/>
        <w:sectPr w:rsidR="007432B3">
          <w:headerReference w:type="default" r:id="rId11"/>
          <w:pgSz w:w="16838" w:h="11906" w:orient="landscape"/>
          <w:pgMar w:top="1417" w:right="1417" w:bottom="1417" w:left="1417" w:header="0" w:footer="708" w:gutter="0"/>
          <w:cols w:space="720"/>
          <w:formProt w:val="0"/>
          <w:docGrid w:linePitch="360"/>
        </w:sectPr>
      </w:pPr>
    </w:p>
    <w:p w:rsidR="00817C79" w:rsidRDefault="00A80301" w:rsidP="00A43B0A">
      <w:pPr>
        <w:pStyle w:val="Standard"/>
        <w:widowControl/>
        <w:pBdr>
          <w:top w:val="single" w:sz="4" w:space="0" w:color="00000A"/>
          <w:left w:val="single" w:sz="4" w:space="0" w:color="00000A"/>
          <w:bottom w:val="single" w:sz="4" w:space="0" w:color="00000A"/>
          <w:right w:val="single" w:sz="4" w:space="0" w:color="00000A"/>
        </w:pBdr>
        <w:spacing w:after="0" w:line="240" w:lineRule="auto"/>
        <w:jc w:val="center"/>
      </w:pPr>
      <w:r>
        <w:rPr>
          <w:b/>
          <w:u w:val="single"/>
        </w:rPr>
        <w:lastRenderedPageBreak/>
        <w:t>DOSSIER 3 – CHOIX DE FINANCEMENT</w:t>
      </w:r>
    </w:p>
    <w:p w:rsidR="007432B3" w:rsidRDefault="007432B3" w:rsidP="00A43B0A">
      <w:pPr>
        <w:pStyle w:val="Standard"/>
        <w:widowControl/>
        <w:spacing w:after="0" w:line="240" w:lineRule="auto"/>
        <w:rPr>
          <w:b/>
          <w:u w:val="single"/>
        </w:rPr>
      </w:pPr>
    </w:p>
    <w:p w:rsidR="00817C79" w:rsidRDefault="00A80301" w:rsidP="00A43B0A">
      <w:pPr>
        <w:pStyle w:val="Standard"/>
        <w:widowControl/>
        <w:spacing w:after="0" w:line="240" w:lineRule="auto"/>
      </w:pPr>
      <w:r>
        <w:rPr>
          <w:b/>
          <w:u w:val="single"/>
        </w:rPr>
        <w:t>Question 1 - coût de revient de l’emprunt :</w:t>
      </w:r>
    </w:p>
    <w:p w:rsidR="007432B3" w:rsidRDefault="007432B3" w:rsidP="00A43B0A">
      <w:pPr>
        <w:pStyle w:val="Standard"/>
        <w:widowControl/>
        <w:spacing w:after="0" w:line="240" w:lineRule="auto"/>
      </w:pPr>
    </w:p>
    <w:p w:rsidR="00817C79" w:rsidRDefault="00A80301" w:rsidP="00A43B0A">
      <w:pPr>
        <w:pStyle w:val="Standard"/>
        <w:widowControl/>
        <w:spacing w:after="0" w:line="240" w:lineRule="auto"/>
      </w:pPr>
      <w:r>
        <w:t>Coût de l’emprunt : 5.4% x (1 – 33,1/3%) = 3,6%</w:t>
      </w:r>
    </w:p>
    <w:p w:rsidR="007432B3" w:rsidRDefault="007432B3" w:rsidP="00A43B0A">
      <w:pPr>
        <w:pStyle w:val="Standard"/>
        <w:widowControl/>
        <w:spacing w:after="0" w:line="240" w:lineRule="auto"/>
        <w:rPr>
          <w:b/>
          <w:u w:val="single"/>
        </w:rPr>
      </w:pPr>
    </w:p>
    <w:p w:rsidR="00817C79" w:rsidRDefault="00A80301" w:rsidP="00A43B0A">
      <w:pPr>
        <w:pStyle w:val="Standard"/>
        <w:widowControl/>
        <w:spacing w:after="0" w:line="240" w:lineRule="auto"/>
        <w:rPr>
          <w:b/>
          <w:u w:val="single"/>
        </w:rPr>
      </w:pPr>
      <w:r>
        <w:rPr>
          <w:b/>
          <w:u w:val="single"/>
        </w:rPr>
        <w:t>Question 2 - Tableau des flux de trésorerie résultant de l’exécution du contrat de crédit-bail :</w:t>
      </w:r>
    </w:p>
    <w:p w:rsidR="007432B3" w:rsidRDefault="007432B3" w:rsidP="00A43B0A">
      <w:pPr>
        <w:pStyle w:val="Standard"/>
        <w:widowControl/>
        <w:spacing w:after="0" w:line="240" w:lineRule="auto"/>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1512"/>
        <w:gridCol w:w="1038"/>
        <w:gridCol w:w="983"/>
        <w:gridCol w:w="983"/>
        <w:gridCol w:w="983"/>
        <w:gridCol w:w="1252"/>
        <w:gridCol w:w="997"/>
        <w:gridCol w:w="1068"/>
      </w:tblGrid>
      <w:tr w:rsidR="007432B3" w:rsidRPr="00F66924" w:rsidTr="007432B3">
        <w:trPr>
          <w:jc w:val="center"/>
        </w:trPr>
        <w:tc>
          <w:tcPr>
            <w:tcW w:w="1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tc>
        <w:tc>
          <w:tcPr>
            <w:tcW w:w="1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57"/>
              <w:jc w:val="center"/>
            </w:pPr>
            <w:r>
              <w:t>0</w:t>
            </w:r>
          </w:p>
        </w:tc>
        <w:tc>
          <w:tcPr>
            <w:tcW w:w="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center"/>
            </w:pPr>
            <w:r>
              <w:t>1</w:t>
            </w:r>
          </w:p>
        </w:tc>
        <w:tc>
          <w:tcPr>
            <w:tcW w:w="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center"/>
            </w:pPr>
            <w:r>
              <w:t>2</w:t>
            </w:r>
          </w:p>
        </w:tc>
        <w:tc>
          <w:tcPr>
            <w:tcW w:w="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center"/>
            </w:pPr>
            <w:r>
              <w:t>3</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center"/>
            </w:pPr>
            <w:r>
              <w:t>4</w:t>
            </w: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center"/>
            </w:pPr>
            <w:r>
              <w:t>5</w:t>
            </w:r>
          </w:p>
        </w:tc>
        <w:tc>
          <w:tcPr>
            <w:tcW w:w="10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jc w:val="center"/>
            </w:pPr>
            <w:r>
              <w:t>6</w:t>
            </w:r>
          </w:p>
        </w:tc>
      </w:tr>
      <w:tr w:rsidR="007432B3" w:rsidRPr="00F66924" w:rsidTr="007432B3">
        <w:trPr>
          <w:jc w:val="center"/>
        </w:trPr>
        <w:tc>
          <w:tcPr>
            <w:tcW w:w="1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108"/>
            </w:pPr>
            <w:r>
              <w:rPr>
                <w:sz w:val="22"/>
                <w:szCs w:val="22"/>
              </w:rPr>
              <w:t>Financement</w:t>
            </w:r>
          </w:p>
          <w:p w:rsidR="007432B3" w:rsidRDefault="007432B3" w:rsidP="00A43B0A">
            <w:pPr>
              <w:pStyle w:val="Standard"/>
              <w:spacing w:after="0" w:line="240" w:lineRule="auto"/>
              <w:ind w:left="-108"/>
            </w:pPr>
          </w:p>
          <w:p w:rsidR="007432B3" w:rsidRDefault="007432B3" w:rsidP="00A43B0A">
            <w:pPr>
              <w:pStyle w:val="Standard"/>
              <w:spacing w:after="0" w:line="240" w:lineRule="auto"/>
              <w:ind w:left="-108"/>
            </w:pPr>
            <w:r>
              <w:rPr>
                <w:sz w:val="22"/>
                <w:szCs w:val="22"/>
              </w:rPr>
              <w:t>Dépôt de garantie</w:t>
            </w:r>
          </w:p>
          <w:p w:rsidR="007432B3" w:rsidRDefault="007432B3" w:rsidP="00A43B0A">
            <w:pPr>
              <w:pStyle w:val="Standard"/>
              <w:spacing w:after="0" w:line="240" w:lineRule="auto"/>
              <w:ind w:left="-108"/>
            </w:pPr>
          </w:p>
          <w:p w:rsidR="007432B3" w:rsidRDefault="007432B3" w:rsidP="00A43B0A">
            <w:pPr>
              <w:pStyle w:val="Standard"/>
              <w:spacing w:after="0" w:line="240" w:lineRule="auto"/>
              <w:ind w:left="-108"/>
            </w:pPr>
            <w:r>
              <w:rPr>
                <w:sz w:val="22"/>
                <w:szCs w:val="22"/>
              </w:rPr>
              <w:t>Redevances annuelles</w:t>
            </w:r>
          </w:p>
          <w:p w:rsidR="007432B3" w:rsidRDefault="007432B3" w:rsidP="00A43B0A">
            <w:pPr>
              <w:pStyle w:val="Standard"/>
              <w:spacing w:after="0" w:line="240" w:lineRule="auto"/>
              <w:ind w:left="-108"/>
            </w:pPr>
          </w:p>
          <w:p w:rsidR="007432B3" w:rsidRDefault="007432B3" w:rsidP="00A43B0A">
            <w:pPr>
              <w:pStyle w:val="Standard"/>
              <w:spacing w:after="0" w:line="240" w:lineRule="auto"/>
              <w:ind w:left="-108"/>
            </w:pPr>
            <w:r>
              <w:rPr>
                <w:sz w:val="22"/>
                <w:szCs w:val="22"/>
              </w:rPr>
              <w:t>Eco d’IS sur redevances</w:t>
            </w:r>
          </w:p>
          <w:p w:rsidR="007432B3" w:rsidRDefault="007432B3" w:rsidP="00A43B0A">
            <w:pPr>
              <w:pStyle w:val="Standard"/>
              <w:spacing w:after="0" w:line="240" w:lineRule="auto"/>
              <w:ind w:left="-108"/>
            </w:pPr>
          </w:p>
          <w:p w:rsidR="007432B3" w:rsidRDefault="007432B3" w:rsidP="00A43B0A">
            <w:pPr>
              <w:pStyle w:val="Standard"/>
              <w:spacing w:after="0" w:line="240" w:lineRule="auto"/>
              <w:ind w:left="-108"/>
            </w:pPr>
            <w:r>
              <w:rPr>
                <w:sz w:val="22"/>
                <w:szCs w:val="22"/>
              </w:rPr>
              <w:t xml:space="preserve">Perte d’IS sur </w:t>
            </w:r>
            <w:proofErr w:type="spellStart"/>
            <w:r>
              <w:rPr>
                <w:sz w:val="22"/>
                <w:szCs w:val="22"/>
              </w:rPr>
              <w:t>amortiss</w:t>
            </w:r>
            <w:proofErr w:type="spellEnd"/>
            <w:r>
              <w:rPr>
                <w:sz w:val="22"/>
                <w:szCs w:val="22"/>
              </w:rPr>
              <w:t>.</w:t>
            </w:r>
          </w:p>
          <w:p w:rsidR="007432B3" w:rsidRDefault="007432B3" w:rsidP="00A43B0A">
            <w:pPr>
              <w:pStyle w:val="Standard"/>
              <w:spacing w:after="0" w:line="240" w:lineRule="auto"/>
              <w:ind w:left="-108"/>
            </w:pPr>
          </w:p>
          <w:p w:rsidR="007432B3" w:rsidRDefault="007432B3" w:rsidP="00A43B0A">
            <w:pPr>
              <w:pStyle w:val="Standard"/>
              <w:spacing w:after="0" w:line="240" w:lineRule="auto"/>
              <w:ind w:left="-108"/>
            </w:pPr>
            <w:r>
              <w:rPr>
                <w:sz w:val="22"/>
                <w:szCs w:val="22"/>
              </w:rPr>
              <w:t>Option d’achat</w:t>
            </w:r>
          </w:p>
          <w:p w:rsidR="007432B3" w:rsidRDefault="007432B3" w:rsidP="00A43B0A">
            <w:pPr>
              <w:pStyle w:val="Standard"/>
              <w:spacing w:after="0" w:line="240" w:lineRule="auto"/>
              <w:ind w:left="-108"/>
            </w:pPr>
          </w:p>
          <w:p w:rsidR="007432B3" w:rsidRDefault="007432B3" w:rsidP="00A43B0A">
            <w:pPr>
              <w:pStyle w:val="Standard"/>
              <w:spacing w:after="0" w:line="240" w:lineRule="auto"/>
              <w:ind w:left="-108"/>
            </w:pPr>
            <w:r>
              <w:rPr>
                <w:sz w:val="22"/>
                <w:szCs w:val="22"/>
              </w:rPr>
              <w:t>Dépôt de garantie</w:t>
            </w:r>
          </w:p>
          <w:p w:rsidR="007432B3" w:rsidRDefault="007432B3" w:rsidP="00A43B0A">
            <w:pPr>
              <w:pStyle w:val="Standard"/>
              <w:spacing w:after="0" w:line="240" w:lineRule="auto"/>
              <w:ind w:left="-108"/>
            </w:pPr>
          </w:p>
          <w:p w:rsidR="007432B3" w:rsidRDefault="007432B3" w:rsidP="00A43B0A">
            <w:pPr>
              <w:pStyle w:val="Standard"/>
              <w:spacing w:after="0" w:line="240" w:lineRule="auto"/>
              <w:ind w:left="-108"/>
            </w:pPr>
            <w:r>
              <w:rPr>
                <w:sz w:val="22"/>
                <w:szCs w:val="22"/>
              </w:rPr>
              <w:t xml:space="preserve">Eco d’IS sur </w:t>
            </w:r>
            <w:proofErr w:type="spellStart"/>
            <w:r>
              <w:rPr>
                <w:sz w:val="22"/>
                <w:szCs w:val="22"/>
              </w:rPr>
              <w:t>amortiss</w:t>
            </w:r>
            <w:proofErr w:type="spellEnd"/>
            <w:r>
              <w:rPr>
                <w:sz w:val="22"/>
                <w:szCs w:val="22"/>
              </w:rPr>
              <w:t xml:space="preserve"> du matériel racheté</w:t>
            </w:r>
          </w:p>
        </w:tc>
        <w:tc>
          <w:tcPr>
            <w:tcW w:w="1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57"/>
            </w:pPr>
            <w:r>
              <w:rPr>
                <w:sz w:val="22"/>
                <w:szCs w:val="22"/>
              </w:rPr>
              <w:t>150 000</w:t>
            </w:r>
          </w:p>
          <w:p w:rsidR="007432B3" w:rsidRDefault="007432B3" w:rsidP="00A43B0A">
            <w:pPr>
              <w:pStyle w:val="Standard"/>
              <w:spacing w:after="0" w:line="240" w:lineRule="auto"/>
              <w:ind w:left="57"/>
            </w:pPr>
          </w:p>
          <w:p w:rsidR="007432B3" w:rsidRDefault="007432B3" w:rsidP="00A43B0A">
            <w:pPr>
              <w:pStyle w:val="Standard"/>
              <w:spacing w:after="0" w:line="240" w:lineRule="auto"/>
              <w:ind w:left="57"/>
            </w:pPr>
            <w:r>
              <w:rPr>
                <w:sz w:val="22"/>
                <w:szCs w:val="22"/>
              </w:rPr>
              <w:t>-10 000</w:t>
            </w:r>
          </w:p>
          <w:p w:rsidR="007432B3" w:rsidRDefault="007432B3" w:rsidP="00A43B0A">
            <w:pPr>
              <w:pStyle w:val="Standard"/>
              <w:spacing w:after="0" w:line="240" w:lineRule="auto"/>
              <w:ind w:left="57"/>
            </w:pPr>
          </w:p>
          <w:p w:rsidR="007432B3" w:rsidRDefault="007432B3" w:rsidP="00A43B0A">
            <w:pPr>
              <w:pStyle w:val="Standard"/>
              <w:spacing w:after="0" w:line="240" w:lineRule="auto"/>
              <w:ind w:left="57"/>
            </w:pPr>
            <w:r>
              <w:rPr>
                <w:sz w:val="22"/>
                <w:szCs w:val="22"/>
              </w:rPr>
              <w:t>-34 200</w:t>
            </w:r>
          </w:p>
          <w:p w:rsidR="007432B3" w:rsidRDefault="007432B3" w:rsidP="00A43B0A">
            <w:pPr>
              <w:pStyle w:val="Standard"/>
              <w:spacing w:after="0" w:line="240" w:lineRule="auto"/>
              <w:ind w:left="57"/>
            </w:pPr>
          </w:p>
        </w:tc>
        <w:tc>
          <w:tcPr>
            <w:tcW w:w="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r>
              <w:rPr>
                <w:sz w:val="22"/>
                <w:szCs w:val="22"/>
              </w:rPr>
              <w:t>-34 200</w:t>
            </w:r>
          </w:p>
          <w:p w:rsidR="007432B3" w:rsidRDefault="007432B3" w:rsidP="00A43B0A">
            <w:pPr>
              <w:pStyle w:val="Standard"/>
              <w:spacing w:after="0" w:line="240" w:lineRule="auto"/>
            </w:pPr>
          </w:p>
          <w:p w:rsidR="007432B3" w:rsidRDefault="007432B3" w:rsidP="00A43B0A">
            <w:pPr>
              <w:pStyle w:val="Standard"/>
              <w:spacing w:after="0" w:line="240" w:lineRule="auto"/>
            </w:pPr>
            <w:r>
              <w:rPr>
                <w:sz w:val="22"/>
                <w:szCs w:val="22"/>
              </w:rPr>
              <w:t>+11 400</w:t>
            </w:r>
          </w:p>
          <w:p w:rsidR="007432B3" w:rsidRDefault="007432B3" w:rsidP="00A43B0A">
            <w:pPr>
              <w:pStyle w:val="Standard"/>
              <w:spacing w:after="0" w:line="240" w:lineRule="auto"/>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r>
              <w:rPr>
                <w:sz w:val="22"/>
                <w:szCs w:val="22"/>
              </w:rPr>
              <w:t>-8 333</w:t>
            </w:r>
          </w:p>
        </w:tc>
        <w:tc>
          <w:tcPr>
            <w:tcW w:w="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r>
              <w:rPr>
                <w:sz w:val="22"/>
                <w:szCs w:val="22"/>
              </w:rPr>
              <w:t>-34 200</w:t>
            </w:r>
          </w:p>
          <w:p w:rsidR="007432B3" w:rsidRDefault="007432B3" w:rsidP="00A43B0A">
            <w:pPr>
              <w:pStyle w:val="Standard"/>
              <w:spacing w:after="0" w:line="240" w:lineRule="auto"/>
            </w:pPr>
          </w:p>
          <w:p w:rsidR="007432B3" w:rsidRDefault="007432B3" w:rsidP="00A43B0A">
            <w:pPr>
              <w:pStyle w:val="Standard"/>
              <w:spacing w:after="0" w:line="240" w:lineRule="auto"/>
            </w:pPr>
            <w:r>
              <w:rPr>
                <w:sz w:val="22"/>
                <w:szCs w:val="22"/>
              </w:rPr>
              <w:t>+11 400</w:t>
            </w:r>
          </w:p>
          <w:p w:rsidR="007432B3" w:rsidRDefault="007432B3" w:rsidP="00A43B0A">
            <w:pPr>
              <w:pStyle w:val="Standard"/>
              <w:spacing w:after="0" w:line="240" w:lineRule="auto"/>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r>
              <w:rPr>
                <w:sz w:val="22"/>
                <w:szCs w:val="22"/>
              </w:rPr>
              <w:t>-8 333</w:t>
            </w:r>
          </w:p>
        </w:tc>
        <w:tc>
          <w:tcPr>
            <w:tcW w:w="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r>
              <w:rPr>
                <w:sz w:val="22"/>
                <w:szCs w:val="22"/>
              </w:rPr>
              <w:t>-34 200</w:t>
            </w:r>
          </w:p>
          <w:p w:rsidR="007432B3" w:rsidRDefault="007432B3" w:rsidP="00A43B0A">
            <w:pPr>
              <w:pStyle w:val="Standard"/>
              <w:spacing w:after="0" w:line="240" w:lineRule="auto"/>
            </w:pPr>
          </w:p>
          <w:p w:rsidR="007432B3" w:rsidRDefault="007432B3" w:rsidP="00A43B0A">
            <w:pPr>
              <w:pStyle w:val="Standard"/>
              <w:spacing w:after="0" w:line="240" w:lineRule="auto"/>
            </w:pPr>
            <w:r>
              <w:rPr>
                <w:sz w:val="22"/>
                <w:szCs w:val="22"/>
              </w:rPr>
              <w:t>+11 400</w:t>
            </w:r>
          </w:p>
          <w:p w:rsidR="007432B3" w:rsidRDefault="007432B3" w:rsidP="00A43B0A">
            <w:pPr>
              <w:pStyle w:val="Standard"/>
              <w:spacing w:after="0" w:line="240" w:lineRule="auto"/>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r>
              <w:rPr>
                <w:sz w:val="22"/>
                <w:szCs w:val="22"/>
              </w:rPr>
              <w:t>-8 333</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r>
              <w:rPr>
                <w:sz w:val="22"/>
                <w:szCs w:val="22"/>
              </w:rPr>
              <w:t>+11 400</w:t>
            </w:r>
          </w:p>
          <w:p w:rsidR="007432B3" w:rsidRDefault="007432B3" w:rsidP="00A43B0A">
            <w:pPr>
              <w:pStyle w:val="Standard"/>
              <w:spacing w:after="0" w:line="240" w:lineRule="auto"/>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r>
              <w:rPr>
                <w:sz w:val="22"/>
                <w:szCs w:val="22"/>
              </w:rPr>
              <w:t>-8 333</w:t>
            </w: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r>
              <w:rPr>
                <w:sz w:val="22"/>
                <w:szCs w:val="22"/>
              </w:rPr>
              <w:t>-30 000</w:t>
            </w: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r>
              <w:rPr>
                <w:sz w:val="22"/>
                <w:szCs w:val="22"/>
              </w:rPr>
              <w:t>+ 10 000</w:t>
            </w: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r>
              <w:rPr>
                <w:sz w:val="22"/>
                <w:szCs w:val="22"/>
              </w:rPr>
              <w:t>-8 333</w:t>
            </w: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r>
              <w:rPr>
                <w:sz w:val="22"/>
                <w:szCs w:val="22"/>
              </w:rPr>
              <w:t>+5 000</w:t>
            </w:r>
          </w:p>
        </w:tc>
        <w:tc>
          <w:tcPr>
            <w:tcW w:w="10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r>
              <w:rPr>
                <w:sz w:val="22"/>
                <w:szCs w:val="22"/>
              </w:rPr>
              <w:t>-8 333</w:t>
            </w: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p>
          <w:p w:rsidR="007432B3" w:rsidRDefault="007432B3" w:rsidP="00A43B0A">
            <w:pPr>
              <w:pStyle w:val="Standard"/>
              <w:spacing w:after="0" w:line="240" w:lineRule="auto"/>
              <w:ind w:left="41"/>
            </w:pPr>
            <w:r>
              <w:rPr>
                <w:sz w:val="22"/>
                <w:szCs w:val="22"/>
              </w:rPr>
              <w:t>+5 000</w:t>
            </w:r>
          </w:p>
        </w:tc>
      </w:tr>
      <w:tr w:rsidR="007432B3" w:rsidRPr="00F66924" w:rsidTr="007432B3">
        <w:trPr>
          <w:jc w:val="center"/>
        </w:trPr>
        <w:tc>
          <w:tcPr>
            <w:tcW w:w="1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p>
        </w:tc>
        <w:tc>
          <w:tcPr>
            <w:tcW w:w="1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ind w:left="57"/>
            </w:pPr>
            <w:r>
              <w:rPr>
                <w:sz w:val="22"/>
                <w:szCs w:val="22"/>
              </w:rPr>
              <w:t>105 800</w:t>
            </w:r>
          </w:p>
        </w:tc>
        <w:tc>
          <w:tcPr>
            <w:tcW w:w="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sz w:val="22"/>
                <w:szCs w:val="22"/>
              </w:rPr>
              <w:t>-31 133</w:t>
            </w:r>
          </w:p>
        </w:tc>
        <w:tc>
          <w:tcPr>
            <w:tcW w:w="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sz w:val="22"/>
                <w:szCs w:val="22"/>
              </w:rPr>
              <w:t>-31 133</w:t>
            </w:r>
          </w:p>
        </w:tc>
        <w:tc>
          <w:tcPr>
            <w:tcW w:w="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sz w:val="22"/>
                <w:szCs w:val="22"/>
              </w:rPr>
              <w:t>-31 133</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sz w:val="22"/>
                <w:szCs w:val="22"/>
              </w:rPr>
              <w:t>-16 933</w:t>
            </w: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sz w:val="22"/>
                <w:szCs w:val="22"/>
              </w:rPr>
              <w:t>-3 333</w:t>
            </w:r>
          </w:p>
        </w:tc>
        <w:tc>
          <w:tcPr>
            <w:tcW w:w="10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32B3" w:rsidRDefault="007432B3" w:rsidP="00A43B0A">
            <w:pPr>
              <w:pStyle w:val="Standard"/>
              <w:spacing w:after="0" w:line="240" w:lineRule="auto"/>
            </w:pPr>
            <w:r>
              <w:rPr>
                <w:sz w:val="22"/>
                <w:szCs w:val="22"/>
              </w:rPr>
              <w:t>-3 333</w:t>
            </w:r>
          </w:p>
        </w:tc>
      </w:tr>
    </w:tbl>
    <w:p w:rsidR="00817C79" w:rsidRDefault="00817C79" w:rsidP="00A43B0A">
      <w:pPr>
        <w:pStyle w:val="Standard"/>
        <w:spacing w:after="0" w:line="240" w:lineRule="auto"/>
      </w:pPr>
    </w:p>
    <w:p w:rsidR="00817C79" w:rsidRDefault="00A80301" w:rsidP="00A43B0A">
      <w:pPr>
        <w:pStyle w:val="Standard"/>
        <w:spacing w:after="0" w:line="240" w:lineRule="auto"/>
      </w:pPr>
      <w:r>
        <w:rPr>
          <w:sz w:val="22"/>
          <w:szCs w:val="22"/>
        </w:rPr>
        <w:t>105 800 – 31 333 x 1,0418</w:t>
      </w:r>
      <w:r>
        <w:rPr>
          <w:sz w:val="22"/>
          <w:szCs w:val="22"/>
          <w:vertAlign w:val="superscript"/>
        </w:rPr>
        <w:t>-1</w:t>
      </w:r>
      <w:r>
        <w:rPr>
          <w:sz w:val="22"/>
          <w:szCs w:val="22"/>
        </w:rPr>
        <w:t xml:space="preserve">  – 31 333 x 1,0418</w:t>
      </w:r>
      <w:r>
        <w:rPr>
          <w:sz w:val="22"/>
          <w:szCs w:val="22"/>
          <w:vertAlign w:val="superscript"/>
        </w:rPr>
        <w:t>-2</w:t>
      </w:r>
      <w:r>
        <w:rPr>
          <w:sz w:val="22"/>
          <w:szCs w:val="22"/>
        </w:rPr>
        <w:t xml:space="preserve"> – 31 333 x 1,0418</w:t>
      </w:r>
      <w:r>
        <w:rPr>
          <w:sz w:val="22"/>
          <w:szCs w:val="22"/>
          <w:vertAlign w:val="superscript"/>
        </w:rPr>
        <w:t>-3</w:t>
      </w:r>
      <w:r>
        <w:rPr>
          <w:sz w:val="22"/>
          <w:szCs w:val="22"/>
        </w:rPr>
        <w:t xml:space="preserve"> – 16 933 x 1,0418</w:t>
      </w:r>
      <w:r>
        <w:rPr>
          <w:sz w:val="22"/>
          <w:szCs w:val="22"/>
          <w:vertAlign w:val="superscript"/>
        </w:rPr>
        <w:t>-4</w:t>
      </w:r>
      <w:r>
        <w:rPr>
          <w:sz w:val="22"/>
          <w:szCs w:val="22"/>
        </w:rPr>
        <w:t xml:space="preserve"> -  3 333  x 1,0418</w:t>
      </w:r>
      <w:r>
        <w:rPr>
          <w:sz w:val="22"/>
          <w:szCs w:val="22"/>
          <w:vertAlign w:val="superscript"/>
        </w:rPr>
        <w:t>-5</w:t>
      </w:r>
      <w:r>
        <w:rPr>
          <w:sz w:val="22"/>
          <w:szCs w:val="22"/>
        </w:rPr>
        <w:t xml:space="preserve"> +– 3 333 x 1,0418</w:t>
      </w:r>
      <w:r>
        <w:rPr>
          <w:sz w:val="22"/>
          <w:szCs w:val="22"/>
          <w:vertAlign w:val="superscript"/>
        </w:rPr>
        <w:t>-6</w:t>
      </w:r>
      <w:r>
        <w:rPr>
          <w:sz w:val="22"/>
          <w:szCs w:val="22"/>
        </w:rPr>
        <w:t xml:space="preserve"> = 0</w:t>
      </w:r>
    </w:p>
    <w:p w:rsidR="00817C79" w:rsidRDefault="00817C79" w:rsidP="00A43B0A">
      <w:pPr>
        <w:pStyle w:val="Standard"/>
        <w:spacing w:after="0" w:line="240" w:lineRule="auto"/>
      </w:pPr>
    </w:p>
    <w:p w:rsidR="00817C79" w:rsidRDefault="00817C79" w:rsidP="00A43B0A">
      <w:pPr>
        <w:pStyle w:val="Standard"/>
        <w:spacing w:after="0" w:line="240" w:lineRule="auto"/>
      </w:pPr>
    </w:p>
    <w:p w:rsidR="00817C79" w:rsidRDefault="00A80301" w:rsidP="00A43B0A">
      <w:pPr>
        <w:pStyle w:val="Standard"/>
        <w:widowControl/>
        <w:spacing w:after="0" w:line="240" w:lineRule="auto"/>
      </w:pPr>
      <w:r>
        <w:rPr>
          <w:b/>
          <w:u w:val="single"/>
        </w:rPr>
        <w:t>Question 3 - Modalités de financement à retenir :</w:t>
      </w:r>
    </w:p>
    <w:p w:rsidR="007432B3" w:rsidRDefault="007432B3" w:rsidP="00A43B0A">
      <w:pPr>
        <w:pStyle w:val="Standard"/>
        <w:spacing w:after="0" w:line="240" w:lineRule="auto"/>
        <w:rPr>
          <w:sz w:val="22"/>
          <w:szCs w:val="22"/>
        </w:rPr>
      </w:pPr>
    </w:p>
    <w:p w:rsidR="00817C79" w:rsidRDefault="00A80301" w:rsidP="00A43B0A">
      <w:pPr>
        <w:pStyle w:val="Standard"/>
        <w:spacing w:after="0" w:line="240" w:lineRule="auto"/>
      </w:pPr>
      <w:r>
        <w:rPr>
          <w:sz w:val="22"/>
          <w:szCs w:val="22"/>
        </w:rPr>
        <w:t>Le coût de revient de l’emprunt étant inférieur au coût de revient du crédit-bail, on retiendra le financement par emprunt</w:t>
      </w:r>
    </w:p>
    <w:p w:rsidR="00817C79" w:rsidRDefault="00817C79" w:rsidP="00A43B0A">
      <w:pPr>
        <w:pStyle w:val="Standard"/>
        <w:spacing w:after="0" w:line="240" w:lineRule="auto"/>
      </w:pPr>
    </w:p>
    <w:p w:rsidR="00817C79" w:rsidRDefault="00A80301" w:rsidP="00A43B0A">
      <w:pPr>
        <w:pStyle w:val="Standard"/>
        <w:widowControl/>
        <w:spacing w:after="0" w:line="240" w:lineRule="auto"/>
        <w:rPr>
          <w:b/>
          <w:u w:val="single"/>
        </w:rPr>
      </w:pPr>
      <w:r>
        <w:rPr>
          <w:b/>
          <w:u w:val="single"/>
        </w:rPr>
        <w:t>Question 4 - Avantages du financement par crédit-bail :</w:t>
      </w:r>
    </w:p>
    <w:p w:rsidR="007432B3" w:rsidRDefault="007432B3" w:rsidP="00A43B0A">
      <w:pPr>
        <w:pStyle w:val="Standard"/>
        <w:widowControl/>
        <w:spacing w:after="0" w:line="240" w:lineRule="auto"/>
      </w:pPr>
    </w:p>
    <w:p w:rsidR="00817C79" w:rsidRDefault="00A80301" w:rsidP="00A43B0A">
      <w:pPr>
        <w:pStyle w:val="Standard"/>
        <w:widowControl/>
        <w:numPr>
          <w:ilvl w:val="0"/>
          <w:numId w:val="1"/>
        </w:numPr>
        <w:spacing w:after="0" w:line="240" w:lineRule="auto"/>
      </w:pPr>
      <w:r>
        <w:t>Facilité d’obtention (les états financiers sont rarement demandés)</w:t>
      </w:r>
    </w:p>
    <w:p w:rsidR="00817C79" w:rsidRDefault="00A80301" w:rsidP="00A43B0A">
      <w:pPr>
        <w:pStyle w:val="Standard"/>
        <w:widowControl/>
        <w:numPr>
          <w:ilvl w:val="0"/>
          <w:numId w:val="1"/>
        </w:numPr>
        <w:spacing w:after="0" w:line="240" w:lineRule="auto"/>
      </w:pPr>
      <w:r>
        <w:t>Permet à l’entreprise de conserver en apparence sa capacité d’endettement</w:t>
      </w:r>
    </w:p>
    <w:p w:rsidR="00817C79" w:rsidRDefault="00A80301" w:rsidP="00A43B0A">
      <w:pPr>
        <w:pStyle w:val="Standard"/>
        <w:widowControl/>
        <w:numPr>
          <w:ilvl w:val="0"/>
          <w:numId w:val="1"/>
        </w:numPr>
        <w:spacing w:after="0" w:line="240" w:lineRule="auto"/>
      </w:pPr>
      <w:r>
        <w:t>Les redevances de crédit-bail sont déductibles</w:t>
      </w:r>
    </w:p>
    <w:p w:rsidR="00817C79" w:rsidRDefault="00A80301" w:rsidP="00A43B0A">
      <w:pPr>
        <w:pStyle w:val="Standard"/>
        <w:widowControl/>
        <w:numPr>
          <w:ilvl w:val="0"/>
          <w:numId w:val="1"/>
        </w:numPr>
        <w:spacing w:after="0" w:line="240" w:lineRule="auto"/>
      </w:pPr>
      <w:r>
        <w:t>Permet de mieux faire face à l’obsolescence</w:t>
      </w:r>
    </w:p>
    <w:p w:rsidR="00817C79" w:rsidRDefault="00817C79" w:rsidP="00A43B0A">
      <w:pPr>
        <w:pStyle w:val="Standard"/>
        <w:spacing w:after="0" w:line="240" w:lineRule="auto"/>
      </w:pPr>
    </w:p>
    <w:sectPr w:rsidR="00817C79" w:rsidSect="00D63390">
      <w:headerReference w:type="default" r:id="rId12"/>
      <w:pgSz w:w="11906" w:h="16838"/>
      <w:pgMar w:top="1417" w:right="1417" w:bottom="1417" w:left="1417" w:header="34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2F8" w:rsidRDefault="006B52F8" w:rsidP="00817C79">
      <w:pPr>
        <w:spacing w:after="0" w:line="240" w:lineRule="auto"/>
      </w:pPr>
      <w:r>
        <w:separator/>
      </w:r>
    </w:p>
  </w:endnote>
  <w:endnote w:type="continuationSeparator" w:id="0">
    <w:p w:rsidR="006B52F8" w:rsidRDefault="006B52F8" w:rsidP="0081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B3" w:rsidRPr="007432B3" w:rsidRDefault="007432B3" w:rsidP="007432B3">
    <w:pPr>
      <w:tabs>
        <w:tab w:val="center" w:pos="4536"/>
        <w:tab w:val="right" w:pos="9072"/>
      </w:tabs>
      <w:spacing w:after="0" w:line="240" w:lineRule="auto"/>
      <w:jc w:val="center"/>
      <w:rPr>
        <w:rFonts w:ascii="Times New Roman" w:eastAsia="Calibri" w:hAnsi="Times New Roman"/>
        <w:sz w:val="20"/>
        <w:szCs w:val="20"/>
        <w:lang w:eastAsia="en-US"/>
      </w:rPr>
    </w:pPr>
    <w:r w:rsidRPr="007432B3">
      <w:rPr>
        <w:rFonts w:eastAsia="Calibri"/>
        <w:b/>
        <w:bCs/>
        <w:lang w:eastAsia="en-US"/>
      </w:rPr>
      <w:t xml:space="preserve">© Réseau CRCF - Ministère de l'Éducation nationale - </w:t>
    </w:r>
    <w:hyperlink r:id="rId1" w:history="1">
      <w:r w:rsidRPr="007432B3">
        <w:rPr>
          <w:rFonts w:eastAsia="Calibri"/>
          <w:b/>
          <w:bCs/>
          <w:color w:val="0000FF"/>
          <w:u w:val="single"/>
          <w:lang w:eastAsia="en-US"/>
        </w:rPr>
        <w:t>http://crcf.ac-grenoble.fr</w:t>
      </w:r>
    </w:hyperlink>
    <w:r w:rsidRPr="007432B3">
      <w:rPr>
        <w:rFonts w:ascii="Times New Roman" w:eastAsia="Calibri" w:hAnsi="Times New Roman"/>
        <w:b/>
        <w:sz w:val="20"/>
        <w:szCs w:val="20"/>
        <w:lang w:eastAsia="en-US"/>
      </w:rPr>
      <w:tab/>
    </w:r>
    <w:r w:rsidR="00B40F1A" w:rsidRPr="007432B3">
      <w:rPr>
        <w:rFonts w:ascii="Times New Roman" w:eastAsia="Calibri" w:hAnsi="Times New Roman"/>
        <w:sz w:val="20"/>
        <w:lang w:eastAsia="en-US"/>
      </w:rPr>
      <w:fldChar w:fldCharType="begin"/>
    </w:r>
    <w:r w:rsidRPr="007432B3">
      <w:rPr>
        <w:rFonts w:ascii="Times New Roman" w:eastAsia="Calibri" w:hAnsi="Times New Roman"/>
        <w:sz w:val="20"/>
        <w:lang w:eastAsia="en-US"/>
      </w:rPr>
      <w:instrText xml:space="preserve"> PAGE </w:instrText>
    </w:r>
    <w:r w:rsidR="00B40F1A" w:rsidRPr="007432B3">
      <w:rPr>
        <w:rFonts w:ascii="Times New Roman" w:eastAsia="Calibri" w:hAnsi="Times New Roman"/>
        <w:sz w:val="20"/>
        <w:lang w:eastAsia="en-US"/>
      </w:rPr>
      <w:fldChar w:fldCharType="separate"/>
    </w:r>
    <w:r w:rsidR="00C052AD">
      <w:rPr>
        <w:rFonts w:ascii="Times New Roman" w:eastAsia="Calibri" w:hAnsi="Times New Roman"/>
        <w:noProof/>
        <w:sz w:val="20"/>
        <w:lang w:eastAsia="en-US"/>
      </w:rPr>
      <w:t>9</w:t>
    </w:r>
    <w:r w:rsidR="00B40F1A" w:rsidRPr="007432B3">
      <w:rPr>
        <w:rFonts w:ascii="Times New Roman" w:eastAsia="Calibri" w:hAnsi="Times New Roman"/>
        <w:sz w:val="20"/>
        <w:lang w:eastAsia="en-US"/>
      </w:rPr>
      <w:fldChar w:fldCharType="end"/>
    </w:r>
    <w:r w:rsidRPr="007432B3">
      <w:rPr>
        <w:rFonts w:ascii="Times New Roman" w:eastAsia="Calibri" w:hAnsi="Times New Roman"/>
        <w:sz w:val="20"/>
        <w:lang w:eastAsia="en-US"/>
      </w:rPr>
      <w:t>/</w:t>
    </w:r>
    <w:r w:rsidR="00B40F1A" w:rsidRPr="007432B3">
      <w:rPr>
        <w:rFonts w:ascii="Times New Roman" w:eastAsia="Calibri" w:hAnsi="Times New Roman"/>
        <w:sz w:val="20"/>
        <w:lang w:eastAsia="en-US"/>
      </w:rPr>
      <w:fldChar w:fldCharType="begin"/>
    </w:r>
    <w:r w:rsidRPr="007432B3">
      <w:rPr>
        <w:rFonts w:ascii="Times New Roman" w:eastAsia="Calibri" w:hAnsi="Times New Roman"/>
        <w:sz w:val="20"/>
        <w:lang w:eastAsia="en-US"/>
      </w:rPr>
      <w:instrText xml:space="preserve"> NUMPAGES </w:instrText>
    </w:r>
    <w:r w:rsidR="00B40F1A" w:rsidRPr="007432B3">
      <w:rPr>
        <w:rFonts w:ascii="Times New Roman" w:eastAsia="Calibri" w:hAnsi="Times New Roman"/>
        <w:sz w:val="20"/>
        <w:lang w:eastAsia="en-US"/>
      </w:rPr>
      <w:fldChar w:fldCharType="separate"/>
    </w:r>
    <w:r w:rsidR="00C052AD">
      <w:rPr>
        <w:rFonts w:ascii="Times New Roman" w:eastAsia="Calibri" w:hAnsi="Times New Roman"/>
        <w:noProof/>
        <w:sz w:val="20"/>
        <w:lang w:eastAsia="en-US"/>
      </w:rPr>
      <w:t>9</w:t>
    </w:r>
    <w:r w:rsidR="00B40F1A" w:rsidRPr="007432B3">
      <w:rPr>
        <w:rFonts w:ascii="Times New Roman" w:eastAsia="Calibri" w:hAnsi="Times New Roman"/>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2F8" w:rsidRDefault="006B52F8" w:rsidP="00817C79">
      <w:pPr>
        <w:spacing w:after="0" w:line="240" w:lineRule="auto"/>
      </w:pPr>
      <w:r>
        <w:separator/>
      </w:r>
    </w:p>
  </w:footnote>
  <w:footnote w:type="continuationSeparator" w:id="0">
    <w:p w:rsidR="006B52F8" w:rsidRDefault="006B52F8" w:rsidP="00817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90" w:rsidRPr="00D63390" w:rsidRDefault="00790898" w:rsidP="00D63390">
    <w:pPr>
      <w:pStyle w:val="En-tte"/>
      <w:tabs>
        <w:tab w:val="left" w:pos="555"/>
        <w:tab w:val="left" w:pos="3240"/>
        <w:tab w:val="right" w:pos="10580"/>
      </w:tabs>
    </w:pPr>
    <w:r>
      <w:rPr>
        <w:noProof/>
      </w:rPr>
      <w:drawing>
        <wp:anchor distT="0" distB="0" distL="114300" distR="114300" simplePos="0" relativeHeight="251654656"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390">
      <w:tab/>
    </w:r>
    <w:r w:rsidR="00D63390">
      <w:tab/>
    </w:r>
    <w:r w:rsidR="00D63390">
      <w:tab/>
    </w:r>
    <w:r w:rsidR="00D63390">
      <w:tab/>
    </w:r>
    <w:r w:rsidR="00D633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60800;mso-position-horizontal:center;mso-position-horizontal-relative:margin;mso-position-vertical:center;mso-position-vertical-relative:margin" o:allowincell="f">
          <v:imagedata r:id="rId2" o:title=""/>
          <w10:wrap anchorx="margin" anchory="margin"/>
        </v:shape>
      </w:pict>
    </w:r>
    <w:hyperlink r:id="rId3" w:history="1">
      <w:r w:rsidR="00D63390" w:rsidRPr="001C2C1B">
        <w:rPr>
          <w:rStyle w:val="Lienhypertexte"/>
          <w:rFonts w:cs="Calibri"/>
          <w:color w:val="E36C0A"/>
        </w:rPr>
        <w:t>www.comptazine.fr</w:t>
      </w:r>
    </w:hyperlink>
    <w:r>
      <w:rPr>
        <w:noProof/>
      </w:rPr>
      <mc:AlternateContent>
        <mc:Choice Requires="wps">
          <w:drawing>
            <wp:anchor distT="0" distB="0" distL="114300" distR="114300" simplePos="0" relativeHeight="251653632"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90" w:rsidRPr="005E18B7" w:rsidRDefault="00D63390" w:rsidP="00D63390">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ktw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c/3iZLcC&#10;AACvBQAADgAAAAAAAAAAAAAAAAAuAgAAZHJzL2Uyb0RvYy54bWxQSwECLQAUAAYACAAAACEAHcf0&#10;buAAAAAKAQAADwAAAAAAAAAAAAAAAAARBQAAZHJzL2Rvd25yZXYueG1sUEsFBgAAAAAEAAQA8wAA&#10;AB4GAAAAAA==&#10;" filled="f" stroked="f">
              <v:textbox inset="0,0,0,0">
                <w:txbxContent>
                  <w:p w:rsidR="00D63390" w:rsidRPr="005E18B7" w:rsidRDefault="00D63390" w:rsidP="00D63390">
                    <w:pPr>
                      <w:spacing w:before="7"/>
                      <w:ind w:left="20" w:right="-49"/>
                      <w:rPr>
                        <w:rFonts w:ascii="Arial" w:hAnsi="Arial" w:cs="Arial"/>
                        <w:sz w:val="16"/>
                        <w:szCs w:val="16"/>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90" w:rsidRDefault="00790898" w:rsidP="00D63390">
    <w:pPr>
      <w:pStyle w:val="En-tte"/>
      <w:tabs>
        <w:tab w:val="left" w:pos="555"/>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7769225</wp:posOffset>
          </wp:positionH>
          <wp:positionV relativeFrom="paragraph">
            <wp:posOffset>186055</wp:posOffset>
          </wp:positionV>
          <wp:extent cx="381000" cy="38100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390">
      <w:tab/>
    </w:r>
    <w:r w:rsidR="00D63390">
      <w:tab/>
    </w:r>
    <w:r w:rsidR="00D63390">
      <w:tab/>
    </w:r>
    <w:r w:rsidR="00D63390">
      <w:tab/>
    </w:r>
  </w:p>
  <w:p w:rsidR="00D63390" w:rsidRPr="00D63390" w:rsidRDefault="00D63390" w:rsidP="00D63390">
    <w:pPr>
      <w:pStyle w:val="En-tte"/>
      <w:tabs>
        <w:tab w:val="left" w:pos="555"/>
        <w:tab w:val="left" w:pos="3240"/>
        <w:tab w:val="right" w:pos="10580"/>
      </w:tabs>
    </w:pPr>
    <w:r>
      <w:tab/>
    </w:r>
    <w:r>
      <w:tab/>
    </w:r>
    <w:r>
      <w:tab/>
    </w:r>
    <w:r>
      <w:tab/>
    </w:r>
    <w: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Pr="001C2C1B">
        <w:rPr>
          <w:rStyle w:val="Lienhypertexte"/>
          <w:rFonts w:cs="Calibri"/>
          <w:color w:val="E36C0A"/>
        </w:rPr>
        <w:t>www.comptazine.fr</w:t>
      </w:r>
    </w:hyperlink>
    <w:r w:rsidR="00790898">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90" w:rsidRPr="005E18B7" w:rsidRDefault="00D63390" w:rsidP="00D63390">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8PXugIAALY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" filled="f" stroked="f">
              <v:textbox inset="0,0,0,0">
                <w:txbxContent>
                  <w:p w:rsidR="00D63390" w:rsidRPr="005E18B7" w:rsidRDefault="00D63390" w:rsidP="00D63390">
                    <w:pPr>
                      <w:spacing w:before="7"/>
                      <w:ind w:left="20" w:right="-49"/>
                      <w:rPr>
                        <w:rFonts w:ascii="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90" w:rsidRPr="00D63390" w:rsidRDefault="00790898" w:rsidP="00D63390">
    <w:pPr>
      <w:pStyle w:val="En-tte"/>
      <w:tabs>
        <w:tab w:val="left" w:pos="555"/>
        <w:tab w:val="left" w:pos="3240"/>
        <w:tab w:val="right" w:pos="10580"/>
      </w:tabs>
    </w:pPr>
    <w:r>
      <w:rPr>
        <w:noProof/>
      </w:rPr>
      <w:drawing>
        <wp:anchor distT="0" distB="0" distL="114300" distR="114300" simplePos="0" relativeHeight="251660800"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390">
      <w:tab/>
    </w:r>
    <w:r w:rsidR="00D63390">
      <w:tab/>
    </w:r>
    <w:r w:rsidR="00D63390">
      <w:tab/>
    </w:r>
    <w:r w:rsidR="00D63390">
      <w:tab/>
    </w:r>
    <w:r w:rsidR="00D633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width:495.9pt;height:495.9pt;z-index:-251654656;mso-position-horizontal:center;mso-position-horizontal-relative:margin;mso-position-vertical:center;mso-position-vertical-relative:margin" o:allowincell="f">
          <v:imagedata r:id="rId2" o:title=""/>
          <w10:wrap anchorx="margin" anchory="margin"/>
        </v:shape>
      </w:pict>
    </w:r>
    <w:hyperlink r:id="rId3" w:history="1">
      <w:r w:rsidR="00D63390" w:rsidRPr="001C2C1B">
        <w:rPr>
          <w:rStyle w:val="Lienhypertexte"/>
          <w:rFonts w:cs="Calibri"/>
          <w:color w:val="E36C0A"/>
        </w:rPr>
        <w:t>www.comptazine.fr</w:t>
      </w:r>
    </w:hyperlink>
    <w:r>
      <w:rPr>
        <w:noProof/>
      </w:rPr>
      <mc:AlternateContent>
        <mc:Choice Requires="wps">
          <w:drawing>
            <wp:anchor distT="0" distB="0" distL="114300" distR="114300" simplePos="0" relativeHeight="251659776"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90" w:rsidRPr="005E18B7" w:rsidRDefault="00D63390" w:rsidP="00D63390">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1.5pt;margin-top:60.95pt;width:167.45pt;height:11.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" filled="f" stroked="f">
              <v:textbox inset="0,0,0,0">
                <w:txbxContent>
                  <w:p w:rsidR="00D63390" w:rsidRPr="005E18B7" w:rsidRDefault="00D63390" w:rsidP="00D63390">
                    <w:pPr>
                      <w:spacing w:before="7"/>
                      <w:ind w:left="20" w:right="-49"/>
                      <w:rPr>
                        <w:rFonts w:ascii="Arial" w:hAnsi="Arial" w:cs="Arial"/>
                        <w:sz w:val="16"/>
                        <w:szCs w:val="16"/>
                      </w:rPr>
                    </w:pPr>
                  </w:p>
                </w:txbxContent>
              </v:textbox>
              <w10:wrap anchorx="page" anchory="page"/>
            </v:shape>
          </w:pict>
        </mc:Fallback>
      </mc:AlternateContent>
    </w:r>
  </w:p>
  <w:p w:rsidR="00D63390" w:rsidRPr="00D63390" w:rsidRDefault="00D63390" w:rsidP="00D633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9689B"/>
    <w:multiLevelType w:val="multilevel"/>
    <w:tmpl w:val="96F26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3D20FC"/>
    <w:multiLevelType w:val="multilevel"/>
    <w:tmpl w:val="4CCC7ECA"/>
    <w:lvl w:ilvl="0">
      <w:start w:val="2"/>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7B43A5A"/>
    <w:multiLevelType w:val="multilevel"/>
    <w:tmpl w:val="8F763E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2503B9E"/>
    <w:multiLevelType w:val="multilevel"/>
    <w:tmpl w:val="9DFC3A8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63493A"/>
    <w:multiLevelType w:val="multilevel"/>
    <w:tmpl w:val="DAB0261C"/>
    <w:lvl w:ilvl="0">
      <w:start w:val="1"/>
      <w:numFmt w:val="decimal"/>
      <w:lvlText w:val="%1."/>
      <w:lvlJc w:val="left"/>
      <w:pPr>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FD31AB8"/>
    <w:multiLevelType w:val="hybridMultilevel"/>
    <w:tmpl w:val="95A09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894D7E"/>
    <w:multiLevelType w:val="multilevel"/>
    <w:tmpl w:val="4A6098F6"/>
    <w:lvl w:ilvl="0">
      <w:start w:val="1"/>
      <w:numFmt w:val="decimal"/>
      <w:lvlText w:val="%1."/>
      <w:lvlJc w:val="left"/>
      <w:pPr>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F0F4832"/>
    <w:multiLevelType w:val="multilevel"/>
    <w:tmpl w:val="D15A07C4"/>
    <w:lvl w:ilvl="0">
      <w:start w:val="13"/>
      <w:numFmt w:val="bullet"/>
      <w:lvlText w:val="-"/>
      <w:lvlJc w:val="left"/>
      <w:pPr>
        <w:ind w:left="252" w:hanging="360"/>
      </w:pPr>
      <w:rPr>
        <w:rFonts w:ascii="Times New Roman" w:hAnsi="Times New Roman" w:cs="Times New Roman" w:hint="default"/>
      </w:rPr>
    </w:lvl>
    <w:lvl w:ilvl="1">
      <w:start w:val="1"/>
      <w:numFmt w:val="bullet"/>
      <w:lvlText w:val="o"/>
      <w:lvlJc w:val="left"/>
      <w:pPr>
        <w:ind w:left="972" w:hanging="360"/>
      </w:pPr>
      <w:rPr>
        <w:rFonts w:ascii="Courier New" w:hAnsi="Courier New" w:cs="Courier New" w:hint="default"/>
      </w:rPr>
    </w:lvl>
    <w:lvl w:ilvl="2">
      <w:start w:val="1"/>
      <w:numFmt w:val="bullet"/>
      <w:lvlText w:val=""/>
      <w:lvlJc w:val="left"/>
      <w:pPr>
        <w:ind w:left="1692" w:hanging="360"/>
      </w:pPr>
      <w:rPr>
        <w:rFonts w:ascii="Wingdings" w:hAnsi="Wingdings" w:cs="Wingdings" w:hint="default"/>
      </w:rPr>
    </w:lvl>
    <w:lvl w:ilvl="3">
      <w:start w:val="1"/>
      <w:numFmt w:val="bullet"/>
      <w:lvlText w:val=""/>
      <w:lvlJc w:val="left"/>
      <w:pPr>
        <w:ind w:left="2412" w:hanging="360"/>
      </w:pPr>
      <w:rPr>
        <w:rFonts w:ascii="Symbol" w:hAnsi="Symbol" w:cs="Symbol" w:hint="default"/>
      </w:rPr>
    </w:lvl>
    <w:lvl w:ilvl="4">
      <w:start w:val="1"/>
      <w:numFmt w:val="bullet"/>
      <w:lvlText w:val="o"/>
      <w:lvlJc w:val="left"/>
      <w:pPr>
        <w:ind w:left="3132" w:hanging="360"/>
      </w:pPr>
      <w:rPr>
        <w:rFonts w:ascii="Courier New" w:hAnsi="Courier New" w:cs="Courier New" w:hint="default"/>
      </w:rPr>
    </w:lvl>
    <w:lvl w:ilvl="5">
      <w:start w:val="1"/>
      <w:numFmt w:val="bullet"/>
      <w:lvlText w:val=""/>
      <w:lvlJc w:val="left"/>
      <w:pPr>
        <w:ind w:left="3852" w:hanging="360"/>
      </w:pPr>
      <w:rPr>
        <w:rFonts w:ascii="Wingdings" w:hAnsi="Wingdings" w:cs="Wingdings" w:hint="default"/>
      </w:rPr>
    </w:lvl>
    <w:lvl w:ilvl="6">
      <w:start w:val="1"/>
      <w:numFmt w:val="bullet"/>
      <w:lvlText w:val=""/>
      <w:lvlJc w:val="left"/>
      <w:pPr>
        <w:ind w:left="4572" w:hanging="360"/>
      </w:pPr>
      <w:rPr>
        <w:rFonts w:ascii="Symbol" w:hAnsi="Symbol" w:cs="Symbol" w:hint="default"/>
      </w:rPr>
    </w:lvl>
    <w:lvl w:ilvl="7">
      <w:start w:val="1"/>
      <w:numFmt w:val="bullet"/>
      <w:lvlText w:val="o"/>
      <w:lvlJc w:val="left"/>
      <w:pPr>
        <w:ind w:left="5292" w:hanging="360"/>
      </w:pPr>
      <w:rPr>
        <w:rFonts w:ascii="Courier New" w:hAnsi="Courier New" w:cs="Courier New" w:hint="default"/>
      </w:rPr>
    </w:lvl>
    <w:lvl w:ilvl="8">
      <w:start w:val="1"/>
      <w:numFmt w:val="bullet"/>
      <w:lvlText w:val=""/>
      <w:lvlJc w:val="left"/>
      <w:pPr>
        <w:ind w:left="6012" w:hanging="360"/>
      </w:pPr>
      <w:rPr>
        <w:rFonts w:ascii="Wingdings" w:hAnsi="Wingdings" w:cs="Wingdings" w:hint="default"/>
      </w:rPr>
    </w:lvl>
  </w:abstractNum>
  <w:num w:numId="1">
    <w:abstractNumId w:val="7"/>
  </w:num>
  <w:num w:numId="2">
    <w:abstractNumId w:val="0"/>
  </w:num>
  <w:num w:numId="3">
    <w:abstractNumId w:val="6"/>
  </w:num>
  <w:num w:numId="4">
    <w:abstractNumId w:val="3"/>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79"/>
    <w:rsid w:val="000144CF"/>
    <w:rsid w:val="00100EF0"/>
    <w:rsid w:val="001023BE"/>
    <w:rsid w:val="00135BD2"/>
    <w:rsid w:val="00195A36"/>
    <w:rsid w:val="001F1184"/>
    <w:rsid w:val="001F48A5"/>
    <w:rsid w:val="002447CC"/>
    <w:rsid w:val="00297C91"/>
    <w:rsid w:val="002B3916"/>
    <w:rsid w:val="00301FB9"/>
    <w:rsid w:val="00373E27"/>
    <w:rsid w:val="00425630"/>
    <w:rsid w:val="004461C0"/>
    <w:rsid w:val="00487C3D"/>
    <w:rsid w:val="005D72DD"/>
    <w:rsid w:val="00623A93"/>
    <w:rsid w:val="006A440D"/>
    <w:rsid w:val="006B4403"/>
    <w:rsid w:val="006B52F8"/>
    <w:rsid w:val="006E44D6"/>
    <w:rsid w:val="007432B3"/>
    <w:rsid w:val="0075665F"/>
    <w:rsid w:val="00790898"/>
    <w:rsid w:val="0079752F"/>
    <w:rsid w:val="00817C79"/>
    <w:rsid w:val="009346B0"/>
    <w:rsid w:val="00946335"/>
    <w:rsid w:val="009A39D3"/>
    <w:rsid w:val="00A43B0A"/>
    <w:rsid w:val="00A80301"/>
    <w:rsid w:val="00AA5320"/>
    <w:rsid w:val="00B04D18"/>
    <w:rsid w:val="00B140AD"/>
    <w:rsid w:val="00B40F1A"/>
    <w:rsid w:val="00B9002F"/>
    <w:rsid w:val="00BD265E"/>
    <w:rsid w:val="00C052AD"/>
    <w:rsid w:val="00C65A89"/>
    <w:rsid w:val="00D61461"/>
    <w:rsid w:val="00D63390"/>
    <w:rsid w:val="00D80F46"/>
    <w:rsid w:val="00D90528"/>
    <w:rsid w:val="00DB4C92"/>
    <w:rsid w:val="00E012BD"/>
    <w:rsid w:val="00E51EF8"/>
    <w:rsid w:val="00F66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03"/>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17C79"/>
    <w:pPr>
      <w:widowControl w:val="0"/>
      <w:suppressAutoHyphens/>
      <w:spacing w:after="200" w:line="276" w:lineRule="auto"/>
    </w:pPr>
    <w:rPr>
      <w:rFonts w:ascii="Times New Roman" w:hAnsi="Times New Roman"/>
      <w:color w:val="00000A"/>
      <w:sz w:val="24"/>
      <w:szCs w:val="24"/>
    </w:rPr>
  </w:style>
  <w:style w:type="character" w:customStyle="1" w:styleId="En-tteCar">
    <w:name w:val="En-tête Car"/>
    <w:basedOn w:val="Policepardfaut"/>
    <w:uiPriority w:val="99"/>
    <w:rsid w:val="00817C79"/>
    <w:rPr>
      <w:rFonts w:ascii="Times New Roman" w:eastAsia="Times New Roman" w:hAnsi="Times New Roman" w:cs="Times New Roman"/>
      <w:sz w:val="24"/>
      <w:szCs w:val="24"/>
      <w:lang w:eastAsia="fr-FR"/>
    </w:rPr>
  </w:style>
  <w:style w:type="character" w:customStyle="1" w:styleId="PieddepageCar">
    <w:name w:val="Pied de page Car"/>
    <w:basedOn w:val="Policepardfaut"/>
    <w:rsid w:val="00817C79"/>
    <w:rPr>
      <w:rFonts w:ascii="Times New Roman" w:eastAsia="Times New Roman" w:hAnsi="Times New Roman" w:cs="Times New Roman"/>
      <w:sz w:val="24"/>
      <w:szCs w:val="24"/>
      <w:lang w:eastAsia="fr-FR"/>
    </w:rPr>
  </w:style>
  <w:style w:type="character" w:customStyle="1" w:styleId="TextedebullesCar">
    <w:name w:val="Texte de bulles Car"/>
    <w:basedOn w:val="Policepardfaut"/>
    <w:rsid w:val="00817C79"/>
    <w:rPr>
      <w:rFonts w:ascii="Tahoma" w:eastAsia="Times New Roman" w:hAnsi="Tahoma" w:cs="Tahoma"/>
      <w:sz w:val="16"/>
      <w:szCs w:val="16"/>
    </w:rPr>
  </w:style>
  <w:style w:type="character" w:customStyle="1" w:styleId="ListLabel1">
    <w:name w:val="ListLabel 1"/>
    <w:rsid w:val="00817C79"/>
    <w:rPr>
      <w:rFonts w:eastAsia="Times New Roman" w:cs="Times New Roman"/>
    </w:rPr>
  </w:style>
  <w:style w:type="character" w:customStyle="1" w:styleId="ListLabel2">
    <w:name w:val="ListLabel 2"/>
    <w:rsid w:val="00817C79"/>
    <w:rPr>
      <w:rFonts w:cs="Courier New"/>
    </w:rPr>
  </w:style>
  <w:style w:type="character" w:customStyle="1" w:styleId="ListLabel3">
    <w:name w:val="ListLabel 3"/>
    <w:rsid w:val="00817C79"/>
    <w:rPr>
      <w:color w:val="00000A"/>
    </w:rPr>
  </w:style>
  <w:style w:type="character" w:customStyle="1" w:styleId="ListLabel4">
    <w:name w:val="ListLabel 4"/>
    <w:rsid w:val="00817C79"/>
    <w:rPr>
      <w:rFonts w:cs="Times New Roman"/>
    </w:rPr>
  </w:style>
  <w:style w:type="character" w:customStyle="1" w:styleId="ListLabel5">
    <w:name w:val="ListLabel 5"/>
    <w:rsid w:val="00817C79"/>
    <w:rPr>
      <w:rFonts w:cs="Courier New"/>
    </w:rPr>
  </w:style>
  <w:style w:type="character" w:customStyle="1" w:styleId="ListLabel6">
    <w:name w:val="ListLabel 6"/>
    <w:rsid w:val="00817C79"/>
    <w:rPr>
      <w:rFonts w:cs="Wingdings"/>
    </w:rPr>
  </w:style>
  <w:style w:type="character" w:customStyle="1" w:styleId="ListLabel7">
    <w:name w:val="ListLabel 7"/>
    <w:rsid w:val="00817C79"/>
    <w:rPr>
      <w:rFonts w:cs="Symbol"/>
    </w:rPr>
  </w:style>
  <w:style w:type="character" w:customStyle="1" w:styleId="ListLabel8">
    <w:name w:val="ListLabel 8"/>
    <w:rsid w:val="00817C79"/>
    <w:rPr>
      <w:color w:val="00000A"/>
    </w:rPr>
  </w:style>
  <w:style w:type="character" w:customStyle="1" w:styleId="ListLabel9">
    <w:name w:val="ListLabel 9"/>
    <w:rsid w:val="00817C79"/>
    <w:rPr>
      <w:rFonts w:cs="Times New Roman"/>
    </w:rPr>
  </w:style>
  <w:style w:type="character" w:customStyle="1" w:styleId="ListLabel10">
    <w:name w:val="ListLabel 10"/>
    <w:rsid w:val="00817C79"/>
    <w:rPr>
      <w:rFonts w:cs="Courier New"/>
    </w:rPr>
  </w:style>
  <w:style w:type="character" w:customStyle="1" w:styleId="ListLabel11">
    <w:name w:val="ListLabel 11"/>
    <w:rsid w:val="00817C79"/>
    <w:rPr>
      <w:rFonts w:cs="Wingdings"/>
    </w:rPr>
  </w:style>
  <w:style w:type="character" w:customStyle="1" w:styleId="ListLabel12">
    <w:name w:val="ListLabel 12"/>
    <w:rsid w:val="00817C79"/>
    <w:rPr>
      <w:rFonts w:cs="Symbol"/>
    </w:rPr>
  </w:style>
  <w:style w:type="character" w:customStyle="1" w:styleId="ListLabel13">
    <w:name w:val="ListLabel 13"/>
    <w:rsid w:val="00817C79"/>
    <w:rPr>
      <w:color w:val="00000A"/>
    </w:rPr>
  </w:style>
  <w:style w:type="paragraph" w:styleId="Titre">
    <w:name w:val="Title"/>
    <w:basedOn w:val="Standard"/>
    <w:next w:val="Corpsdetexte"/>
    <w:rsid w:val="00817C79"/>
    <w:pPr>
      <w:keepNext/>
      <w:spacing w:before="240" w:after="120"/>
    </w:pPr>
    <w:rPr>
      <w:rFonts w:ascii="Arial" w:eastAsia="Arial Unicode MS" w:hAnsi="Arial" w:cs="Arial Unicode MS"/>
      <w:sz w:val="28"/>
      <w:szCs w:val="28"/>
    </w:rPr>
  </w:style>
  <w:style w:type="paragraph" w:styleId="Corpsdetexte">
    <w:name w:val="Body Text"/>
    <w:basedOn w:val="Standard"/>
    <w:rsid w:val="00817C79"/>
    <w:pPr>
      <w:spacing w:after="120"/>
    </w:pPr>
  </w:style>
  <w:style w:type="paragraph" w:styleId="Liste">
    <w:name w:val="List"/>
    <w:basedOn w:val="Corpsdetexte"/>
    <w:rsid w:val="00817C79"/>
  </w:style>
  <w:style w:type="paragraph" w:styleId="Lgende">
    <w:name w:val="caption"/>
    <w:basedOn w:val="Standard"/>
    <w:rsid w:val="00817C79"/>
    <w:pPr>
      <w:suppressLineNumbers/>
      <w:spacing w:before="120" w:after="120"/>
    </w:pPr>
    <w:rPr>
      <w:i/>
      <w:iCs/>
    </w:rPr>
  </w:style>
  <w:style w:type="paragraph" w:customStyle="1" w:styleId="Index">
    <w:name w:val="Index"/>
    <w:basedOn w:val="Standard"/>
    <w:rsid w:val="00817C79"/>
    <w:pPr>
      <w:suppressLineNumbers/>
    </w:pPr>
  </w:style>
  <w:style w:type="paragraph" w:styleId="Sansinterligne">
    <w:name w:val="No Spacing"/>
    <w:rsid w:val="00817C79"/>
    <w:pPr>
      <w:suppressAutoHyphens/>
      <w:spacing w:after="200" w:line="276" w:lineRule="auto"/>
    </w:pPr>
    <w:rPr>
      <w:rFonts w:eastAsia="Calibri"/>
      <w:color w:val="00000A"/>
      <w:sz w:val="22"/>
      <w:szCs w:val="22"/>
      <w:lang w:eastAsia="en-US"/>
    </w:rPr>
  </w:style>
  <w:style w:type="paragraph" w:styleId="En-tte">
    <w:name w:val="header"/>
    <w:basedOn w:val="Standard"/>
    <w:uiPriority w:val="99"/>
    <w:rsid w:val="00817C79"/>
    <w:pPr>
      <w:suppressLineNumbers/>
      <w:tabs>
        <w:tab w:val="center" w:pos="4536"/>
        <w:tab w:val="right" w:pos="9072"/>
      </w:tabs>
    </w:pPr>
  </w:style>
  <w:style w:type="paragraph" w:styleId="Pieddepage">
    <w:name w:val="footer"/>
    <w:basedOn w:val="Standard"/>
    <w:rsid w:val="00817C79"/>
    <w:pPr>
      <w:suppressLineNumbers/>
      <w:tabs>
        <w:tab w:val="center" w:pos="4536"/>
        <w:tab w:val="right" w:pos="9072"/>
      </w:tabs>
    </w:pPr>
  </w:style>
  <w:style w:type="paragraph" w:styleId="Textedebulles">
    <w:name w:val="Balloon Text"/>
    <w:basedOn w:val="Standard"/>
    <w:rsid w:val="00817C79"/>
    <w:rPr>
      <w:rFonts w:ascii="Tahoma" w:hAnsi="Tahoma" w:cs="Tahoma"/>
      <w:sz w:val="16"/>
      <w:szCs w:val="16"/>
    </w:rPr>
  </w:style>
  <w:style w:type="paragraph" w:styleId="Paragraphedeliste">
    <w:name w:val="List Paragraph"/>
    <w:basedOn w:val="Standard"/>
    <w:rsid w:val="00817C79"/>
    <w:pPr>
      <w:ind w:left="708"/>
    </w:pPr>
  </w:style>
  <w:style w:type="character" w:styleId="Lienhypertexte">
    <w:name w:val="Hyperlink"/>
    <w:uiPriority w:val="99"/>
    <w:unhideWhenUsed/>
    <w:rsid w:val="00D6339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03"/>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17C79"/>
    <w:pPr>
      <w:widowControl w:val="0"/>
      <w:suppressAutoHyphens/>
      <w:spacing w:after="200" w:line="276" w:lineRule="auto"/>
    </w:pPr>
    <w:rPr>
      <w:rFonts w:ascii="Times New Roman" w:hAnsi="Times New Roman"/>
      <w:color w:val="00000A"/>
      <w:sz w:val="24"/>
      <w:szCs w:val="24"/>
    </w:rPr>
  </w:style>
  <w:style w:type="character" w:customStyle="1" w:styleId="En-tteCar">
    <w:name w:val="En-tête Car"/>
    <w:basedOn w:val="Policepardfaut"/>
    <w:uiPriority w:val="99"/>
    <w:rsid w:val="00817C79"/>
    <w:rPr>
      <w:rFonts w:ascii="Times New Roman" w:eastAsia="Times New Roman" w:hAnsi="Times New Roman" w:cs="Times New Roman"/>
      <w:sz w:val="24"/>
      <w:szCs w:val="24"/>
      <w:lang w:eastAsia="fr-FR"/>
    </w:rPr>
  </w:style>
  <w:style w:type="character" w:customStyle="1" w:styleId="PieddepageCar">
    <w:name w:val="Pied de page Car"/>
    <w:basedOn w:val="Policepardfaut"/>
    <w:rsid w:val="00817C79"/>
    <w:rPr>
      <w:rFonts w:ascii="Times New Roman" w:eastAsia="Times New Roman" w:hAnsi="Times New Roman" w:cs="Times New Roman"/>
      <w:sz w:val="24"/>
      <w:szCs w:val="24"/>
      <w:lang w:eastAsia="fr-FR"/>
    </w:rPr>
  </w:style>
  <w:style w:type="character" w:customStyle="1" w:styleId="TextedebullesCar">
    <w:name w:val="Texte de bulles Car"/>
    <w:basedOn w:val="Policepardfaut"/>
    <w:rsid w:val="00817C79"/>
    <w:rPr>
      <w:rFonts w:ascii="Tahoma" w:eastAsia="Times New Roman" w:hAnsi="Tahoma" w:cs="Tahoma"/>
      <w:sz w:val="16"/>
      <w:szCs w:val="16"/>
    </w:rPr>
  </w:style>
  <w:style w:type="character" w:customStyle="1" w:styleId="ListLabel1">
    <w:name w:val="ListLabel 1"/>
    <w:rsid w:val="00817C79"/>
    <w:rPr>
      <w:rFonts w:eastAsia="Times New Roman" w:cs="Times New Roman"/>
    </w:rPr>
  </w:style>
  <w:style w:type="character" w:customStyle="1" w:styleId="ListLabel2">
    <w:name w:val="ListLabel 2"/>
    <w:rsid w:val="00817C79"/>
    <w:rPr>
      <w:rFonts w:cs="Courier New"/>
    </w:rPr>
  </w:style>
  <w:style w:type="character" w:customStyle="1" w:styleId="ListLabel3">
    <w:name w:val="ListLabel 3"/>
    <w:rsid w:val="00817C79"/>
    <w:rPr>
      <w:color w:val="00000A"/>
    </w:rPr>
  </w:style>
  <w:style w:type="character" w:customStyle="1" w:styleId="ListLabel4">
    <w:name w:val="ListLabel 4"/>
    <w:rsid w:val="00817C79"/>
    <w:rPr>
      <w:rFonts w:cs="Times New Roman"/>
    </w:rPr>
  </w:style>
  <w:style w:type="character" w:customStyle="1" w:styleId="ListLabel5">
    <w:name w:val="ListLabel 5"/>
    <w:rsid w:val="00817C79"/>
    <w:rPr>
      <w:rFonts w:cs="Courier New"/>
    </w:rPr>
  </w:style>
  <w:style w:type="character" w:customStyle="1" w:styleId="ListLabel6">
    <w:name w:val="ListLabel 6"/>
    <w:rsid w:val="00817C79"/>
    <w:rPr>
      <w:rFonts w:cs="Wingdings"/>
    </w:rPr>
  </w:style>
  <w:style w:type="character" w:customStyle="1" w:styleId="ListLabel7">
    <w:name w:val="ListLabel 7"/>
    <w:rsid w:val="00817C79"/>
    <w:rPr>
      <w:rFonts w:cs="Symbol"/>
    </w:rPr>
  </w:style>
  <w:style w:type="character" w:customStyle="1" w:styleId="ListLabel8">
    <w:name w:val="ListLabel 8"/>
    <w:rsid w:val="00817C79"/>
    <w:rPr>
      <w:color w:val="00000A"/>
    </w:rPr>
  </w:style>
  <w:style w:type="character" w:customStyle="1" w:styleId="ListLabel9">
    <w:name w:val="ListLabel 9"/>
    <w:rsid w:val="00817C79"/>
    <w:rPr>
      <w:rFonts w:cs="Times New Roman"/>
    </w:rPr>
  </w:style>
  <w:style w:type="character" w:customStyle="1" w:styleId="ListLabel10">
    <w:name w:val="ListLabel 10"/>
    <w:rsid w:val="00817C79"/>
    <w:rPr>
      <w:rFonts w:cs="Courier New"/>
    </w:rPr>
  </w:style>
  <w:style w:type="character" w:customStyle="1" w:styleId="ListLabel11">
    <w:name w:val="ListLabel 11"/>
    <w:rsid w:val="00817C79"/>
    <w:rPr>
      <w:rFonts w:cs="Wingdings"/>
    </w:rPr>
  </w:style>
  <w:style w:type="character" w:customStyle="1" w:styleId="ListLabel12">
    <w:name w:val="ListLabel 12"/>
    <w:rsid w:val="00817C79"/>
    <w:rPr>
      <w:rFonts w:cs="Symbol"/>
    </w:rPr>
  </w:style>
  <w:style w:type="character" w:customStyle="1" w:styleId="ListLabel13">
    <w:name w:val="ListLabel 13"/>
    <w:rsid w:val="00817C79"/>
    <w:rPr>
      <w:color w:val="00000A"/>
    </w:rPr>
  </w:style>
  <w:style w:type="paragraph" w:styleId="Titre">
    <w:name w:val="Title"/>
    <w:basedOn w:val="Standard"/>
    <w:next w:val="Corpsdetexte"/>
    <w:rsid w:val="00817C79"/>
    <w:pPr>
      <w:keepNext/>
      <w:spacing w:before="240" w:after="120"/>
    </w:pPr>
    <w:rPr>
      <w:rFonts w:ascii="Arial" w:eastAsia="Arial Unicode MS" w:hAnsi="Arial" w:cs="Arial Unicode MS"/>
      <w:sz w:val="28"/>
      <w:szCs w:val="28"/>
    </w:rPr>
  </w:style>
  <w:style w:type="paragraph" w:styleId="Corpsdetexte">
    <w:name w:val="Body Text"/>
    <w:basedOn w:val="Standard"/>
    <w:rsid w:val="00817C79"/>
    <w:pPr>
      <w:spacing w:after="120"/>
    </w:pPr>
  </w:style>
  <w:style w:type="paragraph" w:styleId="Liste">
    <w:name w:val="List"/>
    <w:basedOn w:val="Corpsdetexte"/>
    <w:rsid w:val="00817C79"/>
  </w:style>
  <w:style w:type="paragraph" w:styleId="Lgende">
    <w:name w:val="caption"/>
    <w:basedOn w:val="Standard"/>
    <w:rsid w:val="00817C79"/>
    <w:pPr>
      <w:suppressLineNumbers/>
      <w:spacing w:before="120" w:after="120"/>
    </w:pPr>
    <w:rPr>
      <w:i/>
      <w:iCs/>
    </w:rPr>
  </w:style>
  <w:style w:type="paragraph" w:customStyle="1" w:styleId="Index">
    <w:name w:val="Index"/>
    <w:basedOn w:val="Standard"/>
    <w:rsid w:val="00817C79"/>
    <w:pPr>
      <w:suppressLineNumbers/>
    </w:pPr>
  </w:style>
  <w:style w:type="paragraph" w:styleId="Sansinterligne">
    <w:name w:val="No Spacing"/>
    <w:rsid w:val="00817C79"/>
    <w:pPr>
      <w:suppressAutoHyphens/>
      <w:spacing w:after="200" w:line="276" w:lineRule="auto"/>
    </w:pPr>
    <w:rPr>
      <w:rFonts w:eastAsia="Calibri"/>
      <w:color w:val="00000A"/>
      <w:sz w:val="22"/>
      <w:szCs w:val="22"/>
      <w:lang w:eastAsia="en-US"/>
    </w:rPr>
  </w:style>
  <w:style w:type="paragraph" w:styleId="En-tte">
    <w:name w:val="header"/>
    <w:basedOn w:val="Standard"/>
    <w:uiPriority w:val="99"/>
    <w:rsid w:val="00817C79"/>
    <w:pPr>
      <w:suppressLineNumbers/>
      <w:tabs>
        <w:tab w:val="center" w:pos="4536"/>
        <w:tab w:val="right" w:pos="9072"/>
      </w:tabs>
    </w:pPr>
  </w:style>
  <w:style w:type="paragraph" w:styleId="Pieddepage">
    <w:name w:val="footer"/>
    <w:basedOn w:val="Standard"/>
    <w:rsid w:val="00817C79"/>
    <w:pPr>
      <w:suppressLineNumbers/>
      <w:tabs>
        <w:tab w:val="center" w:pos="4536"/>
        <w:tab w:val="right" w:pos="9072"/>
      </w:tabs>
    </w:pPr>
  </w:style>
  <w:style w:type="paragraph" w:styleId="Textedebulles">
    <w:name w:val="Balloon Text"/>
    <w:basedOn w:val="Standard"/>
    <w:rsid w:val="00817C79"/>
    <w:rPr>
      <w:rFonts w:ascii="Tahoma" w:hAnsi="Tahoma" w:cs="Tahoma"/>
      <w:sz w:val="16"/>
      <w:szCs w:val="16"/>
    </w:rPr>
  </w:style>
  <w:style w:type="paragraph" w:styleId="Paragraphedeliste">
    <w:name w:val="List Paragraph"/>
    <w:basedOn w:val="Standard"/>
    <w:rsid w:val="00817C79"/>
    <w:pPr>
      <w:ind w:left="708"/>
    </w:pPr>
  </w:style>
  <w:style w:type="character" w:styleId="Lienhypertexte">
    <w:name w:val="Hyperlink"/>
    <w:uiPriority w:val="99"/>
    <w:unhideWhenUsed/>
    <w:rsid w:val="00D633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tg.ac-grenoble.f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BB4E4-FB71-47C1-B4D5-73DEFD79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1911</Words>
  <Characters>10515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12402</CharactersWithSpaces>
  <SharedDoc>false</SharedDoc>
  <HLinks>
    <vt:vector size="24" baseType="variant">
      <vt:variant>
        <vt:i4>1638468</vt:i4>
      </vt:variant>
      <vt:variant>
        <vt:i4>15</vt:i4>
      </vt:variant>
      <vt:variant>
        <vt:i4>0</vt:i4>
      </vt:variant>
      <vt:variant>
        <vt:i4>5</vt:i4>
      </vt:variant>
      <vt:variant>
        <vt:lpwstr>http://www.comptazine.fr/</vt:lpwstr>
      </vt:variant>
      <vt:variant>
        <vt:lpwstr/>
      </vt:variant>
      <vt:variant>
        <vt:i4>1638468</vt:i4>
      </vt:variant>
      <vt:variant>
        <vt:i4>12</vt:i4>
      </vt:variant>
      <vt:variant>
        <vt:i4>0</vt:i4>
      </vt:variant>
      <vt:variant>
        <vt:i4>5</vt:i4>
      </vt:variant>
      <vt:variant>
        <vt:lpwstr>http://www.comptazine.fr/</vt:lpwstr>
      </vt:variant>
      <vt:variant>
        <vt:lpwstr/>
      </vt:variant>
      <vt:variant>
        <vt:i4>2883629</vt:i4>
      </vt:variant>
      <vt:variant>
        <vt:i4>3</vt:i4>
      </vt:variant>
      <vt:variant>
        <vt:i4>0</vt:i4>
      </vt:variant>
      <vt:variant>
        <vt:i4>5</vt:i4>
      </vt:variant>
      <vt:variant>
        <vt:lpwstr>http://crtg.ac-grenoble.fr/</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2014-04-05T06:38:00Z</cp:lastPrinted>
  <dcterms:created xsi:type="dcterms:W3CDTF">2014-04-05T06:38:00Z</dcterms:created>
  <dcterms:modified xsi:type="dcterms:W3CDTF">2014-04-05T06:38:00Z</dcterms:modified>
</cp:coreProperties>
</file>