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A78" w:rsidRPr="00E62249" w:rsidRDefault="00B37A78" w:rsidP="00B37A78">
      <w:pPr>
        <w:pStyle w:val="Titre"/>
        <w:pBdr>
          <w:top w:val="single" w:sz="4" w:space="1" w:color="auto"/>
          <w:left w:val="single" w:sz="4" w:space="4" w:color="auto"/>
          <w:bottom w:val="single" w:sz="4" w:space="1" w:color="auto"/>
          <w:right w:val="single" w:sz="4" w:space="4" w:color="auto"/>
        </w:pBdr>
        <w:rPr>
          <w:b/>
          <w:bCs/>
          <w:sz w:val="24"/>
          <w:szCs w:val="24"/>
        </w:rPr>
      </w:pPr>
      <w:r w:rsidRPr="00E62249">
        <w:rPr>
          <w:b/>
          <w:bCs/>
          <w:sz w:val="24"/>
          <w:szCs w:val="24"/>
        </w:rPr>
        <w:t>DCG session 2010</w:t>
      </w:r>
      <w:r w:rsidRPr="00E62249">
        <w:rPr>
          <w:b/>
          <w:bCs/>
          <w:sz w:val="24"/>
          <w:szCs w:val="24"/>
        </w:rPr>
        <w:tab/>
      </w:r>
      <w:r w:rsidRPr="00E62249">
        <w:rPr>
          <w:b/>
          <w:bCs/>
          <w:sz w:val="24"/>
          <w:szCs w:val="24"/>
        </w:rPr>
        <w:tab/>
        <w:t>UE1 Introduction au droit</w:t>
      </w:r>
      <w:r w:rsidRPr="00E62249">
        <w:rPr>
          <w:b/>
          <w:bCs/>
          <w:sz w:val="24"/>
          <w:szCs w:val="24"/>
        </w:rPr>
        <w:tab/>
      </w:r>
      <w:r w:rsidRPr="00E62249">
        <w:rPr>
          <w:b/>
          <w:bCs/>
          <w:sz w:val="24"/>
          <w:szCs w:val="24"/>
        </w:rPr>
        <w:tab/>
        <w:t>Corrigé indicatif</w:t>
      </w:r>
    </w:p>
    <w:p w:rsidR="00B37A78" w:rsidRPr="00B37A78" w:rsidRDefault="00B37A78" w:rsidP="00D65625">
      <w:pPr>
        <w:jc w:val="both"/>
        <w:rPr>
          <w:sz w:val="22"/>
          <w:szCs w:val="22"/>
        </w:rPr>
      </w:pPr>
    </w:p>
    <w:p w:rsidR="00B37A78" w:rsidRPr="00B37A78" w:rsidRDefault="00B37A78" w:rsidP="00B37A78">
      <w:pPr>
        <w:widowControl/>
        <w:pBdr>
          <w:top w:val="single" w:sz="4" w:space="1" w:color="auto"/>
          <w:left w:val="single" w:sz="4" w:space="4" w:color="auto"/>
          <w:bottom w:val="single" w:sz="4" w:space="1" w:color="auto"/>
          <w:right w:val="single" w:sz="4" w:space="4" w:color="auto"/>
        </w:pBdr>
        <w:shd w:val="clear" w:color="auto" w:fill="E0E0E0"/>
        <w:suppressAutoHyphens w:val="0"/>
        <w:ind w:right="85"/>
        <w:jc w:val="center"/>
        <w:rPr>
          <w:rFonts w:eastAsia="Times New Roman"/>
          <w:b/>
          <w:bCs/>
          <w:kern w:val="0"/>
          <w:sz w:val="22"/>
          <w:szCs w:val="22"/>
          <w:lang w:eastAsia="fr-FR"/>
        </w:rPr>
      </w:pPr>
    </w:p>
    <w:p w:rsidR="00B37A78" w:rsidRPr="00B37A78" w:rsidRDefault="00B37A78" w:rsidP="00B37A78">
      <w:pPr>
        <w:widowControl/>
        <w:pBdr>
          <w:top w:val="single" w:sz="4" w:space="1" w:color="auto"/>
          <w:left w:val="single" w:sz="4" w:space="4" w:color="auto"/>
          <w:bottom w:val="single" w:sz="4" w:space="1" w:color="auto"/>
          <w:right w:val="single" w:sz="4" w:space="4" w:color="auto"/>
        </w:pBdr>
        <w:shd w:val="clear" w:color="auto" w:fill="E0E0E0"/>
        <w:suppressAutoHyphens w:val="0"/>
        <w:ind w:right="85"/>
        <w:jc w:val="center"/>
        <w:rPr>
          <w:rFonts w:eastAsia="Times New Roman"/>
          <w:b/>
          <w:bCs/>
          <w:kern w:val="0"/>
          <w:sz w:val="22"/>
          <w:szCs w:val="22"/>
          <w:lang w:eastAsia="fr-FR"/>
        </w:rPr>
      </w:pPr>
      <w:r w:rsidRPr="00B37A78">
        <w:rPr>
          <w:rFonts w:eastAsia="Times New Roman"/>
          <w:b/>
          <w:bCs/>
          <w:kern w:val="0"/>
          <w:sz w:val="22"/>
          <w:szCs w:val="22"/>
          <w:lang w:eastAsia="fr-FR"/>
        </w:rPr>
        <w:t>DOSSIER 1 : SITUATION PRATIQUE</w:t>
      </w:r>
    </w:p>
    <w:p w:rsidR="00B37A78" w:rsidRPr="00B37A78" w:rsidRDefault="00B37A78" w:rsidP="00B37A78">
      <w:pPr>
        <w:widowControl/>
        <w:pBdr>
          <w:top w:val="single" w:sz="4" w:space="1" w:color="auto"/>
          <w:left w:val="single" w:sz="4" w:space="4" w:color="auto"/>
          <w:bottom w:val="single" w:sz="4" w:space="1" w:color="auto"/>
          <w:right w:val="single" w:sz="4" w:space="4" w:color="auto"/>
        </w:pBdr>
        <w:shd w:val="clear" w:color="auto" w:fill="E0E0E0"/>
        <w:suppressAutoHyphens w:val="0"/>
        <w:ind w:right="85"/>
        <w:jc w:val="center"/>
        <w:rPr>
          <w:rFonts w:eastAsia="Times New Roman"/>
          <w:b/>
          <w:bCs/>
          <w:kern w:val="0"/>
          <w:sz w:val="22"/>
          <w:szCs w:val="22"/>
          <w:lang w:eastAsia="fr-FR"/>
        </w:rPr>
      </w:pPr>
    </w:p>
    <w:p w:rsidR="00B37A78" w:rsidRPr="00B37A78" w:rsidRDefault="00B37A78" w:rsidP="00460B1E">
      <w:pPr>
        <w:jc w:val="both"/>
        <w:rPr>
          <w:sz w:val="22"/>
          <w:szCs w:val="22"/>
        </w:rPr>
      </w:pPr>
    </w:p>
    <w:p w:rsidR="00B37A78" w:rsidRPr="00B37A78" w:rsidRDefault="00B37A78" w:rsidP="00460B1E">
      <w:pPr>
        <w:jc w:val="both"/>
        <w:rPr>
          <w:b/>
          <w:bCs/>
          <w:sz w:val="22"/>
          <w:szCs w:val="22"/>
          <w:u w:val="single"/>
        </w:rPr>
      </w:pPr>
      <w:r w:rsidRPr="00B37A78">
        <w:rPr>
          <w:b/>
          <w:bCs/>
          <w:sz w:val="22"/>
          <w:szCs w:val="22"/>
          <w:u w:val="single"/>
        </w:rPr>
        <w:t>Question 1.1</w:t>
      </w:r>
    </w:p>
    <w:p w:rsidR="00B37A78" w:rsidRPr="00B37A78" w:rsidRDefault="00B37A78" w:rsidP="00460B1E">
      <w:pPr>
        <w:jc w:val="both"/>
        <w:rPr>
          <w:sz w:val="10"/>
          <w:szCs w:val="10"/>
        </w:rPr>
      </w:pPr>
    </w:p>
    <w:p w:rsidR="00B37A78" w:rsidRPr="00B37A78" w:rsidRDefault="00B37A78" w:rsidP="00460B1E">
      <w:pPr>
        <w:jc w:val="both"/>
        <w:rPr>
          <w:sz w:val="22"/>
          <w:szCs w:val="22"/>
        </w:rPr>
      </w:pPr>
      <w:r w:rsidRPr="00B37A78">
        <w:rPr>
          <w:sz w:val="22"/>
          <w:szCs w:val="22"/>
        </w:rPr>
        <w:t>Florence, commerçante à Belfort, envisage d'</w:t>
      </w:r>
      <w:bookmarkStart w:id="0" w:name="_GoBack"/>
      <w:bookmarkEnd w:id="0"/>
      <w:r w:rsidRPr="00B37A78">
        <w:rPr>
          <w:sz w:val="22"/>
          <w:szCs w:val="22"/>
        </w:rPr>
        <w:t>assigner en justice la société commerciale IDECO, située à Dijon. Le litige porte sur la mauvaise exécution d'un contrat passé entre les deux commerçants.</w:t>
      </w:r>
    </w:p>
    <w:p w:rsidR="00B37A78" w:rsidRPr="00B37A78" w:rsidRDefault="00B37A78" w:rsidP="00460B1E">
      <w:pPr>
        <w:jc w:val="both"/>
        <w:rPr>
          <w:sz w:val="22"/>
          <w:szCs w:val="22"/>
        </w:rPr>
      </w:pPr>
    </w:p>
    <w:p w:rsidR="00B37A78" w:rsidRPr="00B37A78" w:rsidRDefault="00B37A78" w:rsidP="00460B1E">
      <w:pPr>
        <w:jc w:val="both"/>
        <w:rPr>
          <w:sz w:val="22"/>
          <w:szCs w:val="22"/>
        </w:rPr>
      </w:pPr>
      <w:r w:rsidRPr="00B37A78">
        <w:rPr>
          <w:b/>
          <w:bCs/>
          <w:sz w:val="22"/>
          <w:szCs w:val="22"/>
          <w:u w:val="single"/>
        </w:rPr>
        <w:t>Quelle juridiction est compétente pour trancher un litige entre commerçants</w:t>
      </w:r>
      <w:r w:rsidRPr="00B37A78">
        <w:rPr>
          <w:sz w:val="22"/>
          <w:szCs w:val="22"/>
        </w:rPr>
        <w:t xml:space="preserve"> ?</w:t>
      </w:r>
    </w:p>
    <w:p w:rsidR="00B37A78" w:rsidRPr="00B37A78" w:rsidRDefault="00B37A78" w:rsidP="00460B1E">
      <w:pPr>
        <w:jc w:val="both"/>
        <w:rPr>
          <w:sz w:val="22"/>
          <w:szCs w:val="22"/>
        </w:rPr>
      </w:pPr>
    </w:p>
    <w:p w:rsidR="00B37A78" w:rsidRPr="00B37A78" w:rsidRDefault="00B37A78" w:rsidP="00460B1E">
      <w:pPr>
        <w:jc w:val="both"/>
        <w:rPr>
          <w:sz w:val="22"/>
          <w:szCs w:val="22"/>
        </w:rPr>
      </w:pPr>
      <w:r w:rsidRPr="00B37A78">
        <w:rPr>
          <w:sz w:val="22"/>
          <w:szCs w:val="22"/>
        </w:rPr>
        <w:t>Il convient de déterminer la compétence d'attribution et la compétence territoriale.</w:t>
      </w:r>
    </w:p>
    <w:p w:rsidR="00B37A78" w:rsidRPr="00B37A78" w:rsidRDefault="00B37A78" w:rsidP="00460B1E">
      <w:pPr>
        <w:jc w:val="both"/>
        <w:rPr>
          <w:sz w:val="22"/>
          <w:szCs w:val="22"/>
        </w:rPr>
      </w:pPr>
    </w:p>
    <w:p w:rsidR="00B37A78" w:rsidRPr="00B37A78" w:rsidRDefault="00B37A78" w:rsidP="00460B1E">
      <w:pPr>
        <w:jc w:val="both"/>
        <w:rPr>
          <w:sz w:val="22"/>
          <w:szCs w:val="22"/>
          <w:u w:val="single"/>
        </w:rPr>
      </w:pPr>
      <w:r w:rsidRPr="00B37A78">
        <w:rPr>
          <w:sz w:val="22"/>
          <w:szCs w:val="22"/>
          <w:u w:val="single"/>
        </w:rPr>
        <w:t>Concernant la compétence d'attribution</w:t>
      </w:r>
    </w:p>
    <w:p w:rsidR="00B37A78" w:rsidRPr="00B37A78" w:rsidRDefault="00B37A78" w:rsidP="00460B1E">
      <w:pPr>
        <w:jc w:val="both"/>
        <w:rPr>
          <w:sz w:val="22"/>
          <w:szCs w:val="22"/>
        </w:rPr>
      </w:pPr>
    </w:p>
    <w:p w:rsidR="00B37A78" w:rsidRPr="00B37A78" w:rsidRDefault="00B37A78" w:rsidP="00460B1E">
      <w:pPr>
        <w:jc w:val="both"/>
        <w:rPr>
          <w:sz w:val="22"/>
          <w:szCs w:val="22"/>
        </w:rPr>
      </w:pPr>
      <w:r w:rsidRPr="00B37A78">
        <w:rPr>
          <w:sz w:val="22"/>
          <w:szCs w:val="22"/>
        </w:rPr>
        <w:t>Le tribunal de commerce connaît des litiges entre commerçants, relatifs aux sociétés commerciales et aux actes de commerce entre toutes personnes.</w:t>
      </w:r>
    </w:p>
    <w:p w:rsidR="00B37A78" w:rsidRPr="00B37A78" w:rsidRDefault="00B37A78" w:rsidP="00460B1E">
      <w:pPr>
        <w:jc w:val="both"/>
        <w:rPr>
          <w:sz w:val="22"/>
          <w:szCs w:val="22"/>
        </w:rPr>
      </w:pPr>
    </w:p>
    <w:p w:rsidR="00B37A78" w:rsidRPr="00B37A78" w:rsidRDefault="00B37A78" w:rsidP="00460B1E">
      <w:pPr>
        <w:jc w:val="both"/>
        <w:rPr>
          <w:sz w:val="22"/>
          <w:szCs w:val="22"/>
          <w:u w:val="single"/>
        </w:rPr>
      </w:pPr>
      <w:r w:rsidRPr="00B37A78">
        <w:rPr>
          <w:sz w:val="22"/>
          <w:szCs w:val="22"/>
          <w:u w:val="single"/>
        </w:rPr>
        <w:t xml:space="preserve">Concernant la compétence territoriale </w:t>
      </w:r>
    </w:p>
    <w:p w:rsidR="00B37A78" w:rsidRPr="00B37A78" w:rsidRDefault="00B37A78" w:rsidP="00460B1E">
      <w:pPr>
        <w:jc w:val="both"/>
        <w:rPr>
          <w:sz w:val="10"/>
          <w:szCs w:val="10"/>
        </w:rPr>
      </w:pPr>
    </w:p>
    <w:p w:rsidR="00B37A78" w:rsidRPr="00B37A78" w:rsidRDefault="00B37A78" w:rsidP="00460B1E">
      <w:pPr>
        <w:jc w:val="both"/>
        <w:rPr>
          <w:sz w:val="22"/>
          <w:szCs w:val="22"/>
        </w:rPr>
      </w:pPr>
      <w:r w:rsidRPr="00B37A78">
        <w:rPr>
          <w:sz w:val="22"/>
          <w:szCs w:val="22"/>
        </w:rPr>
        <w:t xml:space="preserve">Selon l'article 42 du Code de procédure civile, la juridiction territorialement compétente est, sauf disposition contraire, celle du lieu où demeure le défendeur. </w:t>
      </w:r>
    </w:p>
    <w:p w:rsidR="00B37A78" w:rsidRPr="00B37A78" w:rsidRDefault="00B37A78" w:rsidP="00460B1E">
      <w:pPr>
        <w:jc w:val="both"/>
        <w:rPr>
          <w:sz w:val="22"/>
          <w:szCs w:val="22"/>
        </w:rPr>
      </w:pPr>
      <w:r w:rsidRPr="00B37A78">
        <w:rPr>
          <w:sz w:val="22"/>
          <w:szCs w:val="22"/>
        </w:rPr>
        <w:t xml:space="preserve">Toutefois en matière contractuelle, il peut aussi s'agir du tribunal du lieu de la livraison effective de la chose </w:t>
      </w:r>
      <w:proofErr w:type="gramStart"/>
      <w:r w:rsidRPr="00B37A78">
        <w:rPr>
          <w:sz w:val="22"/>
          <w:szCs w:val="22"/>
        </w:rPr>
        <w:t>ou</w:t>
      </w:r>
      <w:proofErr w:type="gramEnd"/>
      <w:r w:rsidRPr="00B37A78">
        <w:rPr>
          <w:sz w:val="22"/>
          <w:szCs w:val="22"/>
        </w:rPr>
        <w:t xml:space="preserve"> du lieu d'exécution de la prestation de services (article 46 du Code de procédure civile).</w:t>
      </w:r>
    </w:p>
    <w:p w:rsidR="00B37A78" w:rsidRPr="00B37A78" w:rsidRDefault="00B37A78" w:rsidP="00460B1E">
      <w:pPr>
        <w:jc w:val="both"/>
        <w:rPr>
          <w:sz w:val="10"/>
          <w:szCs w:val="10"/>
        </w:rPr>
      </w:pPr>
    </w:p>
    <w:p w:rsidR="00B37A78" w:rsidRPr="00B37A78" w:rsidRDefault="00B37A78" w:rsidP="00460B1E">
      <w:pPr>
        <w:jc w:val="both"/>
        <w:rPr>
          <w:sz w:val="22"/>
          <w:szCs w:val="22"/>
        </w:rPr>
      </w:pPr>
      <w:r w:rsidRPr="00B37A78">
        <w:rPr>
          <w:sz w:val="22"/>
          <w:szCs w:val="22"/>
        </w:rPr>
        <w:t>En l'espèce, Florence Bernard, commerçante, souhaite assigner en justice la société commerciale Ideco. Il s'agit d'un litige relatif à un engagement entre commerçants, qui relève de la compétence du tribunal de commerce, quel que soit le montant sur lequel il porte.</w:t>
      </w:r>
    </w:p>
    <w:p w:rsidR="00B37A78" w:rsidRPr="00B37A78" w:rsidRDefault="00B37A78" w:rsidP="00460B1E">
      <w:pPr>
        <w:jc w:val="both"/>
        <w:rPr>
          <w:sz w:val="22"/>
          <w:szCs w:val="22"/>
        </w:rPr>
      </w:pPr>
      <w:r w:rsidRPr="00B37A78">
        <w:rPr>
          <w:sz w:val="22"/>
          <w:szCs w:val="22"/>
        </w:rPr>
        <w:t>Florence peut saisir le tribunal de commerce du lieu du domicile du défendeur, à savoir le tribunal de commerce de Dijon puisque la société Ideco, située à Dijon, est défenderesse.</w:t>
      </w:r>
    </w:p>
    <w:p w:rsidR="00B37A78" w:rsidRPr="00B37A78" w:rsidRDefault="00B37A78" w:rsidP="00460B1E">
      <w:pPr>
        <w:jc w:val="both"/>
        <w:rPr>
          <w:sz w:val="22"/>
          <w:szCs w:val="22"/>
        </w:rPr>
      </w:pPr>
      <w:r w:rsidRPr="00B37A78">
        <w:rPr>
          <w:sz w:val="22"/>
          <w:szCs w:val="22"/>
        </w:rPr>
        <w:t>Toutefois, les travaux devant être réalisés à Belfort, Florence peut également saisir le tribunal du lieu d'exécution de la prestation de services, c'est-à-dire le tribunal de commerce de Belfort. Pour des raisons pratiques, on peut penser que la commerçante préférera cette solution.</w:t>
      </w:r>
    </w:p>
    <w:p w:rsidR="00B37A78" w:rsidRPr="00B37A78" w:rsidRDefault="00B37A78" w:rsidP="00460B1E">
      <w:pPr>
        <w:jc w:val="both"/>
        <w:rPr>
          <w:sz w:val="22"/>
          <w:szCs w:val="22"/>
        </w:rPr>
      </w:pPr>
    </w:p>
    <w:p w:rsidR="00B37A78" w:rsidRPr="00B37A78" w:rsidRDefault="00B37A78" w:rsidP="00460B1E">
      <w:pPr>
        <w:jc w:val="both"/>
        <w:rPr>
          <w:b/>
          <w:bCs/>
          <w:sz w:val="22"/>
          <w:szCs w:val="22"/>
          <w:u w:val="single"/>
        </w:rPr>
      </w:pPr>
      <w:r w:rsidRPr="00B37A78">
        <w:rPr>
          <w:b/>
          <w:bCs/>
          <w:sz w:val="22"/>
          <w:szCs w:val="22"/>
          <w:u w:val="single"/>
        </w:rPr>
        <w:t>Question 1.2</w:t>
      </w:r>
    </w:p>
    <w:p w:rsidR="00B37A78" w:rsidRPr="00B37A78" w:rsidRDefault="00B37A78" w:rsidP="00460B1E">
      <w:pPr>
        <w:jc w:val="both"/>
        <w:rPr>
          <w:sz w:val="10"/>
          <w:szCs w:val="10"/>
        </w:rPr>
      </w:pPr>
    </w:p>
    <w:p w:rsidR="00B37A78" w:rsidRPr="00B37A78" w:rsidRDefault="00B37A78" w:rsidP="00460B1E">
      <w:pPr>
        <w:jc w:val="both"/>
        <w:rPr>
          <w:sz w:val="22"/>
          <w:szCs w:val="22"/>
        </w:rPr>
      </w:pPr>
      <w:r w:rsidRPr="00B37A78">
        <w:rPr>
          <w:sz w:val="22"/>
          <w:szCs w:val="22"/>
        </w:rPr>
        <w:t>Le contrat passé entre les deux commerçants contient une clause stipulant que les litiges pouvant survenir seront résolus par voie d'arbitrage.</w:t>
      </w:r>
    </w:p>
    <w:p w:rsidR="00B37A78" w:rsidRPr="00B37A78" w:rsidRDefault="00B37A78" w:rsidP="00460B1E">
      <w:pPr>
        <w:jc w:val="both"/>
        <w:rPr>
          <w:sz w:val="22"/>
          <w:szCs w:val="22"/>
        </w:rPr>
      </w:pPr>
    </w:p>
    <w:p w:rsidR="00B37A78" w:rsidRPr="00B37A78" w:rsidRDefault="00B37A78" w:rsidP="00460B1E">
      <w:pPr>
        <w:jc w:val="both"/>
        <w:rPr>
          <w:sz w:val="22"/>
          <w:szCs w:val="22"/>
        </w:rPr>
      </w:pPr>
      <w:r w:rsidRPr="00B37A78">
        <w:rPr>
          <w:b/>
          <w:bCs/>
          <w:sz w:val="22"/>
          <w:szCs w:val="22"/>
          <w:u w:val="single"/>
        </w:rPr>
        <w:t>Comment peut-on qualifier juridiquement une clause par laquelle les parties au contrat soumettent la résolution des litiges à venir à un arbitre</w:t>
      </w:r>
      <w:r w:rsidRPr="00B37A78">
        <w:rPr>
          <w:b/>
          <w:bCs/>
          <w:sz w:val="22"/>
          <w:szCs w:val="22"/>
        </w:rPr>
        <w:t xml:space="preserve"> </w:t>
      </w:r>
      <w:r w:rsidRPr="00B37A78">
        <w:rPr>
          <w:sz w:val="22"/>
          <w:szCs w:val="22"/>
        </w:rPr>
        <w:t>?</w:t>
      </w:r>
    </w:p>
    <w:p w:rsidR="00B37A78" w:rsidRPr="00B37A78" w:rsidRDefault="00B37A78" w:rsidP="00460B1E">
      <w:pPr>
        <w:jc w:val="both"/>
        <w:rPr>
          <w:sz w:val="22"/>
          <w:szCs w:val="22"/>
        </w:rPr>
      </w:pPr>
    </w:p>
    <w:p w:rsidR="00B37A78" w:rsidRPr="00B37A78" w:rsidRDefault="00B37A78" w:rsidP="00460B1E">
      <w:pPr>
        <w:jc w:val="both"/>
        <w:rPr>
          <w:sz w:val="22"/>
          <w:szCs w:val="22"/>
        </w:rPr>
      </w:pPr>
      <w:r w:rsidRPr="00B37A78">
        <w:rPr>
          <w:sz w:val="22"/>
          <w:szCs w:val="22"/>
        </w:rPr>
        <w:t>La clause contractuelle par laquelle les contractants s'engagent à soumettre à l'arbitrage les litiges qui pourraient survenir entre eux à l'occasion de l'exécution de leurs relations contractuelles est appelée clause compromissoire (article 1442 du Code de procédure civile).</w:t>
      </w:r>
    </w:p>
    <w:p w:rsidR="00B37A78" w:rsidRPr="00B37A78" w:rsidRDefault="00B37A78" w:rsidP="00460B1E">
      <w:pPr>
        <w:jc w:val="both"/>
        <w:rPr>
          <w:sz w:val="22"/>
          <w:szCs w:val="22"/>
        </w:rPr>
      </w:pPr>
    </w:p>
    <w:p w:rsidR="00B37A78" w:rsidRPr="00B37A78" w:rsidRDefault="00B37A78" w:rsidP="00460B1E">
      <w:pPr>
        <w:jc w:val="both"/>
        <w:rPr>
          <w:b/>
          <w:bCs/>
          <w:sz w:val="22"/>
          <w:szCs w:val="22"/>
          <w:u w:val="single"/>
        </w:rPr>
      </w:pPr>
      <w:r w:rsidRPr="00B37A78">
        <w:rPr>
          <w:b/>
          <w:bCs/>
          <w:sz w:val="22"/>
          <w:szCs w:val="22"/>
          <w:u w:val="single"/>
        </w:rPr>
        <w:t>Question 1.3</w:t>
      </w:r>
    </w:p>
    <w:p w:rsidR="00B37A78" w:rsidRPr="00B37A78" w:rsidRDefault="00B37A78" w:rsidP="00460B1E">
      <w:pPr>
        <w:jc w:val="both"/>
        <w:rPr>
          <w:b/>
          <w:bCs/>
          <w:sz w:val="22"/>
          <w:szCs w:val="22"/>
          <w:u w:val="single"/>
        </w:rPr>
      </w:pPr>
    </w:p>
    <w:p w:rsidR="00B37A78" w:rsidRPr="00B37A78" w:rsidRDefault="00B37A78" w:rsidP="00460B1E">
      <w:pPr>
        <w:jc w:val="both"/>
        <w:rPr>
          <w:sz w:val="22"/>
          <w:szCs w:val="22"/>
        </w:rPr>
      </w:pPr>
      <w:r w:rsidRPr="00B37A78">
        <w:rPr>
          <w:b/>
          <w:bCs/>
          <w:sz w:val="22"/>
          <w:szCs w:val="22"/>
          <w:u w:val="single"/>
        </w:rPr>
        <w:t>Quelles sont les conditions de validité d'une clause compromissoire</w:t>
      </w:r>
      <w:r w:rsidRPr="00B37A78">
        <w:rPr>
          <w:sz w:val="22"/>
          <w:szCs w:val="22"/>
        </w:rPr>
        <w:t xml:space="preserve"> ?</w:t>
      </w:r>
    </w:p>
    <w:p w:rsidR="00B37A78" w:rsidRPr="00B37A78" w:rsidRDefault="00B37A78" w:rsidP="00460B1E">
      <w:pPr>
        <w:jc w:val="both"/>
        <w:rPr>
          <w:sz w:val="10"/>
          <w:szCs w:val="10"/>
        </w:rPr>
      </w:pPr>
    </w:p>
    <w:p w:rsidR="00B37A78" w:rsidRDefault="00B37A78" w:rsidP="00460B1E">
      <w:pPr>
        <w:jc w:val="both"/>
        <w:rPr>
          <w:sz w:val="22"/>
          <w:szCs w:val="22"/>
        </w:rPr>
      </w:pPr>
      <w:r w:rsidRPr="00B37A78">
        <w:rPr>
          <w:sz w:val="22"/>
          <w:szCs w:val="22"/>
        </w:rPr>
        <w:t>La clause compromissoire est autorisée dans les contrats conclus à raison d'une activité professionnelle (article 2061 du Code civil). Plusieurs conditions sont toutefois exigées  (article 1443 du Code de procédure civile) :</w:t>
      </w:r>
    </w:p>
    <w:p w:rsidR="00B37A78" w:rsidRDefault="00B37A78" w:rsidP="00B37A78">
      <w:pPr>
        <w:jc w:val="both"/>
        <w:rPr>
          <w:sz w:val="22"/>
          <w:szCs w:val="22"/>
        </w:rPr>
      </w:pPr>
      <w:r>
        <w:rPr>
          <w:sz w:val="22"/>
          <w:szCs w:val="22"/>
        </w:rPr>
        <w:t xml:space="preserve">- </w:t>
      </w:r>
      <w:r w:rsidRPr="00B37A78">
        <w:rPr>
          <w:sz w:val="22"/>
          <w:szCs w:val="22"/>
        </w:rPr>
        <w:t>la clause doit être stipulée par écrit dans la convention principale ou dans un document auquel celle-ci se réfère, à peine de nullité ;</w:t>
      </w:r>
    </w:p>
    <w:p w:rsidR="00B37A78" w:rsidRPr="00B37A78" w:rsidRDefault="00B37A78" w:rsidP="00B37A78">
      <w:pPr>
        <w:jc w:val="both"/>
        <w:rPr>
          <w:sz w:val="22"/>
          <w:szCs w:val="22"/>
        </w:rPr>
      </w:pPr>
      <w:r>
        <w:rPr>
          <w:sz w:val="22"/>
          <w:szCs w:val="22"/>
        </w:rPr>
        <w:t xml:space="preserve">- </w:t>
      </w:r>
      <w:r w:rsidRPr="00B37A78">
        <w:rPr>
          <w:sz w:val="22"/>
          <w:szCs w:val="22"/>
        </w:rPr>
        <w:t>elle doit désigner le ou les arbitres ou prévoir les modalités de leur désignation.</w:t>
      </w:r>
    </w:p>
    <w:p w:rsidR="00B37A78" w:rsidRPr="00B37A78" w:rsidRDefault="00B37A78" w:rsidP="00460B1E">
      <w:pPr>
        <w:jc w:val="both"/>
        <w:rPr>
          <w:sz w:val="22"/>
          <w:szCs w:val="22"/>
        </w:rPr>
      </w:pPr>
      <w:r w:rsidRPr="00B37A78">
        <w:rPr>
          <w:sz w:val="22"/>
          <w:szCs w:val="22"/>
        </w:rPr>
        <w:t>A défaut, la clause est réputée non écrite.</w:t>
      </w:r>
    </w:p>
    <w:p w:rsidR="00B37A78" w:rsidRPr="00B37A78" w:rsidRDefault="00B37A78" w:rsidP="00460B1E">
      <w:pPr>
        <w:jc w:val="both"/>
        <w:rPr>
          <w:sz w:val="22"/>
          <w:szCs w:val="22"/>
        </w:rPr>
      </w:pPr>
      <w:r w:rsidRPr="00B37A78">
        <w:rPr>
          <w:sz w:val="22"/>
          <w:szCs w:val="22"/>
          <w:u w:val="single"/>
        </w:rPr>
        <w:t>En l’espèce</w:t>
      </w:r>
      <w:r w:rsidRPr="00B37A78">
        <w:rPr>
          <w:sz w:val="22"/>
          <w:szCs w:val="22"/>
        </w:rPr>
        <w:t>, la clause compromissoire apparaît dans un contrat conclu entre commerçants. Elle apparaît sur le contrat principal et désigne précisément l'arbitre. Elle est donc licite.</w:t>
      </w:r>
    </w:p>
    <w:p w:rsidR="00B37A78" w:rsidRPr="00B37A78" w:rsidRDefault="00B37A78" w:rsidP="00460B1E">
      <w:pPr>
        <w:jc w:val="both"/>
        <w:rPr>
          <w:sz w:val="22"/>
          <w:szCs w:val="22"/>
        </w:rPr>
      </w:pPr>
    </w:p>
    <w:p w:rsidR="00B37A78" w:rsidRPr="00B37A78" w:rsidRDefault="00B37A78" w:rsidP="00460B1E">
      <w:pPr>
        <w:jc w:val="both"/>
        <w:rPr>
          <w:b/>
          <w:bCs/>
          <w:sz w:val="22"/>
          <w:szCs w:val="22"/>
          <w:u w:val="single"/>
        </w:rPr>
      </w:pPr>
      <w:r w:rsidRPr="00B37A78">
        <w:rPr>
          <w:b/>
          <w:bCs/>
          <w:sz w:val="22"/>
          <w:szCs w:val="22"/>
          <w:u w:val="single"/>
        </w:rPr>
        <w:lastRenderedPageBreak/>
        <w:t>Question 1.4</w:t>
      </w:r>
    </w:p>
    <w:p w:rsidR="00B37A78" w:rsidRPr="00B37A78" w:rsidRDefault="00B37A78" w:rsidP="00460B1E">
      <w:pPr>
        <w:jc w:val="both"/>
        <w:rPr>
          <w:b/>
          <w:bCs/>
          <w:sz w:val="22"/>
          <w:szCs w:val="22"/>
          <w:u w:val="single"/>
        </w:rPr>
      </w:pPr>
    </w:p>
    <w:p w:rsidR="00B37A78" w:rsidRPr="00B37A78" w:rsidRDefault="00B37A78" w:rsidP="00460B1E">
      <w:pPr>
        <w:jc w:val="both"/>
        <w:rPr>
          <w:b/>
          <w:bCs/>
          <w:sz w:val="22"/>
          <w:szCs w:val="22"/>
        </w:rPr>
      </w:pPr>
      <w:r w:rsidRPr="00B37A78">
        <w:rPr>
          <w:b/>
          <w:bCs/>
          <w:sz w:val="22"/>
          <w:szCs w:val="22"/>
          <w:u w:val="single"/>
        </w:rPr>
        <w:t>Quel(s) intérêt(s) une clause compromissoire peut-elle présenter pour les parties contractantes</w:t>
      </w:r>
      <w:r w:rsidRPr="00B37A78">
        <w:rPr>
          <w:b/>
          <w:bCs/>
          <w:sz w:val="22"/>
          <w:szCs w:val="22"/>
        </w:rPr>
        <w:t xml:space="preserve"> ?</w:t>
      </w:r>
    </w:p>
    <w:p w:rsidR="00B37A78" w:rsidRPr="00B37A78" w:rsidRDefault="00B37A78" w:rsidP="00460B1E">
      <w:pPr>
        <w:jc w:val="both"/>
        <w:rPr>
          <w:sz w:val="22"/>
          <w:szCs w:val="22"/>
        </w:rPr>
      </w:pPr>
    </w:p>
    <w:p w:rsidR="00B37A78" w:rsidRPr="00B37A78" w:rsidRDefault="00B37A78" w:rsidP="00460B1E">
      <w:pPr>
        <w:jc w:val="both"/>
        <w:rPr>
          <w:sz w:val="22"/>
          <w:szCs w:val="22"/>
        </w:rPr>
      </w:pPr>
      <w:r w:rsidRPr="00B37A78">
        <w:rPr>
          <w:sz w:val="22"/>
          <w:szCs w:val="22"/>
        </w:rPr>
        <w:t>La clause compromissoire fait partie des modes alternatifs de résolution des conflits. Les parties décident ainsi de ne pas recourir aux tribunaux étatiques et choisissent de faire trancher le litige par un arbitre, personne privée.</w:t>
      </w:r>
    </w:p>
    <w:p w:rsidR="00B37A78" w:rsidRPr="00B37A78" w:rsidRDefault="00B37A78" w:rsidP="00460B1E">
      <w:pPr>
        <w:jc w:val="both"/>
        <w:rPr>
          <w:sz w:val="22"/>
          <w:szCs w:val="22"/>
        </w:rPr>
      </w:pPr>
    </w:p>
    <w:p w:rsidR="00B37A78" w:rsidRPr="00B37A78" w:rsidRDefault="00B37A78" w:rsidP="00B37A78">
      <w:pPr>
        <w:numPr>
          <w:ilvl w:val="0"/>
          <w:numId w:val="31"/>
        </w:numPr>
        <w:jc w:val="both"/>
        <w:rPr>
          <w:sz w:val="22"/>
          <w:szCs w:val="22"/>
        </w:rPr>
      </w:pPr>
      <w:r w:rsidRPr="00B37A78">
        <w:rPr>
          <w:sz w:val="22"/>
          <w:szCs w:val="22"/>
        </w:rPr>
        <w:t xml:space="preserve">L'arbitrage est fréquemment utilisé par les commerçants qui estiment qu'il présente l'avantage de régler </w:t>
      </w:r>
      <w:r w:rsidRPr="00B37A78">
        <w:rPr>
          <w:sz w:val="22"/>
          <w:szCs w:val="22"/>
          <w:u w:val="single"/>
        </w:rPr>
        <w:t>rapidement</w:t>
      </w:r>
      <w:r w:rsidRPr="00B37A78">
        <w:rPr>
          <w:sz w:val="22"/>
          <w:szCs w:val="22"/>
        </w:rPr>
        <w:t xml:space="preserve"> un conflit. Les arbitres ont une certaine liberté dans l'organisation de la procédure, même s'ils doivent respecter les principes directeurs énoncés par le code de procédure civile.</w:t>
      </w:r>
    </w:p>
    <w:p w:rsidR="00B37A78" w:rsidRPr="00B37A78" w:rsidRDefault="00B37A78" w:rsidP="00460B1E">
      <w:pPr>
        <w:jc w:val="both"/>
        <w:rPr>
          <w:sz w:val="22"/>
          <w:szCs w:val="22"/>
        </w:rPr>
      </w:pPr>
    </w:p>
    <w:p w:rsidR="00B37A78" w:rsidRPr="00B37A78" w:rsidRDefault="00B37A78" w:rsidP="00B37A78">
      <w:pPr>
        <w:numPr>
          <w:ilvl w:val="0"/>
          <w:numId w:val="31"/>
        </w:numPr>
        <w:jc w:val="both"/>
        <w:rPr>
          <w:sz w:val="22"/>
          <w:szCs w:val="22"/>
        </w:rPr>
      </w:pPr>
      <w:r w:rsidRPr="00B37A78">
        <w:rPr>
          <w:sz w:val="22"/>
          <w:szCs w:val="22"/>
        </w:rPr>
        <w:t>Par ailleurs, il présente l'intérêt de résoudre le différend de façon confidentielle, la sentence arbitrale n'étant pas publiée.</w:t>
      </w:r>
    </w:p>
    <w:p w:rsidR="00B37A78" w:rsidRPr="00B37A78" w:rsidRDefault="00B37A78" w:rsidP="00460B1E">
      <w:pPr>
        <w:jc w:val="both"/>
        <w:rPr>
          <w:sz w:val="22"/>
          <w:szCs w:val="22"/>
        </w:rPr>
      </w:pPr>
    </w:p>
    <w:p w:rsidR="00B37A78" w:rsidRPr="00B37A78" w:rsidRDefault="00B37A78" w:rsidP="00B37A78">
      <w:pPr>
        <w:numPr>
          <w:ilvl w:val="0"/>
          <w:numId w:val="31"/>
        </w:numPr>
        <w:jc w:val="both"/>
        <w:rPr>
          <w:sz w:val="22"/>
          <w:szCs w:val="22"/>
        </w:rPr>
      </w:pPr>
      <w:r w:rsidRPr="00B37A78">
        <w:rPr>
          <w:sz w:val="22"/>
          <w:szCs w:val="22"/>
        </w:rPr>
        <w:t>Les commerçants portent leur choix sur un arbitre, dont la connaissance du monde des affaires, est en général reconnue. Ils espèrent donc de sa part une bonne compréhension du litige et une solution adaptée.</w:t>
      </w:r>
    </w:p>
    <w:p w:rsidR="00B37A78" w:rsidRPr="00B37A78" w:rsidRDefault="00B37A78" w:rsidP="00BB3247">
      <w:pPr>
        <w:jc w:val="both"/>
        <w:rPr>
          <w:sz w:val="22"/>
          <w:szCs w:val="22"/>
        </w:rPr>
      </w:pPr>
    </w:p>
    <w:p w:rsidR="00B37A78" w:rsidRPr="00B37A78" w:rsidRDefault="00B37A78" w:rsidP="00B37A78">
      <w:pPr>
        <w:numPr>
          <w:ilvl w:val="0"/>
          <w:numId w:val="31"/>
        </w:numPr>
        <w:jc w:val="both"/>
        <w:rPr>
          <w:sz w:val="22"/>
          <w:szCs w:val="22"/>
        </w:rPr>
      </w:pPr>
      <w:r w:rsidRPr="00B37A78">
        <w:rPr>
          <w:sz w:val="22"/>
          <w:szCs w:val="22"/>
        </w:rPr>
        <w:t>Dans les litiges internationaux, où peuvent intervenir des litiges relatifs aux règles de droit applicables et des conflits de juridictions, l’arbitrage est plus simple.</w:t>
      </w:r>
    </w:p>
    <w:p w:rsidR="00B37A78" w:rsidRPr="00B37A78" w:rsidRDefault="00B37A78" w:rsidP="00460B1E">
      <w:pPr>
        <w:jc w:val="both"/>
        <w:rPr>
          <w:sz w:val="22"/>
          <w:szCs w:val="22"/>
        </w:rPr>
      </w:pPr>
    </w:p>
    <w:p w:rsidR="00B37A78" w:rsidRPr="00B37A78" w:rsidRDefault="00B37A78" w:rsidP="00B37A78">
      <w:pPr>
        <w:numPr>
          <w:ilvl w:val="0"/>
          <w:numId w:val="31"/>
        </w:numPr>
        <w:jc w:val="both"/>
        <w:rPr>
          <w:sz w:val="22"/>
          <w:szCs w:val="22"/>
        </w:rPr>
      </w:pPr>
      <w:r w:rsidRPr="00B37A78">
        <w:rPr>
          <w:sz w:val="22"/>
          <w:szCs w:val="22"/>
        </w:rPr>
        <w:t>La sentence arbitrale présente les caractères d'un jugement : elle est revêtue de l'autorité de la chose jugée et peut faire l'objet d'un appel (sauf si les parties y ont renoncé). Toutefois, elle n'acquiert force exécutoire qu'en vertu d'une décision d'exequatur rendue par le TGI.</w:t>
      </w:r>
    </w:p>
    <w:p w:rsidR="00B37A78" w:rsidRPr="00B37A78" w:rsidRDefault="00B37A78" w:rsidP="00460B1E">
      <w:pPr>
        <w:jc w:val="both"/>
        <w:rPr>
          <w:sz w:val="22"/>
          <w:szCs w:val="22"/>
        </w:rPr>
      </w:pPr>
    </w:p>
    <w:p w:rsidR="00B37A78" w:rsidRPr="00B37A78" w:rsidRDefault="00B37A78" w:rsidP="00B37A78">
      <w:pPr>
        <w:numPr>
          <w:ilvl w:val="0"/>
          <w:numId w:val="31"/>
        </w:numPr>
        <w:jc w:val="both"/>
        <w:rPr>
          <w:sz w:val="22"/>
          <w:szCs w:val="22"/>
        </w:rPr>
      </w:pPr>
      <w:r w:rsidRPr="00B37A78">
        <w:rPr>
          <w:sz w:val="22"/>
          <w:szCs w:val="22"/>
        </w:rPr>
        <w:t>Certains commerçants considèrent également que le recours à l'arbitrage est moins coûteux que le recours à une juridiction étatique. Cet argument est cependant contesté, dans la mesure où les parties contractantes sont tenues de payer les arbitres.</w:t>
      </w:r>
    </w:p>
    <w:p w:rsidR="00B37A78" w:rsidRPr="00B37A78" w:rsidRDefault="00B37A78" w:rsidP="00CD67AC">
      <w:pPr>
        <w:ind w:left="360"/>
        <w:jc w:val="both"/>
        <w:rPr>
          <w:sz w:val="22"/>
          <w:szCs w:val="22"/>
        </w:rPr>
      </w:pPr>
    </w:p>
    <w:p w:rsidR="00B37A78" w:rsidRPr="00B37A78" w:rsidRDefault="00B37A78" w:rsidP="00B37A78">
      <w:pPr>
        <w:numPr>
          <w:ilvl w:val="0"/>
          <w:numId w:val="31"/>
        </w:numPr>
        <w:jc w:val="both"/>
        <w:rPr>
          <w:sz w:val="22"/>
          <w:szCs w:val="22"/>
        </w:rPr>
      </w:pPr>
      <w:r w:rsidRPr="00B37A78">
        <w:rPr>
          <w:sz w:val="22"/>
          <w:szCs w:val="22"/>
        </w:rPr>
        <w:t>Les arbitres peuvent statuer en équité (en amiable compositeur) si la clause compromissoire le prévoit.</w:t>
      </w:r>
    </w:p>
    <w:p w:rsidR="00B37A78" w:rsidRPr="00B37A78" w:rsidRDefault="00B37A78" w:rsidP="00460B1E">
      <w:pPr>
        <w:jc w:val="both"/>
        <w:rPr>
          <w:sz w:val="22"/>
          <w:szCs w:val="22"/>
        </w:rPr>
      </w:pPr>
    </w:p>
    <w:p w:rsidR="00B37A78" w:rsidRPr="00B37A78" w:rsidRDefault="00B37A78" w:rsidP="00460B1E">
      <w:pPr>
        <w:jc w:val="both"/>
        <w:rPr>
          <w:b/>
          <w:bCs/>
          <w:sz w:val="22"/>
          <w:szCs w:val="22"/>
          <w:u w:val="single"/>
        </w:rPr>
      </w:pPr>
      <w:r w:rsidRPr="00B37A78">
        <w:rPr>
          <w:b/>
          <w:bCs/>
          <w:sz w:val="22"/>
          <w:szCs w:val="22"/>
          <w:u w:val="single"/>
        </w:rPr>
        <w:t>Question 1.5</w:t>
      </w:r>
    </w:p>
    <w:p w:rsidR="00B37A78" w:rsidRPr="00B37A78" w:rsidRDefault="00B37A78" w:rsidP="00460B1E">
      <w:pPr>
        <w:jc w:val="both"/>
        <w:rPr>
          <w:sz w:val="22"/>
          <w:szCs w:val="22"/>
        </w:rPr>
      </w:pPr>
    </w:p>
    <w:p w:rsidR="00B37A78" w:rsidRPr="00B37A78" w:rsidRDefault="00B37A78" w:rsidP="00460B1E">
      <w:pPr>
        <w:jc w:val="both"/>
        <w:rPr>
          <w:sz w:val="22"/>
          <w:szCs w:val="22"/>
        </w:rPr>
      </w:pPr>
      <w:r w:rsidRPr="00B37A78">
        <w:rPr>
          <w:sz w:val="22"/>
          <w:szCs w:val="22"/>
        </w:rPr>
        <w:t>L’insertion d’une clause compromissoire entraîne renonciation des parties à recourir au juge.</w:t>
      </w:r>
    </w:p>
    <w:p w:rsidR="00B37A78" w:rsidRPr="00B37A78" w:rsidRDefault="00B37A78" w:rsidP="00460B1E">
      <w:pPr>
        <w:jc w:val="both"/>
        <w:rPr>
          <w:sz w:val="22"/>
          <w:szCs w:val="22"/>
        </w:rPr>
      </w:pPr>
    </w:p>
    <w:p w:rsidR="00B37A78" w:rsidRPr="00B37A78" w:rsidRDefault="00B37A78" w:rsidP="00460B1E">
      <w:pPr>
        <w:jc w:val="both"/>
        <w:rPr>
          <w:b/>
          <w:bCs/>
          <w:sz w:val="22"/>
          <w:szCs w:val="22"/>
          <w:u w:val="single"/>
        </w:rPr>
      </w:pPr>
      <w:r w:rsidRPr="00B37A78">
        <w:rPr>
          <w:b/>
          <w:bCs/>
          <w:sz w:val="22"/>
          <w:szCs w:val="22"/>
          <w:u w:val="single"/>
        </w:rPr>
        <w:t>Question 1.6</w:t>
      </w:r>
    </w:p>
    <w:p w:rsidR="00B37A78" w:rsidRPr="00B37A78" w:rsidRDefault="00B37A78" w:rsidP="00460B1E">
      <w:pPr>
        <w:jc w:val="both"/>
        <w:rPr>
          <w:sz w:val="22"/>
          <w:szCs w:val="22"/>
        </w:rPr>
      </w:pPr>
    </w:p>
    <w:p w:rsidR="00B37A78" w:rsidRPr="00B37A78" w:rsidRDefault="00B37A78" w:rsidP="00460B1E">
      <w:pPr>
        <w:jc w:val="both"/>
        <w:rPr>
          <w:sz w:val="22"/>
          <w:szCs w:val="22"/>
        </w:rPr>
      </w:pPr>
      <w:r w:rsidRPr="00B37A78">
        <w:rPr>
          <w:sz w:val="22"/>
          <w:szCs w:val="22"/>
        </w:rPr>
        <w:t>Lysiane crée des vêtements qu'elle souhaiterait commercialiser sous la marque « Lysou ». Cette marque, qui désigne déjà une gamme de casseroles, est utilisée par une jeune entreprise.</w:t>
      </w:r>
    </w:p>
    <w:p w:rsidR="00B37A78" w:rsidRPr="00B37A78" w:rsidRDefault="00B37A78" w:rsidP="00460B1E">
      <w:pPr>
        <w:jc w:val="both"/>
        <w:rPr>
          <w:sz w:val="22"/>
          <w:szCs w:val="22"/>
        </w:rPr>
      </w:pPr>
    </w:p>
    <w:p w:rsidR="00B37A78" w:rsidRPr="00B37A78" w:rsidRDefault="00B37A78" w:rsidP="00460B1E">
      <w:pPr>
        <w:jc w:val="both"/>
        <w:rPr>
          <w:b/>
          <w:bCs/>
          <w:sz w:val="22"/>
          <w:szCs w:val="22"/>
        </w:rPr>
      </w:pPr>
      <w:r w:rsidRPr="00B37A78">
        <w:rPr>
          <w:b/>
          <w:bCs/>
          <w:sz w:val="22"/>
          <w:szCs w:val="22"/>
          <w:u w:val="single"/>
        </w:rPr>
        <w:t>A quelles conditions une marque peut-elle être déposée</w:t>
      </w:r>
      <w:r w:rsidRPr="00B37A78">
        <w:rPr>
          <w:b/>
          <w:bCs/>
          <w:sz w:val="22"/>
          <w:szCs w:val="22"/>
        </w:rPr>
        <w:t xml:space="preserve"> ?</w:t>
      </w:r>
    </w:p>
    <w:p w:rsidR="00B37A78" w:rsidRPr="00E62249" w:rsidRDefault="00B37A78" w:rsidP="00460B1E">
      <w:pPr>
        <w:jc w:val="both"/>
        <w:rPr>
          <w:sz w:val="10"/>
          <w:szCs w:val="10"/>
        </w:rPr>
      </w:pPr>
    </w:p>
    <w:p w:rsidR="00B37A78" w:rsidRPr="00B37A78" w:rsidRDefault="00B37A78" w:rsidP="00460B1E">
      <w:pPr>
        <w:jc w:val="both"/>
        <w:rPr>
          <w:sz w:val="22"/>
          <w:szCs w:val="22"/>
        </w:rPr>
      </w:pPr>
      <w:r w:rsidRPr="00B37A78">
        <w:rPr>
          <w:sz w:val="22"/>
          <w:szCs w:val="22"/>
        </w:rPr>
        <w:t>L'article L 711-1 du Code de propriété intellectuelle énonce : « la marque de fabrique, de commerce ou de service est un signe susceptible de représentation graphique servant à distinguer les produits ou services d'une personne physique ou morale. »</w:t>
      </w:r>
    </w:p>
    <w:p w:rsidR="00E62249" w:rsidRDefault="00B37A78" w:rsidP="00460B1E">
      <w:pPr>
        <w:jc w:val="both"/>
        <w:rPr>
          <w:sz w:val="22"/>
          <w:szCs w:val="22"/>
        </w:rPr>
      </w:pPr>
      <w:r w:rsidRPr="00B37A78">
        <w:rPr>
          <w:sz w:val="22"/>
          <w:szCs w:val="22"/>
        </w:rPr>
        <w:t xml:space="preserve">Dès lors qu'un signe a été choisi, le commerçant doit s'assurer qu'il est juridiquement valable comme marque. </w:t>
      </w:r>
    </w:p>
    <w:p w:rsidR="00E62249" w:rsidRPr="00E62249" w:rsidRDefault="00E62249" w:rsidP="00460B1E">
      <w:pPr>
        <w:jc w:val="both"/>
        <w:rPr>
          <w:sz w:val="10"/>
          <w:szCs w:val="10"/>
        </w:rPr>
      </w:pPr>
    </w:p>
    <w:p w:rsidR="00B37A78" w:rsidRPr="00B37A78" w:rsidRDefault="00B37A78" w:rsidP="00460B1E">
      <w:pPr>
        <w:jc w:val="both"/>
        <w:rPr>
          <w:sz w:val="22"/>
          <w:szCs w:val="22"/>
        </w:rPr>
      </w:pPr>
      <w:r w:rsidRPr="00B37A78">
        <w:rPr>
          <w:sz w:val="22"/>
          <w:szCs w:val="22"/>
        </w:rPr>
        <w:t>Quatre conditions doivent être remplies :</w:t>
      </w:r>
    </w:p>
    <w:p w:rsidR="00B37A78" w:rsidRPr="00B37A78" w:rsidRDefault="00B37A78" w:rsidP="00F24FD9">
      <w:pPr>
        <w:jc w:val="both"/>
        <w:rPr>
          <w:sz w:val="22"/>
          <w:szCs w:val="22"/>
        </w:rPr>
      </w:pPr>
      <w:r w:rsidRPr="00B37A78">
        <w:rPr>
          <w:sz w:val="22"/>
          <w:szCs w:val="22"/>
        </w:rPr>
        <w:t>- la marque doit être licite, c'est-à-dire qu'elle ne doit pas être contraire à l'ordre public et aux bonnes mœurs (article L 711-3 CPI) ;</w:t>
      </w:r>
    </w:p>
    <w:p w:rsidR="00B37A78" w:rsidRPr="00B37A78" w:rsidRDefault="00B37A78" w:rsidP="00F24FD9">
      <w:pPr>
        <w:jc w:val="both"/>
        <w:rPr>
          <w:sz w:val="22"/>
          <w:szCs w:val="22"/>
        </w:rPr>
      </w:pPr>
      <w:r w:rsidRPr="00B37A78">
        <w:rPr>
          <w:sz w:val="22"/>
          <w:szCs w:val="22"/>
        </w:rPr>
        <w:t>- la marque ne doit pas être déceptive (ou trompeuse) : elle ne doit pas tromper le public sur la nature, la qualité ou la provenance géographique du produit ou du service (article L 711-3 CPI) ;</w:t>
      </w:r>
    </w:p>
    <w:p w:rsidR="00B37A78" w:rsidRPr="00B37A78" w:rsidRDefault="00B37A78" w:rsidP="00460B1E">
      <w:pPr>
        <w:jc w:val="both"/>
        <w:rPr>
          <w:sz w:val="22"/>
          <w:szCs w:val="22"/>
        </w:rPr>
      </w:pPr>
      <w:r w:rsidRPr="00B37A78">
        <w:rPr>
          <w:sz w:val="22"/>
          <w:szCs w:val="22"/>
        </w:rPr>
        <w:t>- la marque doit être distinctive (article L 711-2 du CPI) : elle doit permettre d'identifier le produit ;</w:t>
      </w:r>
    </w:p>
    <w:p w:rsidR="00B37A78" w:rsidRPr="00B37A78" w:rsidRDefault="00B37A78" w:rsidP="00460B1E">
      <w:pPr>
        <w:jc w:val="both"/>
        <w:rPr>
          <w:sz w:val="22"/>
          <w:szCs w:val="22"/>
        </w:rPr>
      </w:pPr>
      <w:r w:rsidRPr="00B37A78">
        <w:rPr>
          <w:sz w:val="22"/>
          <w:szCs w:val="22"/>
        </w:rPr>
        <w:t xml:space="preserve">- la marque doit être disponible c'est-à-dire qu'elle ne doit pas porter atteinte à des droits antérieurs (article </w:t>
      </w:r>
      <w:r w:rsidR="00E62249">
        <w:rPr>
          <w:sz w:val="22"/>
          <w:szCs w:val="22"/>
        </w:rPr>
        <w:br/>
      </w:r>
      <w:r w:rsidRPr="00B37A78">
        <w:rPr>
          <w:sz w:val="22"/>
          <w:szCs w:val="22"/>
        </w:rPr>
        <w:t>L 711-4 CPI). En vertu du principe de spécialité, la marque ne doit pas porter atteinte à une marque antérieurement déposée dans la classe de produits concernés sauf si celle-ci est une marque notoire. La confusion n'est retenue que dans le cas de produits identiques ou similaires.</w:t>
      </w:r>
    </w:p>
    <w:p w:rsidR="00B37A78" w:rsidRPr="00E62249" w:rsidRDefault="00E62249" w:rsidP="00460B1E">
      <w:pPr>
        <w:jc w:val="both"/>
        <w:rPr>
          <w:sz w:val="22"/>
          <w:szCs w:val="22"/>
        </w:rPr>
      </w:pPr>
      <w:r>
        <w:rPr>
          <w:sz w:val="22"/>
          <w:szCs w:val="22"/>
        </w:rPr>
        <w:br w:type="page"/>
      </w:r>
      <w:r w:rsidR="00B37A78" w:rsidRPr="00E62249">
        <w:rPr>
          <w:sz w:val="22"/>
          <w:szCs w:val="22"/>
        </w:rPr>
        <w:lastRenderedPageBreak/>
        <w:t xml:space="preserve">En l'espèce, </w:t>
      </w:r>
    </w:p>
    <w:p w:rsidR="00B37A78" w:rsidRPr="00B37A78" w:rsidRDefault="00B37A78" w:rsidP="00F24FD9">
      <w:pPr>
        <w:jc w:val="both"/>
        <w:rPr>
          <w:sz w:val="22"/>
          <w:szCs w:val="22"/>
        </w:rPr>
      </w:pPr>
      <w:r w:rsidRPr="00B37A78">
        <w:rPr>
          <w:sz w:val="22"/>
          <w:szCs w:val="22"/>
        </w:rPr>
        <w:t>- la marque Lysou est conforme à l'ordre public et aux bonnes mœurs ;</w:t>
      </w:r>
    </w:p>
    <w:p w:rsidR="00B37A78" w:rsidRPr="00B37A78" w:rsidRDefault="00B37A78" w:rsidP="00F24FD9">
      <w:pPr>
        <w:jc w:val="both"/>
        <w:rPr>
          <w:sz w:val="22"/>
          <w:szCs w:val="22"/>
        </w:rPr>
      </w:pPr>
      <w:r w:rsidRPr="00B37A78">
        <w:rPr>
          <w:sz w:val="22"/>
          <w:szCs w:val="22"/>
        </w:rPr>
        <w:t>- il ne s'agit pas d'une marque déceptive puisqu'elle ne trompe pas le public sur la nature, la qualité ou la provenance géographique du produit ;</w:t>
      </w:r>
    </w:p>
    <w:p w:rsidR="00B37A78" w:rsidRPr="00B37A78" w:rsidRDefault="00B37A78" w:rsidP="00F24FD9">
      <w:pPr>
        <w:jc w:val="both"/>
        <w:rPr>
          <w:sz w:val="22"/>
          <w:szCs w:val="22"/>
        </w:rPr>
      </w:pPr>
      <w:r w:rsidRPr="00B37A78">
        <w:rPr>
          <w:sz w:val="22"/>
          <w:szCs w:val="22"/>
        </w:rPr>
        <w:t>- la marque est distinctive dans la mesure où elle n'est ni générique, ni descriptive, ni figurative ;</w:t>
      </w:r>
    </w:p>
    <w:p w:rsidR="00B37A78" w:rsidRPr="00B37A78" w:rsidRDefault="00B37A78" w:rsidP="00460B1E">
      <w:pPr>
        <w:jc w:val="both"/>
        <w:rPr>
          <w:i/>
          <w:iCs/>
          <w:sz w:val="22"/>
          <w:szCs w:val="22"/>
        </w:rPr>
      </w:pPr>
      <w:r w:rsidRPr="00B37A78">
        <w:rPr>
          <w:sz w:val="22"/>
          <w:szCs w:val="22"/>
        </w:rPr>
        <w:t>- la marque Lysou existe déjà mais elle est utilisée pour identifier une gamme de casseroles ; il ne s'agit donc pas d'une marque antérieure protégeant un produit identique ou similaire ; la marque est donc disponible pour des vêtements.</w:t>
      </w:r>
    </w:p>
    <w:p w:rsidR="00B37A78" w:rsidRPr="00B37A78" w:rsidRDefault="00B37A78" w:rsidP="00460B1E">
      <w:pPr>
        <w:jc w:val="both"/>
        <w:rPr>
          <w:sz w:val="22"/>
          <w:szCs w:val="22"/>
        </w:rPr>
      </w:pPr>
      <w:r w:rsidRPr="00B37A78">
        <w:rPr>
          <w:sz w:val="22"/>
          <w:szCs w:val="22"/>
        </w:rPr>
        <w:t xml:space="preserve">Les conditions de validité de la marque choisie étant respectées, Lysiane pourra déposer une demande de dépôt auprès de l'INPI. </w:t>
      </w:r>
    </w:p>
    <w:p w:rsidR="00B37A78" w:rsidRPr="00B37A78" w:rsidRDefault="00B37A78" w:rsidP="00460B1E">
      <w:pPr>
        <w:jc w:val="both"/>
        <w:rPr>
          <w:sz w:val="22"/>
          <w:szCs w:val="22"/>
        </w:rPr>
      </w:pPr>
    </w:p>
    <w:p w:rsidR="00B37A78" w:rsidRPr="00B37A78" w:rsidRDefault="00B37A78" w:rsidP="00460B1E">
      <w:pPr>
        <w:jc w:val="both"/>
        <w:rPr>
          <w:b/>
          <w:bCs/>
          <w:sz w:val="22"/>
          <w:szCs w:val="22"/>
          <w:u w:val="single"/>
        </w:rPr>
      </w:pPr>
      <w:r w:rsidRPr="00B37A78">
        <w:rPr>
          <w:b/>
          <w:bCs/>
          <w:sz w:val="22"/>
          <w:szCs w:val="22"/>
          <w:u w:val="single"/>
        </w:rPr>
        <w:t>Question 1.7</w:t>
      </w:r>
    </w:p>
    <w:p w:rsidR="00B37A78" w:rsidRPr="00B37A78" w:rsidRDefault="00B37A78" w:rsidP="00460B1E">
      <w:pPr>
        <w:jc w:val="both"/>
        <w:rPr>
          <w:sz w:val="22"/>
          <w:szCs w:val="22"/>
        </w:rPr>
      </w:pPr>
    </w:p>
    <w:p w:rsidR="00B37A78" w:rsidRPr="00B37A78" w:rsidRDefault="00B37A78" w:rsidP="00460B1E">
      <w:pPr>
        <w:jc w:val="both"/>
        <w:rPr>
          <w:sz w:val="22"/>
          <w:szCs w:val="22"/>
        </w:rPr>
      </w:pPr>
      <w:r w:rsidRPr="00B37A78">
        <w:rPr>
          <w:sz w:val="22"/>
          <w:szCs w:val="22"/>
        </w:rPr>
        <w:t>Florence a conclu un contrat de vente avec un commerçant. Le matériel informatique vendu étant défectueux, Florence s'interroge sur l'action en garantie des vices cachés.</w:t>
      </w:r>
    </w:p>
    <w:p w:rsidR="00B37A78" w:rsidRPr="00B37A78" w:rsidRDefault="00B37A78" w:rsidP="00460B1E">
      <w:pPr>
        <w:jc w:val="both"/>
        <w:rPr>
          <w:sz w:val="22"/>
          <w:szCs w:val="22"/>
        </w:rPr>
      </w:pPr>
    </w:p>
    <w:p w:rsidR="00B37A78" w:rsidRPr="00B37A78" w:rsidRDefault="00B37A78" w:rsidP="00460B1E">
      <w:pPr>
        <w:jc w:val="both"/>
        <w:rPr>
          <w:b/>
          <w:bCs/>
          <w:sz w:val="22"/>
          <w:szCs w:val="22"/>
        </w:rPr>
      </w:pPr>
      <w:r w:rsidRPr="00B37A78">
        <w:rPr>
          <w:b/>
          <w:bCs/>
          <w:sz w:val="22"/>
          <w:szCs w:val="22"/>
          <w:u w:val="single"/>
        </w:rPr>
        <w:t>Quelles sont les conditions de mise en jeu de l'action en garantie des vices cachés</w:t>
      </w:r>
      <w:r w:rsidRPr="00B37A78">
        <w:rPr>
          <w:b/>
          <w:bCs/>
          <w:sz w:val="22"/>
          <w:szCs w:val="22"/>
        </w:rPr>
        <w:t xml:space="preserve"> ?</w:t>
      </w:r>
    </w:p>
    <w:p w:rsidR="00B37A78" w:rsidRPr="00B37A78" w:rsidRDefault="00B37A78" w:rsidP="00460B1E">
      <w:pPr>
        <w:jc w:val="both"/>
        <w:rPr>
          <w:b/>
          <w:bCs/>
          <w:sz w:val="22"/>
          <w:szCs w:val="22"/>
        </w:rPr>
      </w:pPr>
    </w:p>
    <w:p w:rsidR="00E62249" w:rsidRDefault="00B37A78" w:rsidP="00460B1E">
      <w:pPr>
        <w:jc w:val="both"/>
        <w:rPr>
          <w:sz w:val="22"/>
          <w:szCs w:val="22"/>
        </w:rPr>
      </w:pPr>
      <w:r w:rsidRPr="00B37A78">
        <w:rPr>
          <w:sz w:val="22"/>
          <w:szCs w:val="22"/>
        </w:rPr>
        <w:t xml:space="preserve">L'article 1641 du code civil énonce « le vendeur est tenu de la garantie à raison des défauts cachés de la chose vendue qui la rendent impropre à l'usage auquel on la destine, ou qui diminuent tellement cet usage, que l'acheteur ne l'aurait pas acquise, ou n'en aurait donné qu'un moindre prix, s'il les avait connus ». La jurisprudence est intervenue pour interpréter certaines conditions légales. </w:t>
      </w:r>
    </w:p>
    <w:p w:rsidR="00E62249" w:rsidRDefault="00E62249" w:rsidP="00460B1E">
      <w:pPr>
        <w:jc w:val="both"/>
        <w:rPr>
          <w:sz w:val="22"/>
          <w:szCs w:val="22"/>
        </w:rPr>
      </w:pPr>
    </w:p>
    <w:p w:rsidR="00B37A78" w:rsidRPr="00B37A78" w:rsidRDefault="00B37A78" w:rsidP="00460B1E">
      <w:pPr>
        <w:jc w:val="both"/>
        <w:rPr>
          <w:sz w:val="22"/>
          <w:szCs w:val="22"/>
        </w:rPr>
      </w:pPr>
      <w:r w:rsidRPr="00B37A78">
        <w:rPr>
          <w:sz w:val="22"/>
          <w:szCs w:val="22"/>
        </w:rPr>
        <w:t>Quatre conditions doivent être réunies :</w:t>
      </w:r>
    </w:p>
    <w:p w:rsidR="00B37A78" w:rsidRPr="00B37A78" w:rsidRDefault="00B37A78" w:rsidP="00921E3B">
      <w:pPr>
        <w:jc w:val="both"/>
        <w:rPr>
          <w:sz w:val="22"/>
          <w:szCs w:val="22"/>
        </w:rPr>
      </w:pPr>
      <w:r w:rsidRPr="00B37A78">
        <w:rPr>
          <w:sz w:val="22"/>
          <w:szCs w:val="22"/>
        </w:rPr>
        <w:t>- l'acheteur doit tout d'abord apporter la preuve d'un vice de la chose c'est-à-dire d'un défaut rendant la chose impropre à sa destination normale. Le défaut est tel qu'il ne permet pas l'usage prévu de la chose ;</w:t>
      </w:r>
    </w:p>
    <w:p w:rsidR="00B37A78" w:rsidRPr="00B37A78" w:rsidRDefault="00B37A78" w:rsidP="00921E3B">
      <w:pPr>
        <w:jc w:val="both"/>
        <w:rPr>
          <w:sz w:val="22"/>
          <w:szCs w:val="22"/>
        </w:rPr>
      </w:pPr>
      <w:r w:rsidRPr="00B37A78">
        <w:rPr>
          <w:sz w:val="22"/>
          <w:szCs w:val="22"/>
        </w:rPr>
        <w:t>- le vice doit être antérieur à la vente ;</w:t>
      </w:r>
    </w:p>
    <w:p w:rsidR="00B37A78" w:rsidRPr="00B37A78" w:rsidRDefault="00B37A78" w:rsidP="00921E3B">
      <w:pPr>
        <w:jc w:val="both"/>
        <w:rPr>
          <w:sz w:val="22"/>
          <w:szCs w:val="22"/>
        </w:rPr>
      </w:pPr>
      <w:r w:rsidRPr="00B37A78">
        <w:rPr>
          <w:sz w:val="22"/>
          <w:szCs w:val="22"/>
        </w:rPr>
        <w:t>- le vice doit être caché et ne pas être apparent. Cela signifie que l'acheteur ne pouvait donc pas déceler le défaut et qu'il n'en avait pas connaissance au moment de la vente ;</w:t>
      </w:r>
    </w:p>
    <w:p w:rsidR="00B37A78" w:rsidRPr="00B37A78" w:rsidRDefault="00B37A78" w:rsidP="00921E3B">
      <w:pPr>
        <w:jc w:val="both"/>
        <w:rPr>
          <w:sz w:val="22"/>
          <w:szCs w:val="22"/>
        </w:rPr>
      </w:pPr>
      <w:r w:rsidRPr="00B37A78">
        <w:rPr>
          <w:sz w:val="22"/>
          <w:szCs w:val="22"/>
        </w:rPr>
        <w:t>- l'action en garantie des vices cachés doit être intentée dans un délai de deux ans à compter de la découverte du vice (article 1648 du Code civil).</w:t>
      </w:r>
    </w:p>
    <w:p w:rsidR="00B37A78" w:rsidRPr="00B37A78" w:rsidRDefault="00B37A78" w:rsidP="00460B1E">
      <w:pPr>
        <w:jc w:val="both"/>
        <w:rPr>
          <w:sz w:val="22"/>
          <w:szCs w:val="22"/>
        </w:rPr>
      </w:pPr>
    </w:p>
    <w:p w:rsidR="00B37A78" w:rsidRPr="00B37A78" w:rsidRDefault="00B37A78" w:rsidP="00460B1E">
      <w:pPr>
        <w:jc w:val="both"/>
        <w:rPr>
          <w:sz w:val="22"/>
          <w:szCs w:val="22"/>
        </w:rPr>
      </w:pPr>
      <w:r w:rsidRPr="00E62249">
        <w:rPr>
          <w:sz w:val="22"/>
          <w:szCs w:val="22"/>
        </w:rPr>
        <w:t>En l'espèce, pour que l'action en garantie des vices cachés engagée par Florence ait des chances d'aboutir, il</w:t>
      </w:r>
      <w:r w:rsidRPr="00B37A78">
        <w:rPr>
          <w:sz w:val="22"/>
          <w:szCs w:val="22"/>
        </w:rPr>
        <w:t xml:space="preserve"> est nécessaire que les quatre conditions soient respectées :</w:t>
      </w:r>
    </w:p>
    <w:p w:rsidR="00B37A78" w:rsidRPr="00B37A78" w:rsidRDefault="00B37A78" w:rsidP="00921E3B">
      <w:pPr>
        <w:jc w:val="both"/>
        <w:rPr>
          <w:sz w:val="22"/>
          <w:szCs w:val="22"/>
        </w:rPr>
      </w:pPr>
      <w:r w:rsidRPr="00B37A78">
        <w:rPr>
          <w:sz w:val="22"/>
          <w:szCs w:val="22"/>
        </w:rPr>
        <w:t>- le dysfonctionnement de l'écran constitue bien un défaut qui ne permet plus à Florence une utilisation normale du bien ;</w:t>
      </w:r>
    </w:p>
    <w:p w:rsidR="00B37A78" w:rsidRPr="00B37A78" w:rsidRDefault="00B37A78" w:rsidP="00921E3B">
      <w:pPr>
        <w:jc w:val="both"/>
        <w:rPr>
          <w:sz w:val="22"/>
          <w:szCs w:val="22"/>
        </w:rPr>
      </w:pPr>
      <w:r w:rsidRPr="00B37A78">
        <w:rPr>
          <w:sz w:val="22"/>
          <w:szCs w:val="22"/>
        </w:rPr>
        <w:t>- le vice semble être antérieur à la vente : la panne serait liée à un défaut de fabrication ;</w:t>
      </w:r>
    </w:p>
    <w:p w:rsidR="00B37A78" w:rsidRPr="00B37A78" w:rsidRDefault="00B37A78" w:rsidP="00921E3B">
      <w:pPr>
        <w:jc w:val="both"/>
        <w:rPr>
          <w:sz w:val="22"/>
          <w:szCs w:val="22"/>
        </w:rPr>
      </w:pPr>
      <w:r w:rsidRPr="00B37A78">
        <w:rPr>
          <w:sz w:val="22"/>
          <w:szCs w:val="22"/>
        </w:rPr>
        <w:t>- Florence ne peut pas être considérée comme un acheteur professionnel expérimenté dans le domaine informatique, il lui était donc impossible de déceler le vice au moment de l'achat ;</w:t>
      </w:r>
    </w:p>
    <w:p w:rsidR="00B37A78" w:rsidRPr="00B37A78" w:rsidRDefault="00B37A78" w:rsidP="00921E3B">
      <w:pPr>
        <w:jc w:val="both"/>
        <w:rPr>
          <w:sz w:val="22"/>
          <w:szCs w:val="22"/>
        </w:rPr>
      </w:pPr>
      <w:r w:rsidRPr="00B37A78">
        <w:rPr>
          <w:sz w:val="22"/>
          <w:szCs w:val="22"/>
        </w:rPr>
        <w:t xml:space="preserve">- le défaut étant apparu le 10 février </w:t>
      </w:r>
      <w:smartTag w:uri="urn:schemas-microsoft-com:office:smarttags" w:element="metricconverter">
        <w:smartTagPr>
          <w:attr w:name="ProductID" w:val="2009, l"/>
        </w:smartTagPr>
        <w:r w:rsidRPr="00B37A78">
          <w:rPr>
            <w:sz w:val="22"/>
            <w:szCs w:val="22"/>
          </w:rPr>
          <w:t>2009, l</w:t>
        </w:r>
      </w:smartTag>
      <w:r w:rsidRPr="00B37A78">
        <w:rPr>
          <w:sz w:val="22"/>
          <w:szCs w:val="22"/>
        </w:rPr>
        <w:t>'action doit être intentée avant le 10 février 2011.</w:t>
      </w:r>
    </w:p>
    <w:p w:rsidR="00B37A78" w:rsidRPr="00B37A78" w:rsidRDefault="00B37A78" w:rsidP="00460B1E">
      <w:pPr>
        <w:jc w:val="both"/>
        <w:rPr>
          <w:b/>
          <w:bCs/>
          <w:sz w:val="22"/>
          <w:szCs w:val="22"/>
          <w:u w:val="single"/>
        </w:rPr>
      </w:pPr>
      <w:r w:rsidRPr="00B37A78">
        <w:rPr>
          <w:sz w:val="22"/>
          <w:szCs w:val="22"/>
        </w:rPr>
        <w:t>Toutes les conditions de l'action en garantie des vices cachés semblent réunies. Florence pourrait donc exercer une action en garantie des vices cachés.</w:t>
      </w:r>
    </w:p>
    <w:p w:rsidR="00B37A78" w:rsidRPr="00B37A78" w:rsidRDefault="00B37A78" w:rsidP="00460B1E">
      <w:pPr>
        <w:jc w:val="both"/>
        <w:rPr>
          <w:b/>
          <w:bCs/>
          <w:sz w:val="22"/>
          <w:szCs w:val="22"/>
          <w:u w:val="single"/>
        </w:rPr>
      </w:pPr>
    </w:p>
    <w:p w:rsidR="00B37A78" w:rsidRPr="00B37A78" w:rsidRDefault="00B37A78" w:rsidP="00460B1E">
      <w:pPr>
        <w:jc w:val="both"/>
        <w:rPr>
          <w:b/>
          <w:bCs/>
          <w:sz w:val="22"/>
          <w:szCs w:val="22"/>
          <w:u w:val="single"/>
        </w:rPr>
      </w:pPr>
      <w:r w:rsidRPr="00B37A78">
        <w:rPr>
          <w:b/>
          <w:bCs/>
          <w:sz w:val="22"/>
          <w:szCs w:val="22"/>
          <w:u w:val="single"/>
        </w:rPr>
        <w:t>Question 1.8</w:t>
      </w:r>
    </w:p>
    <w:p w:rsidR="00B37A78" w:rsidRPr="00B37A78" w:rsidRDefault="00B37A78" w:rsidP="00460B1E">
      <w:pPr>
        <w:jc w:val="both"/>
        <w:rPr>
          <w:sz w:val="22"/>
          <w:szCs w:val="22"/>
        </w:rPr>
      </w:pPr>
    </w:p>
    <w:p w:rsidR="00B37A78" w:rsidRPr="00B37A78" w:rsidRDefault="00B37A78" w:rsidP="00460B1E">
      <w:pPr>
        <w:jc w:val="both"/>
        <w:rPr>
          <w:b/>
          <w:bCs/>
          <w:sz w:val="22"/>
          <w:szCs w:val="22"/>
        </w:rPr>
      </w:pPr>
      <w:r w:rsidRPr="00B37A78">
        <w:rPr>
          <w:b/>
          <w:bCs/>
          <w:sz w:val="22"/>
          <w:szCs w:val="22"/>
          <w:u w:val="single"/>
        </w:rPr>
        <w:t>Quels sont les effets de l'action en garantie des vices cachés</w:t>
      </w:r>
      <w:r w:rsidRPr="00B37A78">
        <w:rPr>
          <w:b/>
          <w:bCs/>
          <w:sz w:val="22"/>
          <w:szCs w:val="22"/>
        </w:rPr>
        <w:t xml:space="preserve"> ?</w:t>
      </w:r>
    </w:p>
    <w:p w:rsidR="00B37A78" w:rsidRPr="00E62249" w:rsidRDefault="00B37A78" w:rsidP="00460B1E">
      <w:pPr>
        <w:jc w:val="both"/>
        <w:rPr>
          <w:sz w:val="10"/>
          <w:szCs w:val="10"/>
        </w:rPr>
      </w:pPr>
    </w:p>
    <w:p w:rsidR="00B37A78" w:rsidRPr="00B37A78" w:rsidRDefault="00B37A78" w:rsidP="00460B1E">
      <w:pPr>
        <w:jc w:val="both"/>
        <w:rPr>
          <w:sz w:val="22"/>
          <w:szCs w:val="22"/>
        </w:rPr>
      </w:pPr>
      <w:r w:rsidRPr="00B37A78">
        <w:rPr>
          <w:sz w:val="22"/>
          <w:szCs w:val="22"/>
        </w:rPr>
        <w:t xml:space="preserve">L'acheteur, qui agit en garantie des vices cachés contre son vendeur, dispose à son choix : </w:t>
      </w:r>
    </w:p>
    <w:p w:rsidR="00B37A78" w:rsidRPr="00B37A78" w:rsidRDefault="00B37A78" w:rsidP="00460B1E">
      <w:pPr>
        <w:numPr>
          <w:ilvl w:val="0"/>
          <w:numId w:val="11"/>
        </w:numPr>
        <w:jc w:val="both"/>
        <w:rPr>
          <w:sz w:val="22"/>
          <w:szCs w:val="22"/>
        </w:rPr>
      </w:pPr>
      <w:r w:rsidRPr="00B37A78">
        <w:rPr>
          <w:sz w:val="22"/>
          <w:szCs w:val="22"/>
        </w:rPr>
        <w:t>d'une action rédhibitoire, lui permettant d'obtenir la résolution de la vente ; l'acheteur rend la chose au vendeur et se fait restituer le prix ;</w:t>
      </w:r>
    </w:p>
    <w:p w:rsidR="00B37A78" w:rsidRPr="00B37A78" w:rsidRDefault="00B37A78" w:rsidP="00460B1E">
      <w:pPr>
        <w:numPr>
          <w:ilvl w:val="0"/>
          <w:numId w:val="11"/>
        </w:numPr>
        <w:jc w:val="both"/>
        <w:rPr>
          <w:sz w:val="22"/>
          <w:szCs w:val="22"/>
        </w:rPr>
      </w:pPr>
      <w:r w:rsidRPr="00B37A78">
        <w:rPr>
          <w:sz w:val="22"/>
          <w:szCs w:val="22"/>
        </w:rPr>
        <w:t>d'une action estimatoire : l'acheteur garde la chose et demande au vendeur la restitution d'une partie du prix.</w:t>
      </w:r>
    </w:p>
    <w:p w:rsidR="00B37A78" w:rsidRPr="00E62249" w:rsidRDefault="00B37A78" w:rsidP="00460B1E">
      <w:pPr>
        <w:jc w:val="both"/>
        <w:rPr>
          <w:sz w:val="10"/>
          <w:szCs w:val="10"/>
        </w:rPr>
      </w:pPr>
    </w:p>
    <w:p w:rsidR="00E62249" w:rsidRDefault="00B37A78" w:rsidP="00E62249">
      <w:pPr>
        <w:jc w:val="both"/>
        <w:rPr>
          <w:sz w:val="22"/>
          <w:szCs w:val="22"/>
        </w:rPr>
      </w:pPr>
      <w:r w:rsidRPr="00E62249">
        <w:rPr>
          <w:sz w:val="22"/>
          <w:szCs w:val="22"/>
        </w:rPr>
        <w:t>En l’espèce, Florence aura donc le choix entre :</w:t>
      </w:r>
    </w:p>
    <w:p w:rsidR="00B37A78" w:rsidRDefault="00E62249" w:rsidP="00E62249">
      <w:pPr>
        <w:jc w:val="both"/>
        <w:rPr>
          <w:sz w:val="22"/>
          <w:szCs w:val="22"/>
        </w:rPr>
      </w:pPr>
      <w:r>
        <w:rPr>
          <w:sz w:val="22"/>
          <w:szCs w:val="22"/>
        </w:rPr>
        <w:t xml:space="preserve">- </w:t>
      </w:r>
      <w:r w:rsidR="00B37A78" w:rsidRPr="00B37A78">
        <w:rPr>
          <w:sz w:val="22"/>
          <w:szCs w:val="22"/>
        </w:rPr>
        <w:t>une action rédhibitoire : elle devra rendre l'écran au vendeur et obtiendra restitution de son prix ;</w:t>
      </w:r>
    </w:p>
    <w:p w:rsidR="00B37A78" w:rsidRPr="00B37A78" w:rsidRDefault="00E62249" w:rsidP="00E62249">
      <w:pPr>
        <w:jc w:val="both"/>
        <w:rPr>
          <w:sz w:val="22"/>
          <w:szCs w:val="22"/>
        </w:rPr>
      </w:pPr>
      <w:r>
        <w:rPr>
          <w:sz w:val="22"/>
          <w:szCs w:val="22"/>
        </w:rPr>
        <w:t>- u</w:t>
      </w:r>
      <w:r w:rsidR="00B37A78" w:rsidRPr="00B37A78">
        <w:rPr>
          <w:sz w:val="22"/>
          <w:szCs w:val="22"/>
        </w:rPr>
        <w:t>ne action estimatoire lui permettant de conserver l'écran et d'obtenir une partie du prix.</w:t>
      </w:r>
    </w:p>
    <w:p w:rsidR="00B37A78" w:rsidRDefault="00B37A78" w:rsidP="00460B1E">
      <w:pPr>
        <w:jc w:val="both"/>
        <w:rPr>
          <w:sz w:val="22"/>
          <w:szCs w:val="22"/>
        </w:rPr>
      </w:pPr>
      <w:r w:rsidRPr="00B37A78">
        <w:rPr>
          <w:sz w:val="22"/>
          <w:szCs w:val="22"/>
        </w:rPr>
        <w:t>Le remplacement de l'écran n'est donc pas envisageable en l'espèce. On peut conseiller à Florence d'engager, de préférence, une action rédhibitoire et de demander éventuellement des dommages et intérêts à condition de démontrer l'existence d'un préjudice.</w:t>
      </w:r>
    </w:p>
    <w:p w:rsidR="00E62249" w:rsidRPr="00E62249" w:rsidRDefault="00E62249" w:rsidP="00460B1E">
      <w:pPr>
        <w:jc w:val="both"/>
        <w:rPr>
          <w:sz w:val="10"/>
          <w:szCs w:val="10"/>
        </w:rPr>
      </w:pPr>
      <w:r>
        <w:rPr>
          <w:sz w:val="22"/>
          <w:szCs w:val="22"/>
        </w:rPr>
        <w:br w:type="page"/>
      </w:r>
    </w:p>
    <w:p w:rsidR="00E62249" w:rsidRDefault="00E62249" w:rsidP="00E62249">
      <w:pPr>
        <w:widowControl/>
        <w:pBdr>
          <w:top w:val="single" w:sz="4" w:space="1" w:color="auto"/>
          <w:left w:val="single" w:sz="4" w:space="4" w:color="auto"/>
          <w:bottom w:val="single" w:sz="4" w:space="1" w:color="auto"/>
          <w:right w:val="single" w:sz="4" w:space="4" w:color="auto"/>
        </w:pBdr>
        <w:shd w:val="clear" w:color="auto" w:fill="E0E0E0"/>
        <w:suppressAutoHyphens w:val="0"/>
        <w:ind w:right="85"/>
        <w:jc w:val="center"/>
        <w:rPr>
          <w:sz w:val="22"/>
          <w:szCs w:val="22"/>
        </w:rPr>
      </w:pPr>
    </w:p>
    <w:p w:rsidR="00B37A78" w:rsidRDefault="00B37A78" w:rsidP="00E62249">
      <w:pPr>
        <w:widowControl/>
        <w:pBdr>
          <w:top w:val="single" w:sz="4" w:space="1" w:color="auto"/>
          <w:left w:val="single" w:sz="4" w:space="4" w:color="auto"/>
          <w:bottom w:val="single" w:sz="4" w:space="1" w:color="auto"/>
          <w:right w:val="single" w:sz="4" w:space="4" w:color="auto"/>
        </w:pBdr>
        <w:shd w:val="clear" w:color="auto" w:fill="E0E0E0"/>
        <w:suppressAutoHyphens w:val="0"/>
        <w:ind w:right="85"/>
        <w:jc w:val="center"/>
        <w:rPr>
          <w:rFonts w:eastAsia="Times New Roman"/>
          <w:b/>
          <w:bCs/>
          <w:kern w:val="0"/>
          <w:sz w:val="22"/>
          <w:szCs w:val="22"/>
          <w:lang w:eastAsia="fr-FR"/>
        </w:rPr>
      </w:pPr>
      <w:r w:rsidRPr="00E62249">
        <w:rPr>
          <w:rFonts w:eastAsia="Times New Roman"/>
          <w:b/>
          <w:bCs/>
          <w:kern w:val="0"/>
          <w:sz w:val="22"/>
          <w:szCs w:val="22"/>
          <w:lang w:eastAsia="fr-FR"/>
        </w:rPr>
        <w:t>DOSSIER 2 : COMMENTAIRE DE DOCUMENT</w:t>
      </w:r>
    </w:p>
    <w:p w:rsidR="00E62249" w:rsidRPr="00E62249" w:rsidRDefault="00E62249" w:rsidP="00E62249">
      <w:pPr>
        <w:widowControl/>
        <w:pBdr>
          <w:top w:val="single" w:sz="4" w:space="1" w:color="auto"/>
          <w:left w:val="single" w:sz="4" w:space="4" w:color="auto"/>
          <w:bottom w:val="single" w:sz="4" w:space="1" w:color="auto"/>
          <w:right w:val="single" w:sz="4" w:space="4" w:color="auto"/>
        </w:pBdr>
        <w:shd w:val="clear" w:color="auto" w:fill="E0E0E0"/>
        <w:suppressAutoHyphens w:val="0"/>
        <w:ind w:right="85"/>
        <w:jc w:val="center"/>
        <w:rPr>
          <w:rFonts w:eastAsia="Times New Roman"/>
          <w:b/>
          <w:bCs/>
          <w:kern w:val="0"/>
          <w:sz w:val="22"/>
          <w:szCs w:val="22"/>
          <w:lang w:eastAsia="fr-FR"/>
        </w:rPr>
      </w:pPr>
    </w:p>
    <w:p w:rsidR="00B37A78" w:rsidRPr="00B37A78" w:rsidRDefault="00B37A78" w:rsidP="00460B1E">
      <w:pPr>
        <w:jc w:val="both"/>
        <w:rPr>
          <w:b/>
          <w:bCs/>
          <w:sz w:val="22"/>
          <w:szCs w:val="22"/>
          <w:u w:val="single"/>
        </w:rPr>
      </w:pPr>
    </w:p>
    <w:p w:rsidR="00B37A78" w:rsidRPr="00E62249" w:rsidRDefault="00B37A78" w:rsidP="00E62249">
      <w:pPr>
        <w:jc w:val="both"/>
        <w:rPr>
          <w:b/>
          <w:sz w:val="22"/>
          <w:szCs w:val="22"/>
        </w:rPr>
      </w:pPr>
      <w:r w:rsidRPr="00E62249">
        <w:rPr>
          <w:b/>
          <w:sz w:val="22"/>
          <w:szCs w:val="22"/>
        </w:rPr>
        <w:t>2.1 Les faits</w:t>
      </w:r>
    </w:p>
    <w:p w:rsidR="00B37A78" w:rsidRPr="00B37A78" w:rsidRDefault="00B37A78" w:rsidP="00460B1E">
      <w:pPr>
        <w:jc w:val="both"/>
        <w:rPr>
          <w:sz w:val="22"/>
          <w:szCs w:val="22"/>
        </w:rPr>
      </w:pPr>
    </w:p>
    <w:p w:rsidR="00B37A78" w:rsidRPr="00B37A78" w:rsidRDefault="00B37A78" w:rsidP="00460B1E">
      <w:pPr>
        <w:jc w:val="both"/>
        <w:rPr>
          <w:sz w:val="22"/>
          <w:szCs w:val="22"/>
        </w:rPr>
      </w:pPr>
      <w:r w:rsidRPr="00B37A78">
        <w:rPr>
          <w:sz w:val="22"/>
          <w:szCs w:val="22"/>
        </w:rPr>
        <w:t>Mme X a conclu deux contrats de prêt auprès du Crédit Lyonnais. Le remboursement des prêts est garanti par le cautionnement de M. Y. Lors de la conclusion des contrats, Mme X est assistée de M. Y, consultant financier. Mme X, estimant que les prêts excèdent ses facultés contributives, demande réparation au Crédit Lyonnais.</w:t>
      </w:r>
    </w:p>
    <w:p w:rsidR="00B37A78" w:rsidRPr="00B37A78" w:rsidRDefault="00B37A78" w:rsidP="00460B1E">
      <w:pPr>
        <w:jc w:val="both"/>
        <w:rPr>
          <w:sz w:val="22"/>
          <w:szCs w:val="22"/>
        </w:rPr>
      </w:pPr>
    </w:p>
    <w:p w:rsidR="00B37A78" w:rsidRPr="00E62249" w:rsidRDefault="00B37A78" w:rsidP="00E62249">
      <w:pPr>
        <w:jc w:val="both"/>
        <w:rPr>
          <w:b/>
          <w:sz w:val="22"/>
          <w:szCs w:val="22"/>
        </w:rPr>
      </w:pPr>
      <w:r w:rsidRPr="00E62249">
        <w:rPr>
          <w:b/>
          <w:sz w:val="22"/>
          <w:szCs w:val="22"/>
        </w:rPr>
        <w:t>2.2 La procédure</w:t>
      </w:r>
    </w:p>
    <w:p w:rsidR="00B37A78" w:rsidRPr="00B37A78" w:rsidRDefault="00B37A78" w:rsidP="00460B1E">
      <w:pPr>
        <w:jc w:val="both"/>
        <w:rPr>
          <w:sz w:val="22"/>
          <w:szCs w:val="22"/>
        </w:rPr>
      </w:pPr>
    </w:p>
    <w:p w:rsidR="00B37A78" w:rsidRPr="00B37A78" w:rsidRDefault="00B37A78" w:rsidP="00460B1E">
      <w:pPr>
        <w:numPr>
          <w:ilvl w:val="0"/>
          <w:numId w:val="15"/>
        </w:numPr>
        <w:jc w:val="both"/>
        <w:rPr>
          <w:sz w:val="22"/>
          <w:szCs w:val="22"/>
        </w:rPr>
      </w:pPr>
      <w:r w:rsidRPr="00B37A78">
        <w:rPr>
          <w:sz w:val="22"/>
          <w:szCs w:val="22"/>
        </w:rPr>
        <w:t xml:space="preserve">Juridiction du premier degré : Juridiction civile </w:t>
      </w:r>
    </w:p>
    <w:p w:rsidR="00B37A78" w:rsidRPr="00B37A78" w:rsidRDefault="00B37A78" w:rsidP="00460B1E">
      <w:pPr>
        <w:numPr>
          <w:ilvl w:val="0"/>
          <w:numId w:val="16"/>
        </w:numPr>
        <w:jc w:val="both"/>
        <w:rPr>
          <w:sz w:val="22"/>
          <w:szCs w:val="22"/>
        </w:rPr>
      </w:pPr>
      <w:r w:rsidRPr="00B37A78">
        <w:rPr>
          <w:sz w:val="22"/>
          <w:szCs w:val="22"/>
        </w:rPr>
        <w:t>demanderesse : Mme Y</w:t>
      </w:r>
    </w:p>
    <w:p w:rsidR="00B37A78" w:rsidRPr="00B37A78" w:rsidRDefault="00B37A78" w:rsidP="00460B1E">
      <w:pPr>
        <w:numPr>
          <w:ilvl w:val="0"/>
          <w:numId w:val="16"/>
        </w:numPr>
        <w:jc w:val="both"/>
        <w:rPr>
          <w:sz w:val="22"/>
          <w:szCs w:val="22"/>
        </w:rPr>
      </w:pPr>
      <w:r w:rsidRPr="00B37A78">
        <w:rPr>
          <w:sz w:val="22"/>
          <w:szCs w:val="22"/>
        </w:rPr>
        <w:t>défendeur : Crédit Lyonnais</w:t>
      </w:r>
    </w:p>
    <w:p w:rsidR="00B37A78" w:rsidRPr="00B37A78" w:rsidRDefault="00B37A78" w:rsidP="00460B1E">
      <w:pPr>
        <w:jc w:val="both"/>
        <w:rPr>
          <w:sz w:val="22"/>
          <w:szCs w:val="22"/>
        </w:rPr>
      </w:pPr>
    </w:p>
    <w:p w:rsidR="00B37A78" w:rsidRPr="00B37A78" w:rsidRDefault="00B37A78" w:rsidP="00460B1E">
      <w:pPr>
        <w:numPr>
          <w:ilvl w:val="0"/>
          <w:numId w:val="17"/>
        </w:numPr>
        <w:jc w:val="both"/>
        <w:rPr>
          <w:sz w:val="22"/>
          <w:szCs w:val="22"/>
        </w:rPr>
      </w:pPr>
      <w:r w:rsidRPr="00B37A78">
        <w:rPr>
          <w:sz w:val="22"/>
          <w:szCs w:val="22"/>
        </w:rPr>
        <w:t>Juridiction du 2e degré : cour d'appel de Versailles le 7 juin 2007</w:t>
      </w:r>
    </w:p>
    <w:p w:rsidR="00B37A78" w:rsidRPr="00B37A78" w:rsidRDefault="00B37A78" w:rsidP="00845F02">
      <w:pPr>
        <w:numPr>
          <w:ilvl w:val="0"/>
          <w:numId w:val="16"/>
        </w:numPr>
        <w:jc w:val="both"/>
        <w:rPr>
          <w:sz w:val="22"/>
          <w:szCs w:val="22"/>
        </w:rPr>
      </w:pPr>
      <w:r w:rsidRPr="00B37A78">
        <w:rPr>
          <w:sz w:val="22"/>
          <w:szCs w:val="22"/>
        </w:rPr>
        <w:t>appelant : Mme Y</w:t>
      </w:r>
    </w:p>
    <w:p w:rsidR="00B37A78" w:rsidRPr="00B37A78" w:rsidRDefault="00B37A78" w:rsidP="00845F02">
      <w:pPr>
        <w:numPr>
          <w:ilvl w:val="0"/>
          <w:numId w:val="16"/>
        </w:numPr>
        <w:jc w:val="both"/>
        <w:rPr>
          <w:sz w:val="22"/>
          <w:szCs w:val="22"/>
        </w:rPr>
      </w:pPr>
      <w:r w:rsidRPr="00B37A78">
        <w:rPr>
          <w:sz w:val="22"/>
          <w:szCs w:val="22"/>
        </w:rPr>
        <w:t>intimé : Crédit Lyonnais</w:t>
      </w:r>
    </w:p>
    <w:p w:rsidR="00B37A78" w:rsidRPr="00B37A78" w:rsidRDefault="00B37A78" w:rsidP="00460B1E">
      <w:pPr>
        <w:numPr>
          <w:ilvl w:val="0"/>
          <w:numId w:val="18"/>
        </w:numPr>
        <w:jc w:val="both"/>
        <w:rPr>
          <w:sz w:val="22"/>
          <w:szCs w:val="22"/>
        </w:rPr>
      </w:pPr>
      <w:r w:rsidRPr="00B37A78">
        <w:rPr>
          <w:sz w:val="22"/>
          <w:szCs w:val="22"/>
        </w:rPr>
        <w:t xml:space="preserve">décision rendue : </w:t>
      </w:r>
      <w:smartTag w:uri="urn:schemas-microsoft-com:office:smarttags" w:element="PersonName">
        <w:smartTagPr>
          <w:attr w:name="ProductID" w:val="la Cour"/>
        </w:smartTagPr>
        <w:r w:rsidRPr="00B37A78">
          <w:rPr>
            <w:sz w:val="22"/>
            <w:szCs w:val="22"/>
          </w:rPr>
          <w:t>la Cour</w:t>
        </w:r>
      </w:smartTag>
      <w:r w:rsidRPr="00B37A78">
        <w:rPr>
          <w:sz w:val="22"/>
          <w:szCs w:val="22"/>
        </w:rPr>
        <w:t xml:space="preserve"> d'appel déboute Mme Y de son action en responsabilité</w:t>
      </w:r>
    </w:p>
    <w:p w:rsidR="00B37A78" w:rsidRPr="00B37A78" w:rsidRDefault="00B37A78" w:rsidP="00460B1E">
      <w:pPr>
        <w:jc w:val="both"/>
        <w:rPr>
          <w:sz w:val="22"/>
          <w:szCs w:val="22"/>
        </w:rPr>
      </w:pPr>
    </w:p>
    <w:p w:rsidR="00B37A78" w:rsidRPr="00B37A78" w:rsidRDefault="00B37A78" w:rsidP="00460B1E">
      <w:pPr>
        <w:numPr>
          <w:ilvl w:val="0"/>
          <w:numId w:val="19"/>
        </w:numPr>
        <w:jc w:val="both"/>
        <w:rPr>
          <w:sz w:val="22"/>
          <w:szCs w:val="22"/>
        </w:rPr>
      </w:pPr>
      <w:r w:rsidRPr="00B37A78">
        <w:rPr>
          <w:sz w:val="22"/>
          <w:szCs w:val="22"/>
        </w:rPr>
        <w:t>Cour de cassation le 30 avril 2009</w:t>
      </w:r>
    </w:p>
    <w:p w:rsidR="00B37A78" w:rsidRPr="00B37A78" w:rsidRDefault="00B37A78" w:rsidP="00460B1E">
      <w:pPr>
        <w:numPr>
          <w:ilvl w:val="0"/>
          <w:numId w:val="20"/>
        </w:numPr>
        <w:jc w:val="both"/>
        <w:rPr>
          <w:sz w:val="22"/>
          <w:szCs w:val="22"/>
        </w:rPr>
      </w:pPr>
      <w:r w:rsidRPr="00B37A78">
        <w:rPr>
          <w:sz w:val="22"/>
          <w:szCs w:val="22"/>
        </w:rPr>
        <w:t>demandeur au pourvoi : Mme Y</w:t>
      </w:r>
    </w:p>
    <w:p w:rsidR="00B37A78" w:rsidRPr="00B37A78" w:rsidRDefault="00B37A78" w:rsidP="00460B1E">
      <w:pPr>
        <w:numPr>
          <w:ilvl w:val="0"/>
          <w:numId w:val="20"/>
        </w:numPr>
        <w:jc w:val="both"/>
        <w:rPr>
          <w:sz w:val="22"/>
          <w:szCs w:val="22"/>
        </w:rPr>
      </w:pPr>
      <w:r w:rsidRPr="00B37A78">
        <w:rPr>
          <w:sz w:val="22"/>
          <w:szCs w:val="22"/>
        </w:rPr>
        <w:t xml:space="preserve">décision : </w:t>
      </w:r>
      <w:smartTag w:uri="urn:schemas-microsoft-com:office:smarttags" w:element="PersonName">
        <w:smartTagPr>
          <w:attr w:name="ProductID" w:val="la Cour"/>
        </w:smartTagPr>
        <w:r w:rsidRPr="00B37A78">
          <w:rPr>
            <w:sz w:val="22"/>
            <w:szCs w:val="22"/>
          </w:rPr>
          <w:t>la Cour</w:t>
        </w:r>
      </w:smartTag>
      <w:r w:rsidRPr="00B37A78">
        <w:rPr>
          <w:sz w:val="22"/>
          <w:szCs w:val="22"/>
        </w:rPr>
        <w:t xml:space="preserve"> de cassation casse et annule l'arrêt rendu par la cour d'appel de Versailles et renvoie les partie devant la cour d'appel de Versailles autrement composée</w:t>
      </w:r>
    </w:p>
    <w:p w:rsidR="00B37A78" w:rsidRPr="00B37A78" w:rsidRDefault="00B37A78" w:rsidP="00460B1E">
      <w:pPr>
        <w:jc w:val="both"/>
        <w:rPr>
          <w:i/>
          <w:iCs/>
          <w:sz w:val="22"/>
          <w:szCs w:val="22"/>
        </w:rPr>
      </w:pPr>
    </w:p>
    <w:p w:rsidR="00B37A78" w:rsidRPr="00E62249" w:rsidRDefault="00B37A78" w:rsidP="00E62249">
      <w:pPr>
        <w:jc w:val="both"/>
        <w:rPr>
          <w:b/>
          <w:sz w:val="22"/>
          <w:szCs w:val="22"/>
        </w:rPr>
      </w:pPr>
      <w:r w:rsidRPr="00E62249">
        <w:rPr>
          <w:b/>
          <w:sz w:val="22"/>
          <w:szCs w:val="22"/>
        </w:rPr>
        <w:t>2.3 Le problème juridique</w:t>
      </w:r>
    </w:p>
    <w:p w:rsidR="00B37A78" w:rsidRPr="00B37A78" w:rsidRDefault="00B37A78" w:rsidP="00460B1E">
      <w:pPr>
        <w:jc w:val="both"/>
        <w:rPr>
          <w:sz w:val="22"/>
          <w:szCs w:val="22"/>
        </w:rPr>
      </w:pPr>
    </w:p>
    <w:p w:rsidR="00B37A78" w:rsidRPr="00B37A78" w:rsidRDefault="00B37A78" w:rsidP="00460B1E">
      <w:pPr>
        <w:jc w:val="both"/>
        <w:rPr>
          <w:sz w:val="22"/>
          <w:szCs w:val="22"/>
        </w:rPr>
      </w:pPr>
      <w:r w:rsidRPr="00B37A78">
        <w:rPr>
          <w:sz w:val="22"/>
          <w:szCs w:val="22"/>
        </w:rPr>
        <w:t>La banque est-elle tenue d'un devoir de mise en garde de l'emprunteur lorsque ce dernier est accompagné d'une personne avertie ?</w:t>
      </w:r>
    </w:p>
    <w:p w:rsidR="00B37A78" w:rsidRPr="00B37A78" w:rsidRDefault="00B37A78" w:rsidP="00460B1E">
      <w:pPr>
        <w:jc w:val="both"/>
        <w:rPr>
          <w:sz w:val="22"/>
          <w:szCs w:val="22"/>
        </w:rPr>
      </w:pPr>
    </w:p>
    <w:p w:rsidR="00B37A78" w:rsidRPr="00E62249" w:rsidRDefault="00B37A78" w:rsidP="00E62249">
      <w:pPr>
        <w:jc w:val="both"/>
        <w:rPr>
          <w:b/>
          <w:sz w:val="22"/>
          <w:szCs w:val="22"/>
        </w:rPr>
      </w:pPr>
      <w:r w:rsidRPr="00E62249">
        <w:rPr>
          <w:b/>
          <w:sz w:val="22"/>
          <w:szCs w:val="22"/>
        </w:rPr>
        <w:t xml:space="preserve">2.4 La solution adoptée par </w:t>
      </w:r>
      <w:smartTag w:uri="urn:schemas-microsoft-com:office:smarttags" w:element="PersonName">
        <w:smartTagPr>
          <w:attr w:name="ProductID" w:val="la Cour"/>
        </w:smartTagPr>
        <w:r w:rsidRPr="00E62249">
          <w:rPr>
            <w:b/>
            <w:sz w:val="22"/>
            <w:szCs w:val="22"/>
          </w:rPr>
          <w:t>la Cour</w:t>
        </w:r>
      </w:smartTag>
      <w:r w:rsidRPr="00E62249">
        <w:rPr>
          <w:b/>
          <w:sz w:val="22"/>
          <w:szCs w:val="22"/>
        </w:rPr>
        <w:t xml:space="preserve"> d'appel</w:t>
      </w:r>
    </w:p>
    <w:p w:rsidR="00B37A78" w:rsidRPr="00B37A78" w:rsidRDefault="00B37A78" w:rsidP="00460B1E">
      <w:pPr>
        <w:jc w:val="both"/>
        <w:rPr>
          <w:sz w:val="22"/>
          <w:szCs w:val="22"/>
        </w:rPr>
      </w:pPr>
    </w:p>
    <w:p w:rsidR="00B37A78" w:rsidRPr="00B37A78" w:rsidRDefault="00B37A78" w:rsidP="00460B1E">
      <w:pPr>
        <w:jc w:val="both"/>
        <w:rPr>
          <w:sz w:val="22"/>
          <w:szCs w:val="22"/>
        </w:rPr>
      </w:pPr>
      <w:smartTag w:uri="urn:schemas-microsoft-com:office:smarttags" w:element="PersonName">
        <w:smartTagPr>
          <w:attr w:name="ProductID" w:val="la Cour"/>
        </w:smartTagPr>
        <w:r w:rsidRPr="00B37A78">
          <w:rPr>
            <w:sz w:val="22"/>
            <w:szCs w:val="22"/>
          </w:rPr>
          <w:t>La Cour</w:t>
        </w:r>
      </w:smartTag>
      <w:r w:rsidRPr="00B37A78">
        <w:rPr>
          <w:sz w:val="22"/>
          <w:szCs w:val="22"/>
        </w:rPr>
        <w:t xml:space="preserve"> d'appel déboute Mme X de son action en responsabilité. </w:t>
      </w:r>
    </w:p>
    <w:p w:rsidR="00B37A78" w:rsidRPr="00B37A78" w:rsidRDefault="00B37A78" w:rsidP="00460B1E">
      <w:pPr>
        <w:jc w:val="both"/>
        <w:rPr>
          <w:sz w:val="22"/>
          <w:szCs w:val="22"/>
        </w:rPr>
      </w:pPr>
      <w:r w:rsidRPr="00B37A78">
        <w:rPr>
          <w:sz w:val="22"/>
          <w:szCs w:val="22"/>
        </w:rPr>
        <w:t>Mme X ne pouvait être considérée par la banque comme emprunteuse profane (ou non avertie) car elle était assistée, lors de la conclusion du contrat, d'une personne avertie, à savoir M. Y, consultant financier. Ce dernier pouvait informer Mme X des risques liés à son endettement. Le Crédit Lyonnais n'était donc pas tenu à une obligation de mise en garde.</w:t>
      </w:r>
    </w:p>
    <w:p w:rsidR="00B37A78" w:rsidRPr="00B37A78" w:rsidRDefault="00B37A78" w:rsidP="00460B1E">
      <w:pPr>
        <w:jc w:val="both"/>
        <w:rPr>
          <w:sz w:val="22"/>
          <w:szCs w:val="22"/>
        </w:rPr>
      </w:pPr>
    </w:p>
    <w:p w:rsidR="00B37A78" w:rsidRPr="00E62249" w:rsidRDefault="00B37A78" w:rsidP="00E62249">
      <w:pPr>
        <w:jc w:val="both"/>
        <w:rPr>
          <w:b/>
          <w:sz w:val="22"/>
          <w:szCs w:val="22"/>
        </w:rPr>
      </w:pPr>
      <w:r w:rsidRPr="00E62249">
        <w:rPr>
          <w:b/>
          <w:sz w:val="22"/>
          <w:szCs w:val="22"/>
        </w:rPr>
        <w:t xml:space="preserve">2.5 La solution retenue par </w:t>
      </w:r>
      <w:smartTag w:uri="urn:schemas-microsoft-com:office:smarttags" w:element="PersonName">
        <w:smartTagPr>
          <w:attr w:name="ProductID" w:val="la Cour"/>
        </w:smartTagPr>
        <w:r w:rsidRPr="00E62249">
          <w:rPr>
            <w:b/>
            <w:sz w:val="22"/>
            <w:szCs w:val="22"/>
          </w:rPr>
          <w:t>la Cour</w:t>
        </w:r>
      </w:smartTag>
      <w:r w:rsidRPr="00E62249">
        <w:rPr>
          <w:b/>
          <w:sz w:val="22"/>
          <w:szCs w:val="22"/>
        </w:rPr>
        <w:t xml:space="preserve"> de cassation</w:t>
      </w:r>
    </w:p>
    <w:p w:rsidR="00B37A78" w:rsidRPr="00B37A78" w:rsidRDefault="00B37A78" w:rsidP="00460B1E">
      <w:pPr>
        <w:jc w:val="both"/>
        <w:rPr>
          <w:sz w:val="22"/>
          <w:szCs w:val="22"/>
        </w:rPr>
      </w:pPr>
    </w:p>
    <w:p w:rsidR="00B37A78" w:rsidRPr="00B37A78" w:rsidRDefault="00B37A78" w:rsidP="00460B1E">
      <w:pPr>
        <w:jc w:val="both"/>
        <w:rPr>
          <w:sz w:val="22"/>
          <w:szCs w:val="22"/>
        </w:rPr>
      </w:pPr>
      <w:smartTag w:uri="urn:schemas-microsoft-com:office:smarttags" w:element="PersonName">
        <w:smartTagPr>
          <w:attr w:name="ProductID" w:val="la Cour"/>
        </w:smartTagPr>
        <w:r w:rsidRPr="00B37A78">
          <w:rPr>
            <w:sz w:val="22"/>
            <w:szCs w:val="22"/>
          </w:rPr>
          <w:t>La Cour</w:t>
        </w:r>
      </w:smartTag>
      <w:r w:rsidRPr="00B37A78">
        <w:rPr>
          <w:sz w:val="22"/>
          <w:szCs w:val="22"/>
        </w:rPr>
        <w:t xml:space="preserve"> de cassation casse l'arrêt rendu par la cour d'appel de Versailles. Elle considère que les juges du fond ont fait une mauvaise application de l'article 1147 du Code civil.</w:t>
      </w:r>
    </w:p>
    <w:p w:rsidR="00B37A78" w:rsidRPr="00B37A78" w:rsidRDefault="00B37A78" w:rsidP="00460B1E">
      <w:pPr>
        <w:jc w:val="both"/>
        <w:rPr>
          <w:sz w:val="22"/>
          <w:szCs w:val="22"/>
        </w:rPr>
      </w:pPr>
      <w:r w:rsidRPr="00B37A78">
        <w:rPr>
          <w:sz w:val="22"/>
          <w:szCs w:val="22"/>
        </w:rPr>
        <w:t>Une banque qui octroie un prêt doit toujours mettre en garde l'emprunteur non averti (ou profane) contre les risques de l'endettement et en raison de ses capacités financières, peu importe que l'emprunteur soit ou non accompagné d'une personne avertie.</w:t>
      </w:r>
    </w:p>
    <w:p w:rsidR="00B37A78" w:rsidRPr="00B37A78" w:rsidRDefault="00B37A78" w:rsidP="00460B1E">
      <w:pPr>
        <w:jc w:val="both"/>
        <w:rPr>
          <w:sz w:val="22"/>
          <w:szCs w:val="22"/>
        </w:rPr>
      </w:pPr>
    </w:p>
    <w:p w:rsidR="00B37A78" w:rsidRPr="00E62249" w:rsidRDefault="00B37A78" w:rsidP="00E62249">
      <w:pPr>
        <w:jc w:val="both"/>
        <w:rPr>
          <w:b/>
          <w:sz w:val="22"/>
          <w:szCs w:val="22"/>
        </w:rPr>
      </w:pPr>
      <w:r w:rsidRPr="00E62249">
        <w:rPr>
          <w:b/>
          <w:sz w:val="22"/>
          <w:szCs w:val="22"/>
        </w:rPr>
        <w:t>2.6 La nécessité de protéger l'emprunteur</w:t>
      </w:r>
    </w:p>
    <w:p w:rsidR="00B37A78" w:rsidRPr="00B37A78" w:rsidRDefault="00B37A78" w:rsidP="00460B1E">
      <w:pPr>
        <w:ind w:left="360"/>
        <w:jc w:val="both"/>
        <w:rPr>
          <w:sz w:val="22"/>
          <w:szCs w:val="22"/>
        </w:rPr>
      </w:pPr>
    </w:p>
    <w:p w:rsidR="00B37A78" w:rsidRPr="00B37A78" w:rsidRDefault="00B37A78" w:rsidP="00460B1E">
      <w:pPr>
        <w:jc w:val="both"/>
        <w:rPr>
          <w:sz w:val="22"/>
          <w:szCs w:val="22"/>
        </w:rPr>
      </w:pPr>
      <w:r w:rsidRPr="00B37A78">
        <w:rPr>
          <w:sz w:val="22"/>
          <w:szCs w:val="22"/>
        </w:rPr>
        <w:t xml:space="preserve">La protection de l'emprunteur s'avère nécessaire dans la mesure où il se trouve dans une position de déséquilibre (partie faible) face à un professionnel. </w:t>
      </w:r>
    </w:p>
    <w:p w:rsidR="00B37A78" w:rsidRPr="00B37A78" w:rsidRDefault="00B37A78" w:rsidP="00460B1E">
      <w:pPr>
        <w:jc w:val="both"/>
        <w:rPr>
          <w:sz w:val="22"/>
          <w:szCs w:val="22"/>
        </w:rPr>
      </w:pPr>
      <w:r w:rsidRPr="00B37A78">
        <w:rPr>
          <w:sz w:val="22"/>
          <w:szCs w:val="22"/>
        </w:rPr>
        <w:t>L'emprunteur a besoin de comprendre les conditions de son engagement car la conclusion d'un contrat de prêt présente un réel danger, notamment celui du surendettement si sa capacité de remboursement est insuffisante.</w:t>
      </w:r>
    </w:p>
    <w:p w:rsidR="00B37A78" w:rsidRPr="00B37A78" w:rsidRDefault="00B37A78" w:rsidP="00460B1E">
      <w:pPr>
        <w:jc w:val="both"/>
        <w:rPr>
          <w:sz w:val="22"/>
          <w:szCs w:val="22"/>
        </w:rPr>
      </w:pPr>
    </w:p>
    <w:p w:rsidR="00E62249" w:rsidRPr="00E62249" w:rsidRDefault="00E62249" w:rsidP="00E62249">
      <w:pPr>
        <w:jc w:val="both"/>
        <w:rPr>
          <w:b/>
          <w:sz w:val="10"/>
          <w:szCs w:val="10"/>
        </w:rPr>
      </w:pPr>
      <w:r>
        <w:rPr>
          <w:b/>
          <w:bCs/>
          <w:sz w:val="22"/>
          <w:szCs w:val="22"/>
          <w:u w:val="single"/>
        </w:rPr>
        <w:br w:type="page"/>
      </w:r>
    </w:p>
    <w:p w:rsidR="00E62249" w:rsidRDefault="00E62249" w:rsidP="00E62249">
      <w:pPr>
        <w:widowControl/>
        <w:pBdr>
          <w:top w:val="single" w:sz="4" w:space="1" w:color="auto"/>
          <w:left w:val="single" w:sz="4" w:space="4" w:color="auto"/>
          <w:bottom w:val="single" w:sz="4" w:space="1" w:color="auto"/>
          <w:right w:val="single" w:sz="4" w:space="4" w:color="auto"/>
        </w:pBdr>
        <w:shd w:val="clear" w:color="auto" w:fill="E0E0E0"/>
        <w:suppressAutoHyphens w:val="0"/>
        <w:ind w:right="85"/>
        <w:jc w:val="center"/>
        <w:rPr>
          <w:b/>
          <w:sz w:val="22"/>
          <w:szCs w:val="22"/>
        </w:rPr>
      </w:pPr>
    </w:p>
    <w:p w:rsidR="00B37A78" w:rsidRDefault="00B37A78" w:rsidP="00E62249">
      <w:pPr>
        <w:widowControl/>
        <w:pBdr>
          <w:top w:val="single" w:sz="4" w:space="1" w:color="auto"/>
          <w:left w:val="single" w:sz="4" w:space="4" w:color="auto"/>
          <w:bottom w:val="single" w:sz="4" w:space="1" w:color="auto"/>
          <w:right w:val="single" w:sz="4" w:space="4" w:color="auto"/>
        </w:pBdr>
        <w:shd w:val="clear" w:color="auto" w:fill="E0E0E0"/>
        <w:suppressAutoHyphens w:val="0"/>
        <w:ind w:right="85"/>
        <w:jc w:val="center"/>
        <w:rPr>
          <w:b/>
          <w:sz w:val="22"/>
          <w:szCs w:val="22"/>
        </w:rPr>
      </w:pPr>
      <w:r w:rsidRPr="00E62249">
        <w:rPr>
          <w:b/>
          <w:sz w:val="22"/>
          <w:szCs w:val="22"/>
        </w:rPr>
        <w:t>DOSSIER 3 : QUESTION</w:t>
      </w:r>
    </w:p>
    <w:p w:rsidR="00E62249" w:rsidRPr="00E62249" w:rsidRDefault="00E62249" w:rsidP="00E62249">
      <w:pPr>
        <w:widowControl/>
        <w:pBdr>
          <w:top w:val="single" w:sz="4" w:space="1" w:color="auto"/>
          <w:left w:val="single" w:sz="4" w:space="4" w:color="auto"/>
          <w:bottom w:val="single" w:sz="4" w:space="1" w:color="auto"/>
          <w:right w:val="single" w:sz="4" w:space="4" w:color="auto"/>
        </w:pBdr>
        <w:shd w:val="clear" w:color="auto" w:fill="E0E0E0"/>
        <w:suppressAutoHyphens w:val="0"/>
        <w:ind w:right="85"/>
        <w:jc w:val="center"/>
        <w:rPr>
          <w:b/>
          <w:sz w:val="22"/>
          <w:szCs w:val="22"/>
        </w:rPr>
      </w:pPr>
    </w:p>
    <w:p w:rsidR="00B37A78" w:rsidRPr="00B37A78" w:rsidRDefault="00B37A78" w:rsidP="00460B1E">
      <w:pPr>
        <w:jc w:val="both"/>
        <w:rPr>
          <w:i/>
          <w:iCs/>
          <w:sz w:val="22"/>
          <w:szCs w:val="22"/>
        </w:rPr>
      </w:pPr>
    </w:p>
    <w:p w:rsidR="00B37A78" w:rsidRPr="00E62249" w:rsidRDefault="00B37A78" w:rsidP="00460B1E">
      <w:pPr>
        <w:jc w:val="both"/>
        <w:rPr>
          <w:b/>
          <w:sz w:val="22"/>
          <w:szCs w:val="22"/>
        </w:rPr>
      </w:pPr>
      <w:r w:rsidRPr="00E62249">
        <w:rPr>
          <w:b/>
          <w:sz w:val="22"/>
          <w:szCs w:val="22"/>
        </w:rPr>
        <w:t>Quels sont les attributs et les caractères du droit de propriété ?</w:t>
      </w:r>
    </w:p>
    <w:p w:rsidR="00B37A78" w:rsidRPr="00B37A78" w:rsidRDefault="00B37A78" w:rsidP="00460B1E">
      <w:pPr>
        <w:jc w:val="both"/>
        <w:rPr>
          <w:sz w:val="22"/>
          <w:szCs w:val="22"/>
        </w:rPr>
      </w:pPr>
    </w:p>
    <w:p w:rsidR="00B37A78" w:rsidRDefault="00B37A78" w:rsidP="00460B1E">
      <w:pPr>
        <w:jc w:val="both"/>
        <w:rPr>
          <w:sz w:val="22"/>
          <w:szCs w:val="22"/>
        </w:rPr>
      </w:pPr>
      <w:r w:rsidRPr="00B37A78">
        <w:rPr>
          <w:sz w:val="22"/>
          <w:szCs w:val="22"/>
        </w:rPr>
        <w:t>Les attributs du droit de propriété sont :</w:t>
      </w:r>
    </w:p>
    <w:p w:rsidR="00E62249" w:rsidRPr="00B37A78" w:rsidRDefault="00E62249" w:rsidP="00460B1E">
      <w:pPr>
        <w:jc w:val="both"/>
        <w:rPr>
          <w:sz w:val="22"/>
          <w:szCs w:val="22"/>
        </w:rPr>
      </w:pPr>
    </w:p>
    <w:p w:rsidR="00B37A78" w:rsidRPr="00B37A78" w:rsidRDefault="00B37A78" w:rsidP="00460B1E">
      <w:pPr>
        <w:numPr>
          <w:ilvl w:val="0"/>
          <w:numId w:val="28"/>
        </w:numPr>
        <w:jc w:val="both"/>
        <w:rPr>
          <w:sz w:val="22"/>
          <w:szCs w:val="22"/>
        </w:rPr>
      </w:pPr>
      <w:r w:rsidRPr="00B37A78">
        <w:rPr>
          <w:sz w:val="22"/>
          <w:szCs w:val="22"/>
        </w:rPr>
        <w:t>l'usus : le droit d'user de la chose ;</w:t>
      </w:r>
    </w:p>
    <w:p w:rsidR="00B37A78" w:rsidRPr="00B37A78" w:rsidRDefault="00B37A78" w:rsidP="00460B1E">
      <w:pPr>
        <w:numPr>
          <w:ilvl w:val="0"/>
          <w:numId w:val="28"/>
        </w:numPr>
        <w:jc w:val="both"/>
        <w:rPr>
          <w:sz w:val="22"/>
          <w:szCs w:val="22"/>
        </w:rPr>
      </w:pPr>
      <w:r w:rsidRPr="00B37A78">
        <w:rPr>
          <w:sz w:val="22"/>
          <w:szCs w:val="22"/>
        </w:rPr>
        <w:t>le fructus : le droit de percevoir les fruits de la chose ;</w:t>
      </w:r>
    </w:p>
    <w:p w:rsidR="00B37A78" w:rsidRPr="00B37A78" w:rsidRDefault="00B37A78" w:rsidP="00460B1E">
      <w:pPr>
        <w:numPr>
          <w:ilvl w:val="0"/>
          <w:numId w:val="28"/>
        </w:numPr>
        <w:jc w:val="both"/>
        <w:rPr>
          <w:sz w:val="22"/>
          <w:szCs w:val="22"/>
        </w:rPr>
      </w:pPr>
      <w:r w:rsidRPr="00B37A78">
        <w:rPr>
          <w:sz w:val="22"/>
          <w:szCs w:val="22"/>
        </w:rPr>
        <w:t xml:space="preserve">l'abusus : le droit de disposer de la chose (la conserver, la vendre, la détruire). </w:t>
      </w:r>
    </w:p>
    <w:p w:rsidR="00B37A78" w:rsidRPr="00B37A78" w:rsidRDefault="00B37A78" w:rsidP="00460B1E">
      <w:pPr>
        <w:jc w:val="both"/>
        <w:rPr>
          <w:sz w:val="22"/>
          <w:szCs w:val="22"/>
        </w:rPr>
      </w:pPr>
    </w:p>
    <w:p w:rsidR="00B37A78" w:rsidRDefault="00B37A78" w:rsidP="00460B1E">
      <w:pPr>
        <w:jc w:val="both"/>
        <w:rPr>
          <w:sz w:val="22"/>
          <w:szCs w:val="22"/>
        </w:rPr>
      </w:pPr>
      <w:r w:rsidRPr="00B37A78">
        <w:rPr>
          <w:sz w:val="22"/>
          <w:szCs w:val="22"/>
        </w:rPr>
        <w:t>Les caractères du droit de propriété sont :</w:t>
      </w:r>
    </w:p>
    <w:p w:rsidR="00E62249" w:rsidRPr="00B37A78" w:rsidRDefault="00E62249" w:rsidP="00460B1E">
      <w:pPr>
        <w:jc w:val="both"/>
        <w:rPr>
          <w:sz w:val="22"/>
          <w:szCs w:val="22"/>
        </w:rPr>
      </w:pPr>
    </w:p>
    <w:p w:rsidR="00B37A78" w:rsidRPr="00B37A78" w:rsidRDefault="00B37A78" w:rsidP="00460B1E">
      <w:pPr>
        <w:numPr>
          <w:ilvl w:val="0"/>
          <w:numId w:val="29"/>
        </w:numPr>
        <w:jc w:val="both"/>
        <w:rPr>
          <w:sz w:val="22"/>
          <w:szCs w:val="22"/>
        </w:rPr>
      </w:pPr>
      <w:r w:rsidRPr="00B37A78">
        <w:rPr>
          <w:sz w:val="22"/>
          <w:szCs w:val="22"/>
        </w:rPr>
        <w:t>le caractère perpétuel : le droit de propriété ne se perd pas par le non usage ;</w:t>
      </w:r>
    </w:p>
    <w:p w:rsidR="00B37A78" w:rsidRPr="00B37A78" w:rsidRDefault="00B37A78" w:rsidP="00460B1E">
      <w:pPr>
        <w:numPr>
          <w:ilvl w:val="0"/>
          <w:numId w:val="29"/>
        </w:numPr>
        <w:jc w:val="both"/>
        <w:rPr>
          <w:sz w:val="22"/>
          <w:szCs w:val="22"/>
        </w:rPr>
      </w:pPr>
      <w:r w:rsidRPr="00B37A78">
        <w:rPr>
          <w:sz w:val="22"/>
          <w:szCs w:val="22"/>
        </w:rPr>
        <w:t>le caractère exclusif : le propriétaire peut interdire à toute personne de tirer profit des utilités de la chose ;</w:t>
      </w:r>
    </w:p>
    <w:p w:rsidR="00B37A78" w:rsidRPr="00B37A78" w:rsidRDefault="00B37A78" w:rsidP="00460B1E">
      <w:pPr>
        <w:numPr>
          <w:ilvl w:val="0"/>
          <w:numId w:val="29"/>
        </w:numPr>
        <w:jc w:val="both"/>
        <w:rPr>
          <w:sz w:val="22"/>
          <w:szCs w:val="22"/>
        </w:rPr>
      </w:pPr>
      <w:r w:rsidRPr="00B37A78">
        <w:rPr>
          <w:sz w:val="22"/>
          <w:szCs w:val="22"/>
        </w:rPr>
        <w:t>le caractère absolu : il donne la faculté de tirer de la chose toutes les utilités dont elle est susceptible ;</w:t>
      </w:r>
    </w:p>
    <w:p w:rsidR="00B37A78" w:rsidRPr="00B37A78" w:rsidRDefault="00B37A78" w:rsidP="00460B1E">
      <w:pPr>
        <w:numPr>
          <w:ilvl w:val="0"/>
          <w:numId w:val="29"/>
        </w:numPr>
        <w:jc w:val="both"/>
        <w:rPr>
          <w:sz w:val="22"/>
          <w:szCs w:val="22"/>
        </w:rPr>
      </w:pPr>
      <w:r w:rsidRPr="00B37A78">
        <w:rPr>
          <w:sz w:val="22"/>
          <w:szCs w:val="22"/>
        </w:rPr>
        <w:t>le caractère réel : le droit de propriété porte directement sur la chose qu'il a pour objet.</w:t>
      </w:r>
    </w:p>
    <w:p w:rsidR="00B37A78" w:rsidRPr="00B37A78" w:rsidRDefault="00B37A78" w:rsidP="00460B1E">
      <w:pPr>
        <w:jc w:val="both"/>
        <w:rPr>
          <w:sz w:val="22"/>
          <w:szCs w:val="22"/>
        </w:rPr>
      </w:pPr>
    </w:p>
    <w:sectPr w:rsidR="00B37A78" w:rsidRPr="00B37A78" w:rsidSect="00B37A78">
      <w:headerReference w:type="default" r:id="rId8"/>
      <w:footerReference w:type="default" r:id="rId9"/>
      <w:footnotePr>
        <w:pos w:val="beneathText"/>
      </w:footnotePr>
      <w:pgSz w:w="11905" w:h="16837" w:code="9"/>
      <w:pgMar w:top="851" w:right="1134" w:bottom="567" w:left="1134"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F79" w:rsidRDefault="00613F79">
      <w:r>
        <w:separator/>
      </w:r>
    </w:p>
  </w:endnote>
  <w:endnote w:type="continuationSeparator" w:id="0">
    <w:p w:rsidR="00613F79" w:rsidRDefault="0061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368" w:rsidRPr="00B37A78" w:rsidRDefault="00CE1B9E" w:rsidP="00B37A78">
    <w:pPr>
      <w:pStyle w:val="Pieddepage"/>
      <w:tabs>
        <w:tab w:val="left" w:pos="709"/>
      </w:tabs>
      <w:ind w:right="357"/>
      <w:jc w:val="center"/>
    </w:pPr>
    <w:r>
      <w:rPr>
        <w:b/>
        <w:bCs/>
      </w:rPr>
      <w:t xml:space="preserve">© Comptazine – </w:t>
    </w:r>
    <w:hyperlink r:id="rId1" w:history="1">
      <w:r w:rsidRPr="00BE4AE4">
        <w:rPr>
          <w:rStyle w:val="Lienhypertexte"/>
          <w:b/>
          <w:bCs/>
        </w:rPr>
        <w:t>http://www.comptazine.fr</w:t>
      </w:r>
    </w:hyperlink>
    <w:r>
      <w:rPr>
        <w:b/>
        <w:bCs/>
      </w:rPr>
      <w:tab/>
    </w:r>
    <w:r w:rsidR="00B37A78" w:rsidRPr="00611B86">
      <w:rPr>
        <w:b/>
        <w:bCs/>
        <w:sz w:val="22"/>
        <w:szCs w:val="22"/>
      </w:rPr>
      <w:tab/>
    </w:r>
    <w:r w:rsidR="00B37A78" w:rsidRPr="00611B86">
      <w:rPr>
        <w:rStyle w:val="Numrodepage"/>
        <w:b/>
        <w:bCs/>
        <w:sz w:val="22"/>
        <w:szCs w:val="22"/>
      </w:rPr>
      <w:fldChar w:fldCharType="begin"/>
    </w:r>
    <w:r w:rsidR="00B37A78" w:rsidRPr="00611B86">
      <w:rPr>
        <w:rStyle w:val="Numrodepage"/>
        <w:b/>
        <w:bCs/>
        <w:sz w:val="22"/>
        <w:szCs w:val="22"/>
      </w:rPr>
      <w:instrText xml:space="preserve"> PAGE </w:instrText>
    </w:r>
    <w:r w:rsidR="00B37A78" w:rsidRPr="00611B86">
      <w:rPr>
        <w:rStyle w:val="Numrodepage"/>
        <w:b/>
        <w:bCs/>
        <w:sz w:val="22"/>
        <w:szCs w:val="22"/>
      </w:rPr>
      <w:fldChar w:fldCharType="separate"/>
    </w:r>
    <w:r w:rsidR="00760F3A">
      <w:rPr>
        <w:rStyle w:val="Numrodepage"/>
        <w:b/>
        <w:bCs/>
        <w:noProof/>
        <w:sz w:val="22"/>
        <w:szCs w:val="22"/>
      </w:rPr>
      <w:t>5</w:t>
    </w:r>
    <w:r w:rsidR="00B37A78" w:rsidRPr="00611B86">
      <w:rPr>
        <w:rStyle w:val="Numrodepage"/>
        <w:b/>
        <w:bCs/>
        <w:sz w:val="22"/>
        <w:szCs w:val="22"/>
      </w:rPr>
      <w:fldChar w:fldCharType="end"/>
    </w:r>
    <w:r w:rsidR="00B37A78" w:rsidRPr="00611B86">
      <w:rPr>
        <w:rStyle w:val="Numrodepage"/>
        <w:b/>
        <w:bCs/>
        <w:sz w:val="22"/>
        <w:szCs w:val="22"/>
      </w:rPr>
      <w:t>/</w:t>
    </w:r>
    <w:r w:rsidR="00B37A78" w:rsidRPr="00611B86">
      <w:rPr>
        <w:rStyle w:val="Numrodepage"/>
        <w:b/>
        <w:bCs/>
        <w:sz w:val="22"/>
        <w:szCs w:val="22"/>
      </w:rPr>
      <w:fldChar w:fldCharType="begin"/>
    </w:r>
    <w:r w:rsidR="00B37A78" w:rsidRPr="00611B86">
      <w:rPr>
        <w:rStyle w:val="Numrodepage"/>
        <w:b/>
        <w:bCs/>
        <w:sz w:val="22"/>
        <w:szCs w:val="22"/>
      </w:rPr>
      <w:instrText xml:space="preserve">  NUMPAGES</w:instrText>
    </w:r>
    <w:r w:rsidR="00B37A78" w:rsidRPr="00611B86">
      <w:rPr>
        <w:rStyle w:val="Numrodepage"/>
        <w:b/>
        <w:bCs/>
        <w:sz w:val="22"/>
        <w:szCs w:val="22"/>
      </w:rPr>
      <w:fldChar w:fldCharType="separate"/>
    </w:r>
    <w:r w:rsidR="00760F3A">
      <w:rPr>
        <w:rStyle w:val="Numrodepage"/>
        <w:b/>
        <w:bCs/>
        <w:noProof/>
        <w:sz w:val="22"/>
        <w:szCs w:val="22"/>
      </w:rPr>
      <w:t>5</w:t>
    </w:r>
    <w:r w:rsidR="00B37A78" w:rsidRPr="00611B86">
      <w:rPr>
        <w:rStyle w:val="Numrodepage"/>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F79" w:rsidRDefault="00613F79">
      <w:r>
        <w:separator/>
      </w:r>
    </w:p>
  </w:footnote>
  <w:footnote w:type="continuationSeparator" w:id="0">
    <w:p w:rsidR="00613F79" w:rsidRDefault="00613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F4" w:rsidRDefault="0024311D" w:rsidP="00DF12F4">
    <w:pPr>
      <w:pStyle w:val="En-tte"/>
      <w:ind w:right="849"/>
      <w:jc w:val="right"/>
    </w:pPr>
    <w:r>
      <w:rPr>
        <w:noProof/>
        <w:lang w:eastAsia="fr-FR"/>
      </w:rPr>
      <w:drawing>
        <wp:anchor distT="0" distB="0" distL="114300" distR="114300" simplePos="0" relativeHeight="251659264" behindDoc="1" locked="0" layoutInCell="1" allowOverlap="1">
          <wp:simplePos x="0" y="0"/>
          <wp:positionH relativeFrom="margin">
            <wp:posOffset>5828030</wp:posOffset>
          </wp:positionH>
          <wp:positionV relativeFrom="margin">
            <wp:posOffset>-469900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2F4" w:rsidRPr="00250E89" w:rsidRDefault="00DF12F4" w:rsidP="00DF12F4">
    <w:pPr>
      <w:pStyle w:val="En-tte"/>
      <w:ind w:right="849"/>
      <w:jc w:val="right"/>
    </w:pPr>
    <w:hyperlink r:id="rId2" w:history="1">
      <w:r w:rsidRPr="006E50E1">
        <w:rPr>
          <w:rStyle w:val="Lienhypertexte"/>
          <w:rFonts w:ascii="Calibri" w:hAnsi="Calibri" w:cs="Calibri"/>
          <w:color w:val="E36C0A"/>
          <w:sz w:val="18"/>
        </w:rPr>
        <w:t>www.comptazine.fr</w:t>
      </w:r>
    </w:hyperlin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p w:rsidR="00DF12F4" w:rsidRDefault="00DF12F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1B"/>
    <w:multiLevelType w:val="multilevel"/>
    <w:tmpl w:val="0000001B"/>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7">
    <w:nsid w:val="18A34AC1"/>
    <w:multiLevelType w:val="multilevel"/>
    <w:tmpl w:val="0448BC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nsid w:val="1F1A5BD8"/>
    <w:multiLevelType w:val="hybridMultilevel"/>
    <w:tmpl w:val="F74A7364"/>
    <w:lvl w:ilvl="0" w:tplc="C85AADA8">
      <w:start w:val="1"/>
      <w:numFmt w:val="bullet"/>
      <w:lvlText w:val=""/>
      <w:lvlJc w:val="left"/>
      <w:pPr>
        <w:tabs>
          <w:tab w:val="num" w:pos="357"/>
        </w:tabs>
        <w:ind w:left="0" w:firstLine="0"/>
      </w:pPr>
      <w:rPr>
        <w:rFonts w:ascii="Symbol" w:hAnsi="Symbol" w:hint="default"/>
      </w:rPr>
    </w:lvl>
    <w:lvl w:ilvl="1" w:tplc="20C69E64">
      <w:start w:val="1"/>
      <w:numFmt w:val="bullet"/>
      <w:lvlText w:val="-"/>
      <w:lvlJc w:val="left"/>
      <w:pPr>
        <w:tabs>
          <w:tab w:val="num" w:pos="1440"/>
        </w:tabs>
        <w:ind w:left="1440" w:hanging="360"/>
      </w:pPr>
      <w:rPr>
        <w:rFonts w:ascii="Times New Roman" w:eastAsia="Lucida Sans Unicode"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1F374B9E"/>
    <w:multiLevelType w:val="hybridMultilevel"/>
    <w:tmpl w:val="7EAAC462"/>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0">
    <w:nsid w:val="60A569F4"/>
    <w:multiLevelType w:val="hybridMultilevel"/>
    <w:tmpl w:val="1D1E8AB0"/>
    <w:lvl w:ilvl="0" w:tplc="C85AADA8">
      <w:start w:val="1"/>
      <w:numFmt w:val="bullet"/>
      <w:lvlText w:val=""/>
      <w:lvlJc w:val="left"/>
      <w:pPr>
        <w:tabs>
          <w:tab w:val="num" w:pos="357"/>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8"/>
  </w:num>
  <w:num w:numId="29">
    <w:abstractNumId w:val="30"/>
  </w:num>
  <w:num w:numId="30">
    <w:abstractNumId w:val="2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24A"/>
    <w:rsid w:val="00031711"/>
    <w:rsid w:val="00055345"/>
    <w:rsid w:val="000871AF"/>
    <w:rsid w:val="0009643F"/>
    <w:rsid w:val="001C2892"/>
    <w:rsid w:val="0024311D"/>
    <w:rsid w:val="00260078"/>
    <w:rsid w:val="00276C74"/>
    <w:rsid w:val="0031668C"/>
    <w:rsid w:val="00374D5F"/>
    <w:rsid w:val="00385E66"/>
    <w:rsid w:val="003E5947"/>
    <w:rsid w:val="003F74DB"/>
    <w:rsid w:val="004034F9"/>
    <w:rsid w:val="004354DB"/>
    <w:rsid w:val="00460B1E"/>
    <w:rsid w:val="004873F3"/>
    <w:rsid w:val="00594524"/>
    <w:rsid w:val="005C119E"/>
    <w:rsid w:val="00613F79"/>
    <w:rsid w:val="00691570"/>
    <w:rsid w:val="006B2E17"/>
    <w:rsid w:val="006F3C08"/>
    <w:rsid w:val="00760F3A"/>
    <w:rsid w:val="00845F02"/>
    <w:rsid w:val="00884C66"/>
    <w:rsid w:val="008E7825"/>
    <w:rsid w:val="00921E3B"/>
    <w:rsid w:val="009B311A"/>
    <w:rsid w:val="009B5A0F"/>
    <w:rsid w:val="00A26D7F"/>
    <w:rsid w:val="00A96C6E"/>
    <w:rsid w:val="00B22D99"/>
    <w:rsid w:val="00B37A78"/>
    <w:rsid w:val="00BB3247"/>
    <w:rsid w:val="00BF69AC"/>
    <w:rsid w:val="00C84375"/>
    <w:rsid w:val="00CD67AC"/>
    <w:rsid w:val="00CE1B9E"/>
    <w:rsid w:val="00D65625"/>
    <w:rsid w:val="00DA7D85"/>
    <w:rsid w:val="00DD624A"/>
    <w:rsid w:val="00DF12F4"/>
    <w:rsid w:val="00DF684A"/>
    <w:rsid w:val="00DF6922"/>
    <w:rsid w:val="00E55368"/>
    <w:rsid w:val="00E62249"/>
    <w:rsid w:val="00F24FD9"/>
    <w:rsid w:val="00FB0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Lucida Sans Unicode"/>
      <w:kern w:val="1"/>
      <w:sz w:val="24"/>
      <w:szCs w:val="24"/>
      <w:lang/>
    </w:rPr>
  </w:style>
  <w:style w:type="paragraph" w:styleId="Titre1">
    <w:name w:val="heading 1"/>
    <w:basedOn w:val="Normal"/>
    <w:next w:val="Normal"/>
    <w:qFormat/>
    <w:rsid w:val="004354DB"/>
    <w:pPr>
      <w:keepNext/>
      <w:widowControl/>
      <w:suppressAutoHyphens w:val="0"/>
      <w:jc w:val="both"/>
      <w:outlineLvl w:val="0"/>
    </w:pPr>
    <w:rPr>
      <w:rFonts w:eastAsia="Times New Roman"/>
      <w:b/>
      <w:bCs/>
      <w:kern w:val="0"/>
      <w:sz w:val="36"/>
      <w:szCs w:val="36"/>
      <w:lang w:eastAsia="fr-FR"/>
    </w:rPr>
  </w:style>
  <w:style w:type="paragraph" w:styleId="Titre3">
    <w:name w:val="heading 3"/>
    <w:basedOn w:val="Normal"/>
    <w:next w:val="Normal"/>
    <w:qFormat/>
    <w:rsid w:val="004354DB"/>
    <w:pPr>
      <w:keepNext/>
      <w:widowControl/>
      <w:suppressAutoHyphens w:val="0"/>
      <w:spacing w:line="259" w:lineRule="auto"/>
      <w:jc w:val="center"/>
      <w:outlineLvl w:val="2"/>
    </w:pPr>
    <w:rPr>
      <w:rFonts w:eastAsia="Times New Roman"/>
      <w:b/>
      <w:kern w:val="0"/>
      <w:sz w:val="32"/>
      <w:szCs w:val="32"/>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Pieddepage">
    <w:name w:val="footer"/>
    <w:basedOn w:val="Normal"/>
    <w:link w:val="PieddepageCar"/>
    <w:pPr>
      <w:suppressLineNumbers/>
      <w:tabs>
        <w:tab w:val="center" w:pos="4818"/>
        <w:tab w:val="right" w:pos="9637"/>
      </w:tabs>
    </w:pPr>
  </w:style>
  <w:style w:type="paragraph" w:customStyle="1" w:styleId="Contenudetableau">
    <w:name w:val="Contenu de tableau"/>
    <w:basedOn w:val="Normal"/>
    <w:pPr>
      <w:suppressLineNumbers/>
    </w:pPr>
  </w:style>
  <w:style w:type="paragraph" w:styleId="En-tte">
    <w:name w:val="header"/>
    <w:basedOn w:val="Normal"/>
    <w:link w:val="En-tteCar"/>
    <w:rsid w:val="004354DB"/>
    <w:pPr>
      <w:tabs>
        <w:tab w:val="center" w:pos="4536"/>
        <w:tab w:val="right" w:pos="9072"/>
      </w:tabs>
    </w:pPr>
  </w:style>
  <w:style w:type="paragraph" w:styleId="Titre">
    <w:name w:val="Title"/>
    <w:basedOn w:val="Normal"/>
    <w:link w:val="TitreCar"/>
    <w:qFormat/>
    <w:rsid w:val="004354DB"/>
    <w:pPr>
      <w:suppressAutoHyphens w:val="0"/>
      <w:overflowPunct w:val="0"/>
      <w:autoSpaceDE w:val="0"/>
      <w:autoSpaceDN w:val="0"/>
      <w:adjustRightInd w:val="0"/>
      <w:jc w:val="center"/>
      <w:textAlignment w:val="baseline"/>
    </w:pPr>
    <w:rPr>
      <w:rFonts w:eastAsia="Times New Roman"/>
      <w:noProof/>
      <w:kern w:val="0"/>
      <w:sz w:val="28"/>
      <w:szCs w:val="28"/>
      <w:lang w:eastAsia="fr-FR"/>
    </w:rPr>
  </w:style>
  <w:style w:type="paragraph" w:styleId="Commentaire">
    <w:name w:val="annotation text"/>
    <w:basedOn w:val="Normal"/>
    <w:rsid w:val="004354DB"/>
    <w:pPr>
      <w:suppressAutoHyphens w:val="0"/>
      <w:autoSpaceDE w:val="0"/>
      <w:autoSpaceDN w:val="0"/>
      <w:adjustRightInd w:val="0"/>
    </w:pPr>
    <w:rPr>
      <w:rFonts w:ascii="Arial" w:eastAsia="Times New Roman" w:hAnsi="Arial" w:cs="Arial"/>
      <w:b/>
      <w:bCs/>
      <w:kern w:val="0"/>
      <w:sz w:val="20"/>
      <w:szCs w:val="20"/>
      <w:lang w:eastAsia="fr-FR"/>
    </w:rPr>
  </w:style>
  <w:style w:type="paragraph" w:styleId="Sous-titre">
    <w:name w:val="Subtitle"/>
    <w:basedOn w:val="Normal"/>
    <w:qFormat/>
    <w:rsid w:val="004354DB"/>
    <w:pPr>
      <w:shd w:val="clear" w:color="auto" w:fill="FFFFFF"/>
      <w:suppressAutoHyphens w:val="0"/>
      <w:autoSpaceDE w:val="0"/>
      <w:autoSpaceDN w:val="0"/>
      <w:adjustRightInd w:val="0"/>
      <w:spacing w:before="230"/>
      <w:ind w:right="98"/>
      <w:jc w:val="center"/>
    </w:pPr>
    <w:rPr>
      <w:rFonts w:ascii="Arial" w:eastAsia="Times New Roman" w:hAnsi="Arial" w:cs="Arial"/>
      <w:b/>
      <w:bCs/>
      <w:color w:val="000000"/>
      <w:spacing w:val="-5"/>
      <w:kern w:val="0"/>
      <w:sz w:val="22"/>
      <w:szCs w:val="22"/>
      <w:lang w:eastAsia="fr-FR"/>
    </w:rPr>
  </w:style>
  <w:style w:type="table" w:styleId="Grilledutableau">
    <w:name w:val="Table Grid"/>
    <w:basedOn w:val="TableauNormal"/>
    <w:rsid w:val="00460B1E"/>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Car">
    <w:name w:val="Titre Car"/>
    <w:link w:val="Titre"/>
    <w:rsid w:val="00B37A78"/>
    <w:rPr>
      <w:noProof/>
      <w:sz w:val="28"/>
      <w:szCs w:val="28"/>
    </w:rPr>
  </w:style>
  <w:style w:type="character" w:styleId="Numrodepage">
    <w:name w:val="page number"/>
    <w:basedOn w:val="Policepardfaut"/>
    <w:rsid w:val="00B37A78"/>
  </w:style>
  <w:style w:type="character" w:styleId="Lienhypertexte">
    <w:name w:val="Hyperlink"/>
    <w:unhideWhenUsed/>
    <w:rsid w:val="00B37A78"/>
    <w:rPr>
      <w:color w:val="0000FF"/>
      <w:u w:val="single"/>
    </w:rPr>
  </w:style>
  <w:style w:type="character" w:customStyle="1" w:styleId="PieddepageCar">
    <w:name w:val="Pied de page Car"/>
    <w:link w:val="Pieddepage"/>
    <w:rsid w:val="00B37A78"/>
    <w:rPr>
      <w:rFonts w:eastAsia="Lucida Sans Unicode"/>
      <w:kern w:val="1"/>
      <w:sz w:val="24"/>
      <w:szCs w:val="24"/>
      <w:lang/>
    </w:rPr>
  </w:style>
  <w:style w:type="character" w:customStyle="1" w:styleId="En-tteCar">
    <w:name w:val="En-tête Car"/>
    <w:link w:val="En-tte"/>
    <w:rsid w:val="00DF12F4"/>
    <w:rPr>
      <w:rFonts w:eastAsia="Lucida Sans Unicode"/>
      <w:kern w:val="1"/>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Lucida Sans Unicode"/>
      <w:kern w:val="1"/>
      <w:sz w:val="24"/>
      <w:szCs w:val="24"/>
      <w:lang/>
    </w:rPr>
  </w:style>
  <w:style w:type="paragraph" w:styleId="Titre1">
    <w:name w:val="heading 1"/>
    <w:basedOn w:val="Normal"/>
    <w:next w:val="Normal"/>
    <w:qFormat/>
    <w:rsid w:val="004354DB"/>
    <w:pPr>
      <w:keepNext/>
      <w:widowControl/>
      <w:suppressAutoHyphens w:val="0"/>
      <w:jc w:val="both"/>
      <w:outlineLvl w:val="0"/>
    </w:pPr>
    <w:rPr>
      <w:rFonts w:eastAsia="Times New Roman"/>
      <w:b/>
      <w:bCs/>
      <w:kern w:val="0"/>
      <w:sz w:val="36"/>
      <w:szCs w:val="36"/>
      <w:lang w:eastAsia="fr-FR"/>
    </w:rPr>
  </w:style>
  <w:style w:type="paragraph" w:styleId="Titre3">
    <w:name w:val="heading 3"/>
    <w:basedOn w:val="Normal"/>
    <w:next w:val="Normal"/>
    <w:qFormat/>
    <w:rsid w:val="004354DB"/>
    <w:pPr>
      <w:keepNext/>
      <w:widowControl/>
      <w:suppressAutoHyphens w:val="0"/>
      <w:spacing w:line="259" w:lineRule="auto"/>
      <w:jc w:val="center"/>
      <w:outlineLvl w:val="2"/>
    </w:pPr>
    <w:rPr>
      <w:rFonts w:eastAsia="Times New Roman"/>
      <w:b/>
      <w:kern w:val="0"/>
      <w:sz w:val="32"/>
      <w:szCs w:val="32"/>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Pieddepage">
    <w:name w:val="footer"/>
    <w:basedOn w:val="Normal"/>
    <w:link w:val="PieddepageCar"/>
    <w:pPr>
      <w:suppressLineNumbers/>
      <w:tabs>
        <w:tab w:val="center" w:pos="4818"/>
        <w:tab w:val="right" w:pos="9637"/>
      </w:tabs>
    </w:pPr>
  </w:style>
  <w:style w:type="paragraph" w:customStyle="1" w:styleId="Contenudetableau">
    <w:name w:val="Contenu de tableau"/>
    <w:basedOn w:val="Normal"/>
    <w:pPr>
      <w:suppressLineNumbers/>
    </w:pPr>
  </w:style>
  <w:style w:type="paragraph" w:styleId="En-tte">
    <w:name w:val="header"/>
    <w:basedOn w:val="Normal"/>
    <w:link w:val="En-tteCar"/>
    <w:rsid w:val="004354DB"/>
    <w:pPr>
      <w:tabs>
        <w:tab w:val="center" w:pos="4536"/>
        <w:tab w:val="right" w:pos="9072"/>
      </w:tabs>
    </w:pPr>
  </w:style>
  <w:style w:type="paragraph" w:styleId="Titre">
    <w:name w:val="Title"/>
    <w:basedOn w:val="Normal"/>
    <w:link w:val="TitreCar"/>
    <w:qFormat/>
    <w:rsid w:val="004354DB"/>
    <w:pPr>
      <w:suppressAutoHyphens w:val="0"/>
      <w:overflowPunct w:val="0"/>
      <w:autoSpaceDE w:val="0"/>
      <w:autoSpaceDN w:val="0"/>
      <w:adjustRightInd w:val="0"/>
      <w:jc w:val="center"/>
      <w:textAlignment w:val="baseline"/>
    </w:pPr>
    <w:rPr>
      <w:rFonts w:eastAsia="Times New Roman"/>
      <w:noProof/>
      <w:kern w:val="0"/>
      <w:sz w:val="28"/>
      <w:szCs w:val="28"/>
      <w:lang w:eastAsia="fr-FR"/>
    </w:rPr>
  </w:style>
  <w:style w:type="paragraph" w:styleId="Commentaire">
    <w:name w:val="annotation text"/>
    <w:basedOn w:val="Normal"/>
    <w:rsid w:val="004354DB"/>
    <w:pPr>
      <w:suppressAutoHyphens w:val="0"/>
      <w:autoSpaceDE w:val="0"/>
      <w:autoSpaceDN w:val="0"/>
      <w:adjustRightInd w:val="0"/>
    </w:pPr>
    <w:rPr>
      <w:rFonts w:ascii="Arial" w:eastAsia="Times New Roman" w:hAnsi="Arial" w:cs="Arial"/>
      <w:b/>
      <w:bCs/>
      <w:kern w:val="0"/>
      <w:sz w:val="20"/>
      <w:szCs w:val="20"/>
      <w:lang w:eastAsia="fr-FR"/>
    </w:rPr>
  </w:style>
  <w:style w:type="paragraph" w:styleId="Sous-titre">
    <w:name w:val="Subtitle"/>
    <w:basedOn w:val="Normal"/>
    <w:qFormat/>
    <w:rsid w:val="004354DB"/>
    <w:pPr>
      <w:shd w:val="clear" w:color="auto" w:fill="FFFFFF"/>
      <w:suppressAutoHyphens w:val="0"/>
      <w:autoSpaceDE w:val="0"/>
      <w:autoSpaceDN w:val="0"/>
      <w:adjustRightInd w:val="0"/>
      <w:spacing w:before="230"/>
      <w:ind w:right="98"/>
      <w:jc w:val="center"/>
    </w:pPr>
    <w:rPr>
      <w:rFonts w:ascii="Arial" w:eastAsia="Times New Roman" w:hAnsi="Arial" w:cs="Arial"/>
      <w:b/>
      <w:bCs/>
      <w:color w:val="000000"/>
      <w:spacing w:val="-5"/>
      <w:kern w:val="0"/>
      <w:sz w:val="22"/>
      <w:szCs w:val="22"/>
      <w:lang w:eastAsia="fr-FR"/>
    </w:rPr>
  </w:style>
  <w:style w:type="table" w:styleId="Grilledutableau">
    <w:name w:val="Table Grid"/>
    <w:basedOn w:val="TableauNormal"/>
    <w:rsid w:val="00460B1E"/>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Car">
    <w:name w:val="Titre Car"/>
    <w:link w:val="Titre"/>
    <w:rsid w:val="00B37A78"/>
    <w:rPr>
      <w:noProof/>
      <w:sz w:val="28"/>
      <w:szCs w:val="28"/>
    </w:rPr>
  </w:style>
  <w:style w:type="character" w:styleId="Numrodepage">
    <w:name w:val="page number"/>
    <w:basedOn w:val="Policepardfaut"/>
    <w:rsid w:val="00B37A78"/>
  </w:style>
  <w:style w:type="character" w:styleId="Lienhypertexte">
    <w:name w:val="Hyperlink"/>
    <w:unhideWhenUsed/>
    <w:rsid w:val="00B37A78"/>
    <w:rPr>
      <w:color w:val="0000FF"/>
      <w:u w:val="single"/>
    </w:rPr>
  </w:style>
  <w:style w:type="character" w:customStyle="1" w:styleId="PieddepageCar">
    <w:name w:val="Pied de page Car"/>
    <w:link w:val="Pieddepage"/>
    <w:rsid w:val="00B37A78"/>
    <w:rPr>
      <w:rFonts w:eastAsia="Lucida Sans Unicode"/>
      <w:kern w:val="1"/>
      <w:sz w:val="24"/>
      <w:szCs w:val="24"/>
      <w:lang/>
    </w:rPr>
  </w:style>
  <w:style w:type="character" w:customStyle="1" w:styleId="En-tteCar">
    <w:name w:val="En-tête Car"/>
    <w:link w:val="En-tte"/>
    <w:rsid w:val="00DF12F4"/>
    <w:rPr>
      <w:rFonts w:eastAsia="Lucida Sans Unicode"/>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ptazine.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2086</Words>
  <Characters>11475</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PROPOSITION DE CORRIGÉ</vt:lpstr>
    </vt:vector>
  </TitlesOfParts>
  <Company/>
  <LinksUpToDate>false</LinksUpToDate>
  <CharactersWithSpaces>13534</CharactersWithSpaces>
  <SharedDoc>false</SharedDoc>
  <HLinks>
    <vt:vector size="12" baseType="variant">
      <vt:variant>
        <vt:i4>1638468</vt:i4>
      </vt:variant>
      <vt:variant>
        <vt:i4>3</vt:i4>
      </vt:variant>
      <vt:variant>
        <vt:i4>0</vt:i4>
      </vt:variant>
      <vt:variant>
        <vt:i4>5</vt:i4>
      </vt:variant>
      <vt:variant>
        <vt:lpwstr>http://www.comptazine.fr/</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CORRIGÉ</dc:title>
  <dc:creator>Comptazine</dc:creator>
  <cp:lastModifiedBy>Sebastien</cp:lastModifiedBy>
  <cp:revision>3</cp:revision>
  <cp:lastPrinted>2012-09-11T18:12:00Z</cp:lastPrinted>
  <dcterms:created xsi:type="dcterms:W3CDTF">2012-09-11T18:12:00Z</dcterms:created>
  <dcterms:modified xsi:type="dcterms:W3CDTF">2012-09-11T18:12:00Z</dcterms:modified>
</cp:coreProperties>
</file>