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9C" w:rsidRPr="00803F96" w:rsidRDefault="00AF219C" w:rsidP="00AF219C">
      <w:pPr>
        <w:pStyle w:val="Titre"/>
        <w:pBdr>
          <w:top w:val="single" w:sz="4" w:space="1" w:color="auto"/>
          <w:left w:val="single" w:sz="4" w:space="4" w:color="auto"/>
          <w:bottom w:val="single" w:sz="4" w:space="1" w:color="auto"/>
          <w:right w:val="single" w:sz="4" w:space="4" w:color="auto"/>
        </w:pBdr>
        <w:rPr>
          <w:bCs w:val="0"/>
          <w:sz w:val="22"/>
          <w:szCs w:val="22"/>
        </w:rPr>
      </w:pPr>
      <w:r w:rsidRPr="00803F96">
        <w:rPr>
          <w:bCs w:val="0"/>
          <w:sz w:val="22"/>
          <w:szCs w:val="22"/>
        </w:rPr>
        <w:t>DCG session 2011</w:t>
      </w:r>
      <w:r w:rsidRPr="00803F96">
        <w:rPr>
          <w:bCs w:val="0"/>
          <w:sz w:val="22"/>
          <w:szCs w:val="22"/>
        </w:rPr>
        <w:tab/>
      </w:r>
      <w:r w:rsidRPr="00803F96">
        <w:rPr>
          <w:bCs w:val="0"/>
          <w:sz w:val="22"/>
          <w:szCs w:val="22"/>
        </w:rPr>
        <w:tab/>
        <w:t>UE1 Introduction au droit</w:t>
      </w:r>
      <w:r w:rsidRPr="00803F96">
        <w:rPr>
          <w:bCs w:val="0"/>
          <w:sz w:val="22"/>
          <w:szCs w:val="22"/>
        </w:rPr>
        <w:tab/>
      </w:r>
      <w:r w:rsidRPr="00803F96">
        <w:rPr>
          <w:bCs w:val="0"/>
          <w:sz w:val="22"/>
          <w:szCs w:val="22"/>
        </w:rPr>
        <w:tab/>
        <w:t>Corrigé indicatif</w:t>
      </w:r>
    </w:p>
    <w:p w:rsidR="00AF219C" w:rsidRPr="00873EA2" w:rsidRDefault="00AF219C" w:rsidP="00AF219C">
      <w:pPr>
        <w:jc w:val="both"/>
        <w:rPr>
          <w:sz w:val="16"/>
          <w:szCs w:val="16"/>
        </w:rPr>
      </w:pPr>
    </w:p>
    <w:p w:rsidR="00AF219C" w:rsidRPr="00873EA2" w:rsidRDefault="00AF219C" w:rsidP="00AF219C">
      <w:pPr>
        <w:pBdr>
          <w:top w:val="single" w:sz="4" w:space="1" w:color="auto"/>
          <w:left w:val="single" w:sz="4" w:space="4" w:color="auto"/>
          <w:bottom w:val="single" w:sz="4" w:space="1" w:color="auto"/>
          <w:right w:val="single" w:sz="4" w:space="4" w:color="auto"/>
        </w:pBdr>
        <w:shd w:val="clear" w:color="auto" w:fill="E0E0E0"/>
        <w:ind w:right="85"/>
        <w:jc w:val="center"/>
        <w:rPr>
          <w:b/>
          <w:bCs/>
          <w:sz w:val="16"/>
          <w:szCs w:val="16"/>
        </w:rPr>
      </w:pPr>
    </w:p>
    <w:p w:rsidR="00AF219C" w:rsidRPr="00803F96" w:rsidRDefault="00AF219C" w:rsidP="00AF219C">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r w:rsidRPr="00803F96">
        <w:rPr>
          <w:b/>
          <w:bCs/>
          <w:sz w:val="22"/>
          <w:szCs w:val="22"/>
        </w:rPr>
        <w:t>DOSSIER 1 : SITUATION PRATIQUE</w:t>
      </w:r>
    </w:p>
    <w:p w:rsidR="00AF219C" w:rsidRPr="00873EA2" w:rsidRDefault="00AF219C" w:rsidP="00AF219C">
      <w:pPr>
        <w:pBdr>
          <w:top w:val="single" w:sz="4" w:space="1" w:color="auto"/>
          <w:left w:val="single" w:sz="4" w:space="4" w:color="auto"/>
          <w:bottom w:val="single" w:sz="4" w:space="1" w:color="auto"/>
          <w:right w:val="single" w:sz="4" w:space="4" w:color="auto"/>
        </w:pBdr>
        <w:shd w:val="clear" w:color="auto" w:fill="E0E0E0"/>
        <w:ind w:right="85"/>
        <w:jc w:val="center"/>
        <w:rPr>
          <w:b/>
          <w:bCs/>
          <w:sz w:val="16"/>
          <w:szCs w:val="16"/>
        </w:rPr>
      </w:pPr>
    </w:p>
    <w:p w:rsidR="00AF219C" w:rsidRPr="00873EA2" w:rsidRDefault="00AF219C" w:rsidP="00AF219C">
      <w:pPr>
        <w:jc w:val="both"/>
        <w:rPr>
          <w:sz w:val="16"/>
          <w:szCs w:val="16"/>
        </w:rPr>
      </w:pPr>
    </w:p>
    <w:p w:rsidR="00AF219C" w:rsidRPr="00803F96" w:rsidRDefault="00803F96" w:rsidP="00803F96">
      <w:pPr>
        <w:pStyle w:val="Retraitcorpsdetexte"/>
        <w:widowControl w:val="0"/>
        <w:autoSpaceDE w:val="0"/>
        <w:autoSpaceDN w:val="0"/>
        <w:adjustRightInd w:val="0"/>
        <w:ind w:left="0" w:firstLine="0"/>
        <w:rPr>
          <w:rFonts w:ascii="Times New Roman" w:hAnsi="Times New Roman"/>
          <w:b/>
          <w:sz w:val="22"/>
          <w:szCs w:val="22"/>
        </w:rPr>
      </w:pPr>
      <w:r w:rsidRPr="00803F96">
        <w:rPr>
          <w:rFonts w:ascii="Times New Roman" w:hAnsi="Times New Roman"/>
          <w:b/>
          <w:sz w:val="22"/>
          <w:szCs w:val="22"/>
        </w:rPr>
        <w:t xml:space="preserve">1.1. </w:t>
      </w:r>
      <w:r w:rsidR="00AF219C" w:rsidRPr="00803F96">
        <w:rPr>
          <w:rFonts w:ascii="Times New Roman" w:hAnsi="Times New Roman"/>
          <w:b/>
          <w:sz w:val="22"/>
          <w:szCs w:val="22"/>
        </w:rPr>
        <w:t>Définissez le régime matrimonial de monsieur PULITZ en explicitant les notions de biens communs et de biens propres. Précisez la nature juridique de la villa et de l'appartement au regard du régime matrimonial.</w:t>
      </w:r>
    </w:p>
    <w:p w:rsidR="00AF219C" w:rsidRPr="00873EA2" w:rsidRDefault="00AF219C" w:rsidP="00803F96">
      <w:pPr>
        <w:pStyle w:val="Retraitcorpsdetexte"/>
        <w:ind w:left="0" w:firstLine="0"/>
        <w:rPr>
          <w:rFonts w:ascii="Times New Roman" w:hAnsi="Times New Roman"/>
          <w:sz w:val="16"/>
          <w:szCs w:val="16"/>
        </w:rPr>
      </w:pPr>
    </w:p>
    <w:p w:rsidR="00AF219C" w:rsidRPr="00803F96" w:rsidRDefault="00AF219C" w:rsidP="007E61CC">
      <w:pPr>
        <w:pStyle w:val="Retraitcorpsdetexte"/>
        <w:ind w:left="0" w:firstLine="0"/>
        <w:rPr>
          <w:rFonts w:ascii="Times New Roman" w:hAnsi="Times New Roman"/>
          <w:sz w:val="22"/>
          <w:szCs w:val="22"/>
        </w:rPr>
      </w:pPr>
      <w:r w:rsidRPr="00803F96">
        <w:rPr>
          <w:rFonts w:ascii="Times New Roman" w:hAnsi="Times New Roman"/>
          <w:sz w:val="22"/>
          <w:szCs w:val="22"/>
        </w:rPr>
        <w:t xml:space="preserve">La communauté légale réduite aux acquêts correspond au régime légal. </w:t>
      </w:r>
      <w:r w:rsidRPr="00803F96">
        <w:rPr>
          <w:rFonts w:ascii="Times New Roman" w:hAnsi="Times New Roman"/>
          <w:bCs/>
          <w:sz w:val="22"/>
          <w:szCs w:val="22"/>
        </w:rPr>
        <w:t>La communauté se compose des biens communs</w:t>
      </w:r>
      <w:r w:rsidRPr="00803F96">
        <w:rPr>
          <w:rFonts w:ascii="Times New Roman" w:hAnsi="Times New Roman"/>
          <w:sz w:val="22"/>
          <w:szCs w:val="22"/>
        </w:rPr>
        <w:t>, acquis par les époux ensemble ou séparément durant le mariage et provenant de leur industrie personnelle et des économies faites sur les fruits et revenus émanant de leurs biens propres.</w:t>
      </w:r>
    </w:p>
    <w:p w:rsidR="00AF219C" w:rsidRPr="00803F96" w:rsidRDefault="00AF219C" w:rsidP="007E61CC">
      <w:pPr>
        <w:pStyle w:val="Retraitcorpsdetexte"/>
        <w:ind w:left="0" w:firstLine="0"/>
        <w:rPr>
          <w:rFonts w:ascii="Times New Roman" w:hAnsi="Times New Roman"/>
          <w:bCs/>
          <w:sz w:val="22"/>
          <w:szCs w:val="22"/>
        </w:rPr>
      </w:pPr>
      <w:r w:rsidRPr="00803F96">
        <w:rPr>
          <w:rFonts w:ascii="Times New Roman" w:hAnsi="Times New Roman"/>
          <w:bCs/>
          <w:sz w:val="22"/>
          <w:szCs w:val="22"/>
        </w:rPr>
        <w:t>Chaque époux jouit de ses biens propres. Les biens propres sont les biens acquis antérieurement au mariage mais aussi provenant d’une succession ou d’une libéralité échue après le mariage.</w:t>
      </w:r>
    </w:p>
    <w:p w:rsidR="00AF219C" w:rsidRPr="00873EA2" w:rsidRDefault="00AF219C" w:rsidP="007E61CC">
      <w:pPr>
        <w:pStyle w:val="Retraitcorpsdetexte"/>
        <w:ind w:left="0" w:firstLine="0"/>
        <w:rPr>
          <w:rFonts w:ascii="Times New Roman" w:hAnsi="Times New Roman"/>
          <w:bCs/>
          <w:sz w:val="16"/>
          <w:szCs w:val="16"/>
        </w:rPr>
      </w:pPr>
    </w:p>
    <w:p w:rsidR="00AF219C" w:rsidRPr="00803F96" w:rsidRDefault="00AF219C" w:rsidP="007E61CC">
      <w:pPr>
        <w:pStyle w:val="Retraitcorpsdetexte"/>
        <w:ind w:left="0" w:firstLine="0"/>
        <w:rPr>
          <w:rFonts w:ascii="Times New Roman" w:hAnsi="Times New Roman"/>
          <w:sz w:val="22"/>
          <w:szCs w:val="22"/>
        </w:rPr>
      </w:pPr>
      <w:r w:rsidRPr="00803F96">
        <w:rPr>
          <w:rFonts w:ascii="Times New Roman" w:hAnsi="Times New Roman"/>
          <w:sz w:val="22"/>
          <w:szCs w:val="22"/>
        </w:rPr>
        <w:t xml:space="preserve">La villa héritée par son épouse est un bien propre de Lucienne. L’appartement, acquis antérieurement au mariage, est un bien propre de Justin. </w:t>
      </w:r>
    </w:p>
    <w:p w:rsidR="00AF219C" w:rsidRPr="00873EA2" w:rsidRDefault="00AF219C" w:rsidP="007E61CC">
      <w:pPr>
        <w:rPr>
          <w:sz w:val="16"/>
          <w:szCs w:val="16"/>
        </w:rPr>
      </w:pPr>
    </w:p>
    <w:p w:rsidR="00AF219C" w:rsidRPr="00803F96" w:rsidRDefault="00803F96" w:rsidP="00803F96">
      <w:pPr>
        <w:pStyle w:val="Retraitcorpsdetexte"/>
        <w:widowControl w:val="0"/>
        <w:autoSpaceDE w:val="0"/>
        <w:autoSpaceDN w:val="0"/>
        <w:adjustRightInd w:val="0"/>
        <w:ind w:left="0" w:firstLine="0"/>
        <w:rPr>
          <w:rFonts w:ascii="Times New Roman" w:hAnsi="Times New Roman"/>
          <w:b/>
          <w:sz w:val="22"/>
          <w:szCs w:val="22"/>
        </w:rPr>
      </w:pPr>
      <w:r>
        <w:rPr>
          <w:rFonts w:ascii="Times New Roman" w:hAnsi="Times New Roman"/>
          <w:b/>
          <w:sz w:val="22"/>
          <w:szCs w:val="22"/>
        </w:rPr>
        <w:t xml:space="preserve">1.2. </w:t>
      </w:r>
      <w:r w:rsidR="00AF219C" w:rsidRPr="00803F96">
        <w:rPr>
          <w:rFonts w:ascii="Times New Roman" w:hAnsi="Times New Roman"/>
          <w:b/>
          <w:sz w:val="22"/>
          <w:szCs w:val="22"/>
        </w:rPr>
        <w:t>Quel intérêt l’EIRL présente-t-elle pour monsieur PULITZ ?</w:t>
      </w:r>
    </w:p>
    <w:p w:rsidR="00AF219C" w:rsidRPr="00873EA2" w:rsidRDefault="00AF219C" w:rsidP="00AF219C">
      <w:pPr>
        <w:jc w:val="both"/>
        <w:rPr>
          <w:b/>
          <w:sz w:val="16"/>
          <w:szCs w:val="16"/>
        </w:rPr>
      </w:pPr>
    </w:p>
    <w:p w:rsidR="00AF219C" w:rsidRPr="00803F96" w:rsidRDefault="00AF219C" w:rsidP="007E61CC">
      <w:pPr>
        <w:jc w:val="both"/>
        <w:rPr>
          <w:bCs/>
          <w:sz w:val="22"/>
          <w:szCs w:val="22"/>
        </w:rPr>
      </w:pPr>
      <w:r w:rsidRPr="00803F96">
        <w:rPr>
          <w:bCs/>
          <w:sz w:val="22"/>
          <w:szCs w:val="22"/>
        </w:rPr>
        <w:t>L’intérêt de l’EIRL est double :</w:t>
      </w:r>
    </w:p>
    <w:p w:rsidR="00AF219C" w:rsidRPr="00803F96" w:rsidRDefault="00AF219C" w:rsidP="00AF219C">
      <w:pPr>
        <w:jc w:val="both"/>
        <w:rPr>
          <w:sz w:val="22"/>
          <w:szCs w:val="22"/>
        </w:rPr>
      </w:pPr>
      <w:r w:rsidRPr="00803F96">
        <w:rPr>
          <w:sz w:val="22"/>
          <w:szCs w:val="22"/>
        </w:rPr>
        <w:t xml:space="preserve">- </w:t>
      </w:r>
      <w:r w:rsidRPr="00803F96">
        <w:rPr>
          <w:iCs/>
          <w:sz w:val="22"/>
          <w:szCs w:val="22"/>
        </w:rPr>
        <w:t>tout entrepreneur peut affecter à son activité professionnelle un patrimoine séparé de son patrimoine personnel, sans création d’une personne morale ;</w:t>
      </w:r>
    </w:p>
    <w:p w:rsidR="00AF219C" w:rsidRPr="00803F96" w:rsidRDefault="00AF219C" w:rsidP="00AF219C">
      <w:pPr>
        <w:jc w:val="both"/>
        <w:rPr>
          <w:sz w:val="22"/>
          <w:szCs w:val="22"/>
        </w:rPr>
      </w:pPr>
      <w:r w:rsidRPr="00803F96">
        <w:rPr>
          <w:bCs/>
          <w:sz w:val="22"/>
          <w:szCs w:val="22"/>
        </w:rPr>
        <w:t>- elle permet à l’entrepreneur de protéger son «patrimoine privé» des actions des créanciers de l’entreprise.</w:t>
      </w:r>
    </w:p>
    <w:p w:rsidR="00AF219C" w:rsidRPr="00873EA2" w:rsidRDefault="00AF219C" w:rsidP="007E61CC">
      <w:pPr>
        <w:jc w:val="both"/>
        <w:rPr>
          <w:b/>
          <w:sz w:val="16"/>
          <w:szCs w:val="16"/>
        </w:rPr>
      </w:pPr>
    </w:p>
    <w:p w:rsidR="00AF219C" w:rsidRPr="00803F96" w:rsidRDefault="00803F96" w:rsidP="00803F96">
      <w:pPr>
        <w:jc w:val="both"/>
        <w:rPr>
          <w:b/>
          <w:sz w:val="22"/>
          <w:szCs w:val="22"/>
        </w:rPr>
      </w:pPr>
      <w:r>
        <w:rPr>
          <w:b/>
          <w:sz w:val="22"/>
          <w:szCs w:val="22"/>
        </w:rPr>
        <w:t xml:space="preserve">1.3. </w:t>
      </w:r>
      <w:r w:rsidR="00AF219C" w:rsidRPr="00803F96">
        <w:rPr>
          <w:b/>
          <w:sz w:val="22"/>
          <w:szCs w:val="22"/>
        </w:rPr>
        <w:t>Dans l’hypothèse où monsieur PULITZ ne règle pas un fournisseur professionnel, quels biens celui-ci peut-il saisir ?</w:t>
      </w:r>
    </w:p>
    <w:p w:rsidR="00AF219C" w:rsidRPr="00873EA2" w:rsidRDefault="00AF219C" w:rsidP="00AF219C">
      <w:pPr>
        <w:pStyle w:val="Titre"/>
        <w:jc w:val="left"/>
        <w:rPr>
          <w:b w:val="0"/>
          <w:sz w:val="16"/>
          <w:szCs w:val="16"/>
        </w:rPr>
      </w:pPr>
    </w:p>
    <w:p w:rsidR="00AF219C" w:rsidRPr="00803F96" w:rsidRDefault="00AF219C" w:rsidP="007E61CC">
      <w:pPr>
        <w:rPr>
          <w:sz w:val="22"/>
          <w:szCs w:val="22"/>
        </w:rPr>
      </w:pPr>
      <w:r w:rsidRPr="00803F96">
        <w:rPr>
          <w:sz w:val="22"/>
          <w:szCs w:val="22"/>
        </w:rPr>
        <w:t>Les biens affectés à l’activité professionnelle garantissent les dettes de l’activité professionnelle.</w:t>
      </w:r>
    </w:p>
    <w:p w:rsidR="007E61CC" w:rsidRPr="00873EA2" w:rsidRDefault="007E61CC" w:rsidP="00AF219C">
      <w:pPr>
        <w:rPr>
          <w:b/>
          <w:sz w:val="16"/>
          <w:szCs w:val="16"/>
        </w:rPr>
      </w:pPr>
    </w:p>
    <w:p w:rsidR="00AF219C" w:rsidRPr="00803F96" w:rsidRDefault="00AF219C" w:rsidP="00AF219C">
      <w:pPr>
        <w:rPr>
          <w:sz w:val="22"/>
          <w:szCs w:val="22"/>
        </w:rPr>
      </w:pPr>
      <w:r w:rsidRPr="00803F96">
        <w:rPr>
          <w:sz w:val="22"/>
          <w:szCs w:val="22"/>
        </w:rPr>
        <w:t>Les créanciers pourront saisir les biens que M. Pulitz aura affectés à son activité professionnelle.</w:t>
      </w:r>
    </w:p>
    <w:p w:rsidR="00AF219C" w:rsidRPr="00873EA2" w:rsidRDefault="00AF219C" w:rsidP="00AF219C">
      <w:pPr>
        <w:pStyle w:val="Titre"/>
        <w:jc w:val="left"/>
        <w:rPr>
          <w:b w:val="0"/>
          <w:sz w:val="16"/>
          <w:szCs w:val="16"/>
        </w:rPr>
      </w:pPr>
    </w:p>
    <w:p w:rsidR="00AF219C" w:rsidRPr="00803F96" w:rsidRDefault="00803F96" w:rsidP="00803F96">
      <w:pPr>
        <w:pStyle w:val="Retraitcorpsdetexte"/>
        <w:widowControl w:val="0"/>
        <w:autoSpaceDE w:val="0"/>
        <w:autoSpaceDN w:val="0"/>
        <w:adjustRightInd w:val="0"/>
        <w:ind w:left="0" w:firstLine="0"/>
        <w:rPr>
          <w:rFonts w:ascii="Times New Roman" w:hAnsi="Times New Roman"/>
          <w:b/>
          <w:sz w:val="22"/>
          <w:szCs w:val="22"/>
        </w:rPr>
      </w:pPr>
      <w:r>
        <w:rPr>
          <w:rFonts w:ascii="Times New Roman" w:hAnsi="Times New Roman"/>
          <w:b/>
          <w:sz w:val="22"/>
          <w:szCs w:val="22"/>
        </w:rPr>
        <w:t xml:space="preserve">1.4. </w:t>
      </w:r>
      <w:r w:rsidR="00AF219C" w:rsidRPr="00803F96">
        <w:rPr>
          <w:rFonts w:ascii="Times New Roman" w:hAnsi="Times New Roman"/>
          <w:b/>
          <w:sz w:val="22"/>
          <w:szCs w:val="22"/>
        </w:rPr>
        <w:t>Fondement de la responsabilité de l'École de plongée</w:t>
      </w:r>
    </w:p>
    <w:p w:rsidR="00AF219C" w:rsidRPr="00873EA2" w:rsidRDefault="00AF219C" w:rsidP="00AF219C">
      <w:pPr>
        <w:jc w:val="both"/>
        <w:rPr>
          <w:b/>
          <w:bCs/>
          <w:sz w:val="16"/>
          <w:szCs w:val="16"/>
        </w:rPr>
      </w:pPr>
    </w:p>
    <w:p w:rsidR="00AF219C" w:rsidRPr="00803F96" w:rsidRDefault="00AF219C" w:rsidP="00AF219C">
      <w:pPr>
        <w:jc w:val="both"/>
        <w:rPr>
          <w:bCs/>
          <w:sz w:val="22"/>
          <w:szCs w:val="22"/>
        </w:rPr>
      </w:pPr>
      <w:r w:rsidRPr="00803F96">
        <w:rPr>
          <w:bCs/>
          <w:sz w:val="22"/>
          <w:szCs w:val="22"/>
        </w:rPr>
        <w:t>La responsabilité civile vise à réparer un dommage occasionné à une victime.</w:t>
      </w:r>
      <w:r w:rsidR="007E61CC" w:rsidRPr="00803F96">
        <w:rPr>
          <w:bCs/>
          <w:sz w:val="22"/>
          <w:szCs w:val="22"/>
        </w:rPr>
        <w:t xml:space="preserve"> </w:t>
      </w:r>
      <w:r w:rsidRPr="00803F96">
        <w:rPr>
          <w:bCs/>
          <w:sz w:val="22"/>
          <w:szCs w:val="22"/>
        </w:rPr>
        <w:t xml:space="preserve">La victime peut engager la </w:t>
      </w:r>
      <w:r w:rsidR="00076E74">
        <w:rPr>
          <w:bCs/>
          <w:sz w:val="22"/>
          <w:szCs w:val="22"/>
        </w:rPr>
        <w:t>r</w:t>
      </w:r>
      <w:r w:rsidRPr="00803F96">
        <w:rPr>
          <w:bCs/>
          <w:sz w:val="22"/>
          <w:szCs w:val="22"/>
        </w:rPr>
        <w:t>esponsabilité civile délictuelle en cas de faute du débiteur. Elle peut engager la responsabilité civile contractuelle du débiteur en cas d’inexécution ou de mauvaise exécution du contrat.</w:t>
      </w:r>
    </w:p>
    <w:p w:rsidR="00AF219C" w:rsidRPr="00873EA2" w:rsidRDefault="00AF219C" w:rsidP="00AF219C">
      <w:pPr>
        <w:jc w:val="both"/>
        <w:rPr>
          <w:bCs/>
          <w:sz w:val="16"/>
          <w:szCs w:val="16"/>
        </w:rPr>
      </w:pPr>
    </w:p>
    <w:p w:rsidR="00AF219C" w:rsidRPr="00803F96" w:rsidRDefault="00AF219C" w:rsidP="00AF219C">
      <w:pPr>
        <w:jc w:val="both"/>
        <w:rPr>
          <w:sz w:val="22"/>
          <w:szCs w:val="22"/>
        </w:rPr>
      </w:pPr>
      <w:r w:rsidRPr="00803F96">
        <w:rPr>
          <w:sz w:val="22"/>
          <w:szCs w:val="22"/>
        </w:rPr>
        <w:t>Justin a conclu un contrat avec l’Ecole de plongée sous-marine d’Antibes et a été victime lors d’une séance de plongée d’un accident corporel. Il s’agit d’un cas de responsabilité civile contractuelle.</w:t>
      </w:r>
    </w:p>
    <w:p w:rsidR="00AF219C" w:rsidRPr="00873EA2" w:rsidRDefault="00AF219C" w:rsidP="00AF219C">
      <w:pPr>
        <w:jc w:val="both"/>
        <w:rPr>
          <w:sz w:val="16"/>
          <w:szCs w:val="16"/>
        </w:rPr>
      </w:pPr>
      <w:bookmarkStart w:id="0" w:name="_GoBack"/>
      <w:bookmarkEnd w:id="0"/>
    </w:p>
    <w:p w:rsidR="00AF219C" w:rsidRPr="00803F96" w:rsidRDefault="00AF219C" w:rsidP="00AF219C">
      <w:pPr>
        <w:jc w:val="both"/>
        <w:rPr>
          <w:sz w:val="22"/>
          <w:szCs w:val="22"/>
        </w:rPr>
      </w:pPr>
      <w:r w:rsidRPr="00803F96">
        <w:rPr>
          <w:b/>
          <w:sz w:val="22"/>
          <w:szCs w:val="22"/>
        </w:rPr>
        <w:t>1.5</w:t>
      </w:r>
      <w:r w:rsidR="00803F96">
        <w:rPr>
          <w:b/>
          <w:sz w:val="22"/>
          <w:szCs w:val="22"/>
        </w:rPr>
        <w:t>.</w:t>
      </w:r>
      <w:r w:rsidRPr="00803F96">
        <w:rPr>
          <w:b/>
          <w:sz w:val="22"/>
          <w:szCs w:val="22"/>
        </w:rPr>
        <w:t xml:space="preserve"> Obligation de l’École et conséquences</w:t>
      </w:r>
    </w:p>
    <w:p w:rsidR="00AF219C" w:rsidRPr="00873EA2" w:rsidRDefault="00AF219C" w:rsidP="00AF219C">
      <w:pPr>
        <w:jc w:val="both"/>
        <w:rPr>
          <w:sz w:val="16"/>
          <w:szCs w:val="16"/>
        </w:rPr>
      </w:pPr>
    </w:p>
    <w:p w:rsidR="00AF219C" w:rsidRPr="00803F96" w:rsidRDefault="00AF219C" w:rsidP="00AF219C">
      <w:pPr>
        <w:jc w:val="both"/>
        <w:rPr>
          <w:sz w:val="22"/>
          <w:szCs w:val="22"/>
        </w:rPr>
      </w:pPr>
      <w:r w:rsidRPr="00803F96">
        <w:rPr>
          <w:sz w:val="22"/>
          <w:szCs w:val="22"/>
        </w:rPr>
        <w:t>L’obligation de sécurité peut revêtir la qualification d’une oblig</w:t>
      </w:r>
      <w:r w:rsidR="007E61CC" w:rsidRPr="00803F96">
        <w:rPr>
          <w:sz w:val="22"/>
          <w:szCs w:val="22"/>
        </w:rPr>
        <w:t>ation de moyens ou de résultat :</w:t>
      </w:r>
    </w:p>
    <w:p w:rsidR="00AF219C" w:rsidRPr="00803F96" w:rsidRDefault="007E61CC" w:rsidP="00AF219C">
      <w:pPr>
        <w:jc w:val="both"/>
        <w:rPr>
          <w:bCs/>
          <w:sz w:val="22"/>
          <w:szCs w:val="22"/>
        </w:rPr>
      </w:pPr>
      <w:r w:rsidRPr="00803F96">
        <w:rPr>
          <w:bCs/>
          <w:sz w:val="22"/>
          <w:szCs w:val="22"/>
        </w:rPr>
        <w:t>- d</w:t>
      </w:r>
      <w:r w:rsidR="00AF219C" w:rsidRPr="00803F96">
        <w:rPr>
          <w:bCs/>
          <w:sz w:val="22"/>
          <w:szCs w:val="22"/>
        </w:rPr>
        <w:t>ans le cas d’une obligation de résultat, le débiteur s’engage à atteindre le résultat</w:t>
      </w:r>
      <w:r w:rsidRPr="00803F96">
        <w:rPr>
          <w:bCs/>
          <w:sz w:val="22"/>
          <w:szCs w:val="22"/>
        </w:rPr>
        <w:t> ;</w:t>
      </w:r>
    </w:p>
    <w:p w:rsidR="00AF219C" w:rsidRPr="00803F96" w:rsidRDefault="007E61CC" w:rsidP="00AF219C">
      <w:pPr>
        <w:jc w:val="both"/>
        <w:rPr>
          <w:sz w:val="22"/>
          <w:szCs w:val="22"/>
        </w:rPr>
      </w:pPr>
      <w:r w:rsidRPr="00803F96">
        <w:rPr>
          <w:bCs/>
          <w:sz w:val="22"/>
          <w:szCs w:val="22"/>
        </w:rPr>
        <w:t>- d</w:t>
      </w:r>
      <w:r w:rsidR="00AF219C" w:rsidRPr="00803F96">
        <w:rPr>
          <w:bCs/>
          <w:sz w:val="22"/>
          <w:szCs w:val="22"/>
        </w:rPr>
        <w:t>ans le cas d’une obligation de moyens il s’engage à mettre tous ses moyens en œuvre.</w:t>
      </w:r>
    </w:p>
    <w:p w:rsidR="007E61CC" w:rsidRPr="00873EA2" w:rsidRDefault="007E61CC" w:rsidP="00AF219C">
      <w:pPr>
        <w:jc w:val="both"/>
        <w:rPr>
          <w:sz w:val="16"/>
          <w:szCs w:val="16"/>
        </w:rPr>
      </w:pPr>
    </w:p>
    <w:p w:rsidR="00AF219C" w:rsidRPr="00803F96" w:rsidRDefault="00AF219C" w:rsidP="00AF219C">
      <w:pPr>
        <w:jc w:val="both"/>
        <w:rPr>
          <w:sz w:val="22"/>
          <w:szCs w:val="22"/>
        </w:rPr>
      </w:pPr>
      <w:r w:rsidRPr="00803F96">
        <w:rPr>
          <w:sz w:val="22"/>
          <w:szCs w:val="22"/>
        </w:rPr>
        <w:t xml:space="preserve">Selon la jurisprudence, ce qui permet de qualifier l’obligation est le </w:t>
      </w:r>
      <w:r w:rsidRPr="00803F96">
        <w:rPr>
          <w:bCs/>
          <w:sz w:val="22"/>
          <w:szCs w:val="22"/>
        </w:rPr>
        <w:t>rôle actif ou non du créancier</w:t>
      </w:r>
      <w:r w:rsidRPr="00803F96">
        <w:rPr>
          <w:sz w:val="22"/>
          <w:szCs w:val="22"/>
        </w:rPr>
        <w:t>. Si le créancier a un rôle actif, il s’agira d’une obligation de moyens, sinon de résultat.</w:t>
      </w:r>
    </w:p>
    <w:p w:rsidR="00AF219C" w:rsidRPr="00873EA2" w:rsidRDefault="00AF219C" w:rsidP="00AF219C">
      <w:pPr>
        <w:jc w:val="both"/>
        <w:rPr>
          <w:sz w:val="16"/>
          <w:szCs w:val="16"/>
        </w:rPr>
      </w:pPr>
    </w:p>
    <w:p w:rsidR="00AF219C" w:rsidRPr="00803F96" w:rsidRDefault="007E61CC" w:rsidP="00AF219C">
      <w:pPr>
        <w:jc w:val="both"/>
        <w:rPr>
          <w:sz w:val="22"/>
          <w:szCs w:val="22"/>
        </w:rPr>
      </w:pPr>
      <w:r w:rsidRPr="00803F96">
        <w:rPr>
          <w:sz w:val="22"/>
          <w:szCs w:val="22"/>
        </w:rPr>
        <w:t>I</w:t>
      </w:r>
      <w:r w:rsidR="00AF219C" w:rsidRPr="00803F96">
        <w:rPr>
          <w:sz w:val="22"/>
          <w:szCs w:val="22"/>
        </w:rPr>
        <w:t>l s’agit d’une activité sportive. Le créancier, à savoir Justin, a bien un rôle actif. L’obligation en cause est une obligation de moyens.</w:t>
      </w:r>
    </w:p>
    <w:p w:rsidR="00AF219C" w:rsidRPr="00873EA2" w:rsidRDefault="00AF219C" w:rsidP="00AF219C">
      <w:pPr>
        <w:jc w:val="both"/>
        <w:rPr>
          <w:sz w:val="16"/>
          <w:szCs w:val="16"/>
        </w:rPr>
      </w:pPr>
    </w:p>
    <w:p w:rsidR="007E61CC" w:rsidRPr="00803F96" w:rsidRDefault="00803F96" w:rsidP="00AF219C">
      <w:pPr>
        <w:jc w:val="both"/>
        <w:rPr>
          <w:sz w:val="22"/>
          <w:szCs w:val="22"/>
        </w:rPr>
      </w:pPr>
      <w:r>
        <w:rPr>
          <w:sz w:val="22"/>
          <w:szCs w:val="22"/>
        </w:rPr>
        <w:t xml:space="preserve">En conséquence </w:t>
      </w:r>
      <w:r w:rsidRPr="00803F96">
        <w:rPr>
          <w:sz w:val="22"/>
          <w:szCs w:val="22"/>
        </w:rPr>
        <w:t>pour M. Pulitz</w:t>
      </w:r>
      <w:r>
        <w:rPr>
          <w:sz w:val="22"/>
          <w:szCs w:val="22"/>
        </w:rPr>
        <w:t xml:space="preserve"> et d</w:t>
      </w:r>
      <w:r w:rsidR="00AF219C" w:rsidRPr="00803F96">
        <w:rPr>
          <w:sz w:val="22"/>
          <w:szCs w:val="22"/>
        </w:rPr>
        <w:t xml:space="preserve">ans le cas d’une obligation de moyens, </w:t>
      </w:r>
      <w:r w:rsidR="00AF219C" w:rsidRPr="00803F96">
        <w:rPr>
          <w:bCs/>
          <w:sz w:val="22"/>
          <w:szCs w:val="22"/>
        </w:rPr>
        <w:t>le créancier doit prouver, le dommage, le fait générateur, à savoir la non-mise en œuvre des moyens par le débiteur et le lien de causalité entre le dommage et le fait générateur</w:t>
      </w:r>
      <w:r>
        <w:rPr>
          <w:bCs/>
          <w:sz w:val="22"/>
          <w:szCs w:val="22"/>
        </w:rPr>
        <w:t>.</w:t>
      </w:r>
    </w:p>
    <w:p w:rsidR="00873EA2" w:rsidRPr="00873EA2" w:rsidRDefault="00873EA2" w:rsidP="00803F96">
      <w:pPr>
        <w:jc w:val="both"/>
        <w:rPr>
          <w:b/>
          <w:sz w:val="16"/>
          <w:szCs w:val="16"/>
        </w:rPr>
      </w:pPr>
    </w:p>
    <w:p w:rsidR="00AF219C" w:rsidRPr="00803F96" w:rsidRDefault="00AF219C" w:rsidP="00803F96">
      <w:pPr>
        <w:jc w:val="both"/>
        <w:rPr>
          <w:b/>
          <w:sz w:val="22"/>
          <w:szCs w:val="22"/>
        </w:rPr>
      </w:pPr>
      <w:r w:rsidRPr="00803F96">
        <w:rPr>
          <w:b/>
          <w:sz w:val="22"/>
          <w:szCs w:val="22"/>
        </w:rPr>
        <w:t>1.6</w:t>
      </w:r>
      <w:r w:rsidR="00803F96">
        <w:rPr>
          <w:b/>
          <w:sz w:val="22"/>
          <w:szCs w:val="22"/>
        </w:rPr>
        <w:t>.</w:t>
      </w:r>
      <w:r w:rsidRPr="00803F96">
        <w:rPr>
          <w:b/>
          <w:sz w:val="22"/>
          <w:szCs w:val="22"/>
        </w:rPr>
        <w:t xml:space="preserve"> </w:t>
      </w:r>
      <w:r w:rsidR="00803F96">
        <w:rPr>
          <w:b/>
          <w:sz w:val="22"/>
          <w:szCs w:val="22"/>
        </w:rPr>
        <w:t>Droit d’auteur</w:t>
      </w:r>
    </w:p>
    <w:p w:rsidR="00AF219C" w:rsidRPr="00873EA2" w:rsidRDefault="00AF219C" w:rsidP="00AF219C">
      <w:pPr>
        <w:jc w:val="both"/>
        <w:rPr>
          <w:b/>
          <w:sz w:val="16"/>
          <w:szCs w:val="16"/>
        </w:rPr>
      </w:pPr>
    </w:p>
    <w:p w:rsidR="00AF219C" w:rsidRDefault="00AF219C" w:rsidP="00AF219C">
      <w:pPr>
        <w:pStyle w:val="Corpsdetexte"/>
        <w:rPr>
          <w:sz w:val="22"/>
          <w:szCs w:val="22"/>
        </w:rPr>
      </w:pPr>
      <w:r w:rsidRPr="00803F96">
        <w:rPr>
          <w:sz w:val="22"/>
          <w:szCs w:val="22"/>
        </w:rPr>
        <w:t>Une œuvre de l’esprit correspond à une création intellectuelle, à savoir :</w:t>
      </w:r>
    </w:p>
    <w:p w:rsidR="00AF219C" w:rsidRDefault="00803F96" w:rsidP="00803F96">
      <w:pPr>
        <w:pStyle w:val="Corpsdetexte"/>
        <w:rPr>
          <w:bCs/>
          <w:sz w:val="22"/>
          <w:szCs w:val="22"/>
        </w:rPr>
      </w:pPr>
      <w:r>
        <w:rPr>
          <w:sz w:val="22"/>
          <w:szCs w:val="22"/>
        </w:rPr>
        <w:t xml:space="preserve">- </w:t>
      </w:r>
      <w:r w:rsidR="00AF219C" w:rsidRPr="00803F96">
        <w:rPr>
          <w:bCs/>
          <w:sz w:val="22"/>
          <w:szCs w:val="22"/>
        </w:rPr>
        <w:t>une création faite consciemment par une personne physique et modifiant le réel ;</w:t>
      </w:r>
    </w:p>
    <w:p w:rsidR="00AF219C" w:rsidRPr="00803F96" w:rsidRDefault="00803F96" w:rsidP="00803F96">
      <w:pPr>
        <w:pStyle w:val="Corpsdetexte"/>
        <w:rPr>
          <w:sz w:val="22"/>
          <w:szCs w:val="22"/>
        </w:rPr>
      </w:pPr>
      <w:r>
        <w:rPr>
          <w:bCs/>
          <w:sz w:val="22"/>
          <w:szCs w:val="22"/>
        </w:rPr>
        <w:t xml:space="preserve">- </w:t>
      </w:r>
      <w:r w:rsidR="00AF219C" w:rsidRPr="00803F96">
        <w:rPr>
          <w:bCs/>
          <w:sz w:val="22"/>
          <w:szCs w:val="22"/>
        </w:rPr>
        <w:t>une création présentant deux qualités : la forme ou le support qui permet à l’auteur de communiquer son œuvre au public et l’originalité de l’œuvre.</w:t>
      </w:r>
    </w:p>
    <w:p w:rsidR="00AF219C" w:rsidRPr="00873EA2" w:rsidRDefault="00AF219C" w:rsidP="00873EA2">
      <w:pPr>
        <w:jc w:val="both"/>
        <w:rPr>
          <w:sz w:val="16"/>
          <w:szCs w:val="16"/>
        </w:rPr>
      </w:pPr>
    </w:p>
    <w:p w:rsidR="00AF219C" w:rsidRPr="00803F96" w:rsidRDefault="00803F96" w:rsidP="00AF219C">
      <w:pPr>
        <w:jc w:val="both"/>
        <w:rPr>
          <w:sz w:val="22"/>
          <w:szCs w:val="22"/>
        </w:rPr>
      </w:pPr>
      <w:r w:rsidRPr="00803F96">
        <w:rPr>
          <w:sz w:val="22"/>
          <w:szCs w:val="22"/>
        </w:rPr>
        <w:t>Le tableau intitulé «</w:t>
      </w:r>
      <w:r w:rsidR="00AF219C" w:rsidRPr="00803F96">
        <w:rPr>
          <w:sz w:val="22"/>
          <w:szCs w:val="22"/>
        </w:rPr>
        <w:t>Moi dans la jungle de Bornéo» respecte les critères permettant de le qualifier œuvre de l’esprit.</w:t>
      </w:r>
    </w:p>
    <w:p w:rsidR="00AF219C" w:rsidRPr="00803F96" w:rsidRDefault="00873EA2" w:rsidP="00AF219C">
      <w:pPr>
        <w:jc w:val="both"/>
        <w:rPr>
          <w:b/>
          <w:sz w:val="22"/>
          <w:szCs w:val="22"/>
        </w:rPr>
      </w:pPr>
      <w:r>
        <w:rPr>
          <w:sz w:val="16"/>
          <w:szCs w:val="16"/>
        </w:rPr>
        <w:br w:type="page"/>
      </w:r>
      <w:r w:rsidR="00803F96">
        <w:rPr>
          <w:b/>
          <w:sz w:val="22"/>
          <w:szCs w:val="22"/>
        </w:rPr>
        <w:lastRenderedPageBreak/>
        <w:t>1.7. L’action de Lucienne</w:t>
      </w:r>
    </w:p>
    <w:p w:rsidR="00AF219C" w:rsidRPr="00873EA2" w:rsidRDefault="00AF219C" w:rsidP="00AF219C">
      <w:pPr>
        <w:jc w:val="both"/>
        <w:rPr>
          <w:sz w:val="16"/>
          <w:szCs w:val="16"/>
        </w:rPr>
      </w:pPr>
    </w:p>
    <w:p w:rsidR="00AF219C" w:rsidRPr="00A37B7A" w:rsidRDefault="00AF219C" w:rsidP="00AF219C">
      <w:pPr>
        <w:jc w:val="both"/>
        <w:rPr>
          <w:sz w:val="22"/>
          <w:szCs w:val="22"/>
        </w:rPr>
      </w:pPr>
      <w:r w:rsidRPr="00A37B7A">
        <w:rPr>
          <w:sz w:val="22"/>
          <w:szCs w:val="22"/>
        </w:rPr>
        <w:t>La saisie contrefaçon</w:t>
      </w:r>
      <w:r w:rsidR="00803F96" w:rsidRPr="00A37B7A">
        <w:rPr>
          <w:sz w:val="22"/>
          <w:szCs w:val="22"/>
        </w:rPr>
        <w:t xml:space="preserve"> </w:t>
      </w:r>
      <w:r w:rsidR="002417CA">
        <w:rPr>
          <w:sz w:val="22"/>
          <w:szCs w:val="22"/>
        </w:rPr>
        <w:t>o</w:t>
      </w:r>
      <w:r w:rsidRPr="00A37B7A">
        <w:rPr>
          <w:sz w:val="22"/>
          <w:szCs w:val="22"/>
        </w:rPr>
        <w:t xml:space="preserve">ffre à l’auteur d’une œuvre protégée </w:t>
      </w:r>
      <w:r w:rsidR="002417CA">
        <w:rPr>
          <w:sz w:val="22"/>
          <w:szCs w:val="22"/>
        </w:rPr>
        <w:t xml:space="preserve">la preuve de la contrefaçon </w:t>
      </w:r>
      <w:r w:rsidRPr="00A37B7A">
        <w:rPr>
          <w:sz w:val="22"/>
          <w:szCs w:val="22"/>
        </w:rPr>
        <w:t>et permet la cessation de toute reproduction ou représentation illicite de l’œuvre.</w:t>
      </w:r>
    </w:p>
    <w:p w:rsidR="00803F96" w:rsidRPr="00873EA2" w:rsidRDefault="00803F96" w:rsidP="00AF219C">
      <w:pPr>
        <w:jc w:val="both"/>
        <w:rPr>
          <w:sz w:val="16"/>
          <w:szCs w:val="16"/>
        </w:rPr>
      </w:pPr>
    </w:p>
    <w:p w:rsidR="00AF219C" w:rsidRPr="00A37B7A" w:rsidRDefault="00AF219C" w:rsidP="00AF219C">
      <w:pPr>
        <w:jc w:val="both"/>
        <w:rPr>
          <w:sz w:val="22"/>
          <w:szCs w:val="22"/>
        </w:rPr>
      </w:pPr>
      <w:r w:rsidRPr="00A37B7A">
        <w:rPr>
          <w:sz w:val="22"/>
          <w:szCs w:val="22"/>
        </w:rPr>
        <w:t>L’action en contrefaçon</w:t>
      </w:r>
      <w:r w:rsidR="00803F96" w:rsidRPr="00A37B7A">
        <w:rPr>
          <w:sz w:val="22"/>
          <w:szCs w:val="22"/>
        </w:rPr>
        <w:t xml:space="preserve"> p</w:t>
      </w:r>
      <w:r w:rsidRPr="00A37B7A">
        <w:rPr>
          <w:sz w:val="22"/>
          <w:szCs w:val="22"/>
        </w:rPr>
        <w:t>ermet de préserver le droit de propriété intellectuelle et de réparer le préjudice causé par l’atteinte à ce droit.</w:t>
      </w:r>
    </w:p>
    <w:p w:rsidR="00AF219C" w:rsidRPr="00873EA2" w:rsidRDefault="00AF219C" w:rsidP="00AF219C">
      <w:pPr>
        <w:jc w:val="both"/>
        <w:rPr>
          <w:sz w:val="16"/>
          <w:szCs w:val="16"/>
        </w:rPr>
      </w:pPr>
    </w:p>
    <w:p w:rsidR="00A37B7A" w:rsidRPr="00873EA2" w:rsidRDefault="00A37B7A" w:rsidP="00C97CEC">
      <w:pPr>
        <w:pBdr>
          <w:top w:val="single" w:sz="4" w:space="1" w:color="auto"/>
          <w:left w:val="single" w:sz="4" w:space="4" w:color="auto"/>
          <w:bottom w:val="single" w:sz="4" w:space="1" w:color="auto"/>
          <w:right w:val="single" w:sz="4" w:space="6" w:color="auto"/>
        </w:pBdr>
        <w:shd w:val="clear" w:color="auto" w:fill="E0E0E0"/>
        <w:ind w:right="85"/>
        <w:jc w:val="center"/>
        <w:rPr>
          <w:b/>
          <w:bCs/>
          <w:sz w:val="16"/>
          <w:szCs w:val="16"/>
        </w:rPr>
      </w:pPr>
    </w:p>
    <w:p w:rsidR="00A37B7A" w:rsidRDefault="00A37B7A" w:rsidP="00C97CEC">
      <w:pPr>
        <w:pBdr>
          <w:top w:val="single" w:sz="4" w:space="1" w:color="auto"/>
          <w:left w:val="single" w:sz="4" w:space="4" w:color="auto"/>
          <w:bottom w:val="single" w:sz="4" w:space="1" w:color="auto"/>
          <w:right w:val="single" w:sz="4" w:space="6" w:color="auto"/>
        </w:pBdr>
        <w:shd w:val="clear" w:color="auto" w:fill="E0E0E0"/>
        <w:ind w:right="85"/>
        <w:jc w:val="center"/>
        <w:rPr>
          <w:b/>
          <w:bCs/>
          <w:sz w:val="22"/>
          <w:szCs w:val="22"/>
        </w:rPr>
      </w:pPr>
      <w:r w:rsidRPr="00A37B7A">
        <w:rPr>
          <w:b/>
          <w:bCs/>
          <w:sz w:val="22"/>
          <w:szCs w:val="22"/>
        </w:rPr>
        <w:t>DOSSIER 2 – CO</w:t>
      </w:r>
      <w:r>
        <w:rPr>
          <w:b/>
          <w:bCs/>
          <w:sz w:val="22"/>
          <w:szCs w:val="22"/>
        </w:rPr>
        <w:t>MMENTAIRE DE DOCUMENT</w:t>
      </w:r>
    </w:p>
    <w:p w:rsidR="00A37B7A" w:rsidRPr="00873EA2" w:rsidRDefault="00A37B7A" w:rsidP="00C97CEC">
      <w:pPr>
        <w:pBdr>
          <w:top w:val="single" w:sz="4" w:space="1" w:color="auto"/>
          <w:left w:val="single" w:sz="4" w:space="4" w:color="auto"/>
          <w:bottom w:val="single" w:sz="4" w:space="1" w:color="auto"/>
          <w:right w:val="single" w:sz="4" w:space="6" w:color="auto"/>
        </w:pBdr>
        <w:shd w:val="clear" w:color="auto" w:fill="E0E0E0"/>
        <w:ind w:right="85"/>
        <w:jc w:val="center"/>
        <w:rPr>
          <w:b/>
          <w:bCs/>
          <w:sz w:val="16"/>
          <w:szCs w:val="16"/>
        </w:rPr>
      </w:pPr>
    </w:p>
    <w:p w:rsidR="00A37B7A" w:rsidRPr="00873EA2" w:rsidRDefault="00A37B7A" w:rsidP="00A37B7A">
      <w:pPr>
        <w:shd w:val="clear" w:color="auto" w:fill="FFFFFF"/>
        <w:ind w:right="567"/>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85"/>
      </w:tblGrid>
      <w:tr w:rsidR="00114A40" w:rsidRPr="00514E8A" w:rsidTr="00514E8A">
        <w:trPr>
          <w:jc w:val="center"/>
        </w:trPr>
        <w:tc>
          <w:tcPr>
            <w:tcW w:w="2235" w:type="dxa"/>
            <w:vMerge w:val="restart"/>
            <w:vAlign w:val="center"/>
          </w:tcPr>
          <w:p w:rsidR="00114A40" w:rsidRPr="00514E8A" w:rsidRDefault="00114A40" w:rsidP="00114A40">
            <w:pPr>
              <w:rPr>
                <w:b/>
              </w:rPr>
            </w:pPr>
            <w:r w:rsidRPr="00514E8A">
              <w:rPr>
                <w:b/>
                <w:sz w:val="22"/>
                <w:szCs w:val="22"/>
              </w:rPr>
              <w:t>2.1. Identifiez les parties. Exposez les faits et la procédure.</w:t>
            </w:r>
          </w:p>
        </w:tc>
        <w:tc>
          <w:tcPr>
            <w:tcW w:w="8185" w:type="dxa"/>
            <w:tcBorders>
              <w:bottom w:val="single" w:sz="4" w:space="0" w:color="auto"/>
            </w:tcBorders>
            <w:vAlign w:val="center"/>
          </w:tcPr>
          <w:p w:rsidR="00114A40" w:rsidRPr="00514E8A" w:rsidRDefault="00114A40" w:rsidP="00514E8A">
            <w:pPr>
              <w:jc w:val="both"/>
              <w:rPr>
                <w:b/>
                <w:sz w:val="22"/>
                <w:szCs w:val="22"/>
              </w:rPr>
            </w:pPr>
            <w:r w:rsidRPr="00514E8A">
              <w:rPr>
                <w:b/>
                <w:sz w:val="22"/>
                <w:szCs w:val="22"/>
              </w:rPr>
              <w:t>Les parties :</w:t>
            </w:r>
          </w:p>
          <w:p w:rsidR="00C97CEC" w:rsidRPr="00514E8A" w:rsidRDefault="00C97CEC" w:rsidP="00514E8A">
            <w:pPr>
              <w:jc w:val="both"/>
              <w:rPr>
                <w:sz w:val="22"/>
                <w:szCs w:val="22"/>
              </w:rPr>
            </w:pPr>
            <w:r w:rsidRPr="00514E8A">
              <w:rPr>
                <w:sz w:val="22"/>
                <w:szCs w:val="22"/>
              </w:rPr>
              <w:t>- l</w:t>
            </w:r>
            <w:r w:rsidR="00114A40" w:rsidRPr="00514E8A">
              <w:rPr>
                <w:sz w:val="22"/>
                <w:szCs w:val="22"/>
              </w:rPr>
              <w:t>es époux X, consommateurs</w:t>
            </w:r>
            <w:r w:rsidRPr="00514E8A">
              <w:rPr>
                <w:sz w:val="22"/>
                <w:szCs w:val="22"/>
              </w:rPr>
              <w:t> ;</w:t>
            </w:r>
          </w:p>
          <w:p w:rsidR="00C97CEC" w:rsidRPr="00514E8A" w:rsidRDefault="00C97CEC" w:rsidP="00514E8A">
            <w:pPr>
              <w:jc w:val="both"/>
              <w:rPr>
                <w:sz w:val="22"/>
                <w:szCs w:val="22"/>
              </w:rPr>
            </w:pPr>
            <w:r w:rsidRPr="00514E8A">
              <w:rPr>
                <w:sz w:val="22"/>
                <w:szCs w:val="22"/>
              </w:rPr>
              <w:t>-</w:t>
            </w:r>
            <w:r w:rsidR="00114A40" w:rsidRPr="00514E8A">
              <w:rPr>
                <w:sz w:val="22"/>
                <w:szCs w:val="22"/>
              </w:rPr>
              <w:t xml:space="preserve"> la société ATC, professionnel</w:t>
            </w:r>
            <w:r w:rsidRPr="00514E8A">
              <w:rPr>
                <w:sz w:val="22"/>
                <w:szCs w:val="22"/>
              </w:rPr>
              <w:t> ;</w:t>
            </w:r>
          </w:p>
          <w:p w:rsidR="00114A40" w:rsidRPr="00514E8A" w:rsidRDefault="00C97CEC" w:rsidP="00514E8A">
            <w:pPr>
              <w:jc w:val="both"/>
              <w:rPr>
                <w:b/>
              </w:rPr>
            </w:pPr>
            <w:r w:rsidRPr="00514E8A">
              <w:rPr>
                <w:sz w:val="22"/>
                <w:szCs w:val="22"/>
              </w:rPr>
              <w:t xml:space="preserve">- </w:t>
            </w:r>
            <w:r w:rsidR="00114A40" w:rsidRPr="00514E8A">
              <w:rPr>
                <w:sz w:val="22"/>
                <w:szCs w:val="22"/>
              </w:rPr>
              <w:t>et</w:t>
            </w:r>
            <w:r w:rsidRPr="00514E8A">
              <w:rPr>
                <w:sz w:val="22"/>
                <w:szCs w:val="22"/>
              </w:rPr>
              <w:t>,</w:t>
            </w:r>
            <w:r w:rsidR="00114A40" w:rsidRPr="00514E8A">
              <w:rPr>
                <w:sz w:val="22"/>
                <w:szCs w:val="22"/>
              </w:rPr>
              <w:t xml:space="preserve"> la société d’assurances Generali</w:t>
            </w:r>
            <w:r w:rsidRPr="00514E8A">
              <w:rPr>
                <w:sz w:val="22"/>
                <w:szCs w:val="22"/>
              </w:rPr>
              <w:t>.</w:t>
            </w:r>
          </w:p>
        </w:tc>
      </w:tr>
      <w:tr w:rsidR="00114A40" w:rsidRPr="00514E8A" w:rsidTr="00514E8A">
        <w:trPr>
          <w:jc w:val="center"/>
        </w:trPr>
        <w:tc>
          <w:tcPr>
            <w:tcW w:w="2235" w:type="dxa"/>
            <w:vMerge/>
            <w:vAlign w:val="center"/>
          </w:tcPr>
          <w:p w:rsidR="00114A40" w:rsidRPr="00514E8A" w:rsidRDefault="00114A40" w:rsidP="00514E8A">
            <w:pPr>
              <w:ind w:right="567"/>
              <w:rPr>
                <w:b/>
              </w:rPr>
            </w:pPr>
          </w:p>
        </w:tc>
        <w:tc>
          <w:tcPr>
            <w:tcW w:w="8185" w:type="dxa"/>
            <w:shd w:val="clear" w:color="auto" w:fill="D9D9D9"/>
            <w:vAlign w:val="center"/>
          </w:tcPr>
          <w:p w:rsidR="00114A40" w:rsidRPr="00873EA2" w:rsidRDefault="00114A40" w:rsidP="00514E8A">
            <w:pPr>
              <w:jc w:val="both"/>
              <w:rPr>
                <w:b/>
                <w:sz w:val="10"/>
                <w:szCs w:val="10"/>
              </w:rPr>
            </w:pPr>
          </w:p>
        </w:tc>
      </w:tr>
      <w:tr w:rsidR="00114A40" w:rsidRPr="00514E8A" w:rsidTr="00514E8A">
        <w:trPr>
          <w:jc w:val="center"/>
        </w:trPr>
        <w:tc>
          <w:tcPr>
            <w:tcW w:w="2235" w:type="dxa"/>
            <w:vMerge/>
            <w:vAlign w:val="center"/>
          </w:tcPr>
          <w:p w:rsidR="00114A40" w:rsidRPr="00514E8A" w:rsidRDefault="00114A40" w:rsidP="00514E8A">
            <w:pPr>
              <w:ind w:right="567"/>
              <w:rPr>
                <w:b/>
              </w:rPr>
            </w:pPr>
          </w:p>
        </w:tc>
        <w:tc>
          <w:tcPr>
            <w:tcW w:w="8185" w:type="dxa"/>
            <w:tcBorders>
              <w:bottom w:val="single" w:sz="4" w:space="0" w:color="auto"/>
            </w:tcBorders>
            <w:vAlign w:val="center"/>
          </w:tcPr>
          <w:p w:rsidR="00114A40" w:rsidRPr="00514E8A" w:rsidRDefault="00114A40" w:rsidP="00514E8A">
            <w:pPr>
              <w:jc w:val="both"/>
              <w:rPr>
                <w:b/>
                <w:sz w:val="22"/>
                <w:szCs w:val="22"/>
              </w:rPr>
            </w:pPr>
            <w:r w:rsidRPr="00514E8A">
              <w:rPr>
                <w:b/>
                <w:sz w:val="22"/>
                <w:szCs w:val="22"/>
              </w:rPr>
              <w:t>Les faits principaux sont :</w:t>
            </w:r>
          </w:p>
          <w:p w:rsidR="00114A40" w:rsidRPr="00514E8A" w:rsidRDefault="00C97CEC" w:rsidP="00514E8A">
            <w:pPr>
              <w:jc w:val="both"/>
              <w:rPr>
                <w:sz w:val="22"/>
                <w:szCs w:val="22"/>
              </w:rPr>
            </w:pPr>
            <w:r w:rsidRPr="00514E8A">
              <w:rPr>
                <w:sz w:val="22"/>
                <w:szCs w:val="22"/>
              </w:rPr>
              <w:t>-</w:t>
            </w:r>
            <w:r w:rsidR="00114A40" w:rsidRPr="00514E8A">
              <w:rPr>
                <w:sz w:val="22"/>
                <w:szCs w:val="22"/>
              </w:rPr>
              <w:t xml:space="preserve"> </w:t>
            </w:r>
            <w:r w:rsidRPr="00514E8A">
              <w:rPr>
                <w:sz w:val="22"/>
                <w:szCs w:val="22"/>
              </w:rPr>
              <w:t>d</w:t>
            </w:r>
            <w:r w:rsidR="00114A40" w:rsidRPr="00514E8A">
              <w:rPr>
                <w:sz w:val="22"/>
                <w:szCs w:val="22"/>
              </w:rPr>
              <w:t>es achats de lots de carrelage ;</w:t>
            </w:r>
          </w:p>
          <w:p w:rsidR="00114A40" w:rsidRPr="00514E8A" w:rsidRDefault="00C97CEC" w:rsidP="00514E8A">
            <w:pPr>
              <w:jc w:val="both"/>
              <w:rPr>
                <w:sz w:val="22"/>
                <w:szCs w:val="22"/>
              </w:rPr>
            </w:pPr>
            <w:r w:rsidRPr="00514E8A">
              <w:rPr>
                <w:sz w:val="22"/>
                <w:szCs w:val="22"/>
              </w:rPr>
              <w:t>- u</w:t>
            </w:r>
            <w:r w:rsidR="00114A40" w:rsidRPr="00514E8A">
              <w:rPr>
                <w:sz w:val="22"/>
                <w:szCs w:val="22"/>
              </w:rPr>
              <w:t>ne désagrégation des carreaux autour de la piscine et remplacement partiel de ceux-ci ;</w:t>
            </w:r>
          </w:p>
          <w:p w:rsidR="00114A40" w:rsidRPr="00514E8A" w:rsidRDefault="00C97CEC" w:rsidP="00514E8A">
            <w:pPr>
              <w:jc w:val="both"/>
              <w:rPr>
                <w:b/>
              </w:rPr>
            </w:pPr>
            <w:r w:rsidRPr="00514E8A">
              <w:rPr>
                <w:sz w:val="22"/>
                <w:szCs w:val="22"/>
              </w:rPr>
              <w:t>- l</w:t>
            </w:r>
            <w:r w:rsidR="00114A40" w:rsidRPr="00514E8A">
              <w:rPr>
                <w:sz w:val="22"/>
                <w:szCs w:val="22"/>
              </w:rPr>
              <w:t>a persistance du phénomène et désignation d’un expert qui diagnostique une incompatibilité</w:t>
            </w:r>
            <w:r w:rsidRPr="00514E8A">
              <w:rPr>
                <w:sz w:val="22"/>
                <w:szCs w:val="22"/>
              </w:rPr>
              <w:t xml:space="preserve"> </w:t>
            </w:r>
            <w:r w:rsidR="00114A40" w:rsidRPr="00514E8A">
              <w:rPr>
                <w:sz w:val="22"/>
                <w:szCs w:val="22"/>
              </w:rPr>
              <w:t>entre la terre cuite et le traitement de l’eau de la piscine.</w:t>
            </w:r>
          </w:p>
        </w:tc>
      </w:tr>
      <w:tr w:rsidR="00114A40" w:rsidRPr="00514E8A" w:rsidTr="00514E8A">
        <w:trPr>
          <w:jc w:val="center"/>
        </w:trPr>
        <w:tc>
          <w:tcPr>
            <w:tcW w:w="2235" w:type="dxa"/>
            <w:vMerge/>
            <w:vAlign w:val="center"/>
          </w:tcPr>
          <w:p w:rsidR="00114A40" w:rsidRPr="00514E8A" w:rsidRDefault="00114A40" w:rsidP="00514E8A">
            <w:pPr>
              <w:ind w:right="567"/>
              <w:rPr>
                <w:b/>
              </w:rPr>
            </w:pPr>
          </w:p>
        </w:tc>
        <w:tc>
          <w:tcPr>
            <w:tcW w:w="8185" w:type="dxa"/>
            <w:shd w:val="clear" w:color="auto" w:fill="D9D9D9"/>
            <w:vAlign w:val="center"/>
          </w:tcPr>
          <w:p w:rsidR="00114A40" w:rsidRPr="00873EA2" w:rsidRDefault="00114A40" w:rsidP="00514E8A">
            <w:pPr>
              <w:ind w:right="567"/>
              <w:rPr>
                <w:b/>
                <w:sz w:val="10"/>
                <w:szCs w:val="10"/>
              </w:rPr>
            </w:pPr>
          </w:p>
        </w:tc>
      </w:tr>
      <w:tr w:rsidR="00114A40" w:rsidRPr="00514E8A" w:rsidTr="00514E8A">
        <w:trPr>
          <w:jc w:val="center"/>
        </w:trPr>
        <w:tc>
          <w:tcPr>
            <w:tcW w:w="2235" w:type="dxa"/>
            <w:vMerge/>
            <w:tcBorders>
              <w:bottom w:val="single" w:sz="4" w:space="0" w:color="auto"/>
            </w:tcBorders>
            <w:vAlign w:val="center"/>
          </w:tcPr>
          <w:p w:rsidR="00114A40" w:rsidRPr="00514E8A" w:rsidRDefault="00114A40" w:rsidP="00514E8A">
            <w:pPr>
              <w:ind w:right="567"/>
              <w:rPr>
                <w:b/>
              </w:rPr>
            </w:pPr>
          </w:p>
        </w:tc>
        <w:tc>
          <w:tcPr>
            <w:tcW w:w="8185" w:type="dxa"/>
            <w:tcBorders>
              <w:bottom w:val="single" w:sz="4" w:space="0" w:color="auto"/>
            </w:tcBorders>
            <w:vAlign w:val="center"/>
          </w:tcPr>
          <w:p w:rsidR="00114A40" w:rsidRPr="00514E8A" w:rsidRDefault="00114A40" w:rsidP="00514E8A">
            <w:pPr>
              <w:jc w:val="both"/>
              <w:rPr>
                <w:b/>
                <w:sz w:val="22"/>
                <w:szCs w:val="22"/>
              </w:rPr>
            </w:pPr>
            <w:r w:rsidRPr="00514E8A">
              <w:rPr>
                <w:b/>
                <w:sz w:val="22"/>
                <w:szCs w:val="22"/>
              </w:rPr>
              <w:t>La procédure :</w:t>
            </w:r>
          </w:p>
          <w:p w:rsidR="00114A40" w:rsidRPr="00514E8A" w:rsidRDefault="00C97CEC" w:rsidP="00514E8A">
            <w:pPr>
              <w:jc w:val="both"/>
              <w:rPr>
                <w:sz w:val="22"/>
                <w:szCs w:val="22"/>
              </w:rPr>
            </w:pPr>
            <w:r w:rsidRPr="00514E8A">
              <w:rPr>
                <w:sz w:val="22"/>
                <w:szCs w:val="22"/>
              </w:rPr>
              <w:t>- l</w:t>
            </w:r>
            <w:r w:rsidR="00114A40" w:rsidRPr="00514E8A">
              <w:rPr>
                <w:sz w:val="22"/>
                <w:szCs w:val="22"/>
              </w:rPr>
              <w:t>es demandeurs sont les époux X et les défendeurs la société ATC et la société Generali. Le TGI est compétent</w:t>
            </w:r>
            <w:r w:rsidRPr="00514E8A">
              <w:rPr>
                <w:sz w:val="22"/>
                <w:szCs w:val="22"/>
              </w:rPr>
              <w:t> ;</w:t>
            </w:r>
          </w:p>
          <w:p w:rsidR="00114A40" w:rsidRPr="00514E8A" w:rsidRDefault="00C97CEC" w:rsidP="00514E8A">
            <w:pPr>
              <w:jc w:val="both"/>
              <w:rPr>
                <w:sz w:val="22"/>
                <w:szCs w:val="22"/>
              </w:rPr>
            </w:pPr>
            <w:r w:rsidRPr="00514E8A">
              <w:rPr>
                <w:sz w:val="22"/>
                <w:szCs w:val="22"/>
              </w:rPr>
              <w:t>- d</w:t>
            </w:r>
            <w:r w:rsidR="00114A40" w:rsidRPr="00514E8A">
              <w:rPr>
                <w:sz w:val="22"/>
                <w:szCs w:val="22"/>
              </w:rPr>
              <w:t>evant la cour d’appel les époux X sont les appelants et la société ATC et la société Generali sont les intimés. L</w:t>
            </w:r>
            <w:r w:rsidRPr="00514E8A">
              <w:rPr>
                <w:sz w:val="22"/>
                <w:szCs w:val="22"/>
              </w:rPr>
              <w:t>a demande des époux est rejetée ;</w:t>
            </w:r>
          </w:p>
          <w:p w:rsidR="00114A40" w:rsidRPr="00514E8A" w:rsidRDefault="00C97CEC" w:rsidP="00514E8A">
            <w:pPr>
              <w:jc w:val="both"/>
              <w:rPr>
                <w:b/>
              </w:rPr>
            </w:pPr>
            <w:r w:rsidRPr="00514E8A">
              <w:rPr>
                <w:sz w:val="22"/>
                <w:szCs w:val="22"/>
              </w:rPr>
              <w:t>- d</w:t>
            </w:r>
            <w:r w:rsidR="00114A40" w:rsidRPr="00514E8A">
              <w:rPr>
                <w:sz w:val="22"/>
                <w:szCs w:val="22"/>
              </w:rPr>
              <w:t xml:space="preserve">evant </w:t>
            </w:r>
            <w:smartTag w:uri="urn:schemas-microsoft-com:office:smarttags" w:element="PersonName">
              <w:smartTagPr>
                <w:attr w:name="ProductID" w:val="la Cour"/>
              </w:smartTagPr>
              <w:r w:rsidR="00114A40" w:rsidRPr="00514E8A">
                <w:rPr>
                  <w:sz w:val="22"/>
                  <w:szCs w:val="22"/>
                </w:rPr>
                <w:t>la Cour</w:t>
              </w:r>
            </w:smartTag>
            <w:r w:rsidR="00114A40" w:rsidRPr="00514E8A">
              <w:rPr>
                <w:sz w:val="22"/>
                <w:szCs w:val="22"/>
              </w:rPr>
              <w:t xml:space="preserve"> de cassation, les demandeurs au pourvoi sont les époux X et les défendeurs au pourvoi la société ATC et la société Generali. Il s’agit d’un arrêt de cassation.</w:t>
            </w:r>
          </w:p>
        </w:tc>
      </w:tr>
      <w:tr w:rsidR="00C97CEC" w:rsidRPr="00514E8A" w:rsidTr="00514E8A">
        <w:trPr>
          <w:jc w:val="center"/>
        </w:trPr>
        <w:tc>
          <w:tcPr>
            <w:tcW w:w="2235" w:type="dxa"/>
            <w:shd w:val="clear" w:color="auto" w:fill="D9D9D9"/>
          </w:tcPr>
          <w:p w:rsidR="00C97CEC" w:rsidRPr="00873EA2" w:rsidRDefault="00C97CEC" w:rsidP="00C97CEC">
            <w:pPr>
              <w:rPr>
                <w:b/>
                <w:sz w:val="10"/>
                <w:szCs w:val="10"/>
              </w:rPr>
            </w:pPr>
          </w:p>
        </w:tc>
        <w:tc>
          <w:tcPr>
            <w:tcW w:w="8185" w:type="dxa"/>
            <w:shd w:val="clear" w:color="auto" w:fill="D9D9D9"/>
          </w:tcPr>
          <w:p w:rsidR="00C97CEC" w:rsidRPr="00873EA2" w:rsidRDefault="00C97CEC" w:rsidP="00514E8A">
            <w:pPr>
              <w:ind w:right="567"/>
              <w:rPr>
                <w:b/>
                <w:sz w:val="10"/>
                <w:szCs w:val="10"/>
              </w:rPr>
            </w:pPr>
          </w:p>
        </w:tc>
      </w:tr>
      <w:tr w:rsidR="00114A40" w:rsidRPr="00514E8A" w:rsidTr="00514E8A">
        <w:trPr>
          <w:jc w:val="center"/>
        </w:trPr>
        <w:tc>
          <w:tcPr>
            <w:tcW w:w="2235" w:type="dxa"/>
            <w:tcBorders>
              <w:bottom w:val="single" w:sz="4" w:space="0" w:color="auto"/>
            </w:tcBorders>
            <w:vAlign w:val="center"/>
          </w:tcPr>
          <w:p w:rsidR="00114A40" w:rsidRPr="00514E8A" w:rsidRDefault="00C97CEC" w:rsidP="00C97CEC">
            <w:pPr>
              <w:rPr>
                <w:b/>
              </w:rPr>
            </w:pPr>
            <w:r w:rsidRPr="00514E8A">
              <w:rPr>
                <w:b/>
                <w:sz w:val="22"/>
                <w:szCs w:val="22"/>
              </w:rPr>
              <w:t xml:space="preserve">2.2. En quoi les solutions de la cour d’appel et de </w:t>
            </w:r>
            <w:smartTag w:uri="urn:schemas-microsoft-com:office:smarttags" w:element="PersonName">
              <w:smartTagPr>
                <w:attr w:name="ProductID" w:val="la Cour"/>
              </w:smartTagPr>
              <w:r w:rsidRPr="00514E8A">
                <w:rPr>
                  <w:b/>
                  <w:sz w:val="22"/>
                  <w:szCs w:val="22"/>
                </w:rPr>
                <w:t>la Cour</w:t>
              </w:r>
            </w:smartTag>
            <w:r w:rsidRPr="00514E8A">
              <w:rPr>
                <w:b/>
                <w:sz w:val="22"/>
                <w:szCs w:val="22"/>
              </w:rPr>
              <w:t xml:space="preserve"> de cassation s’opposent-elles ?</w:t>
            </w:r>
          </w:p>
        </w:tc>
        <w:tc>
          <w:tcPr>
            <w:tcW w:w="8185" w:type="dxa"/>
            <w:tcBorders>
              <w:bottom w:val="single" w:sz="4" w:space="0" w:color="auto"/>
            </w:tcBorders>
            <w:vAlign w:val="center"/>
          </w:tcPr>
          <w:p w:rsidR="00C97CEC" w:rsidRPr="00514E8A" w:rsidRDefault="00C97CEC" w:rsidP="00514E8A">
            <w:pPr>
              <w:jc w:val="both"/>
              <w:rPr>
                <w:sz w:val="22"/>
                <w:szCs w:val="22"/>
              </w:rPr>
            </w:pPr>
            <w:r w:rsidRPr="00514E8A">
              <w:rPr>
                <w:sz w:val="22"/>
                <w:szCs w:val="22"/>
              </w:rPr>
              <w:t>La cour d’appel rappelle que le vendeur de marchandises a une obligation d’information et de conseil. Elle met à la charge du client une obligation d’information sur l’emploi des marchandises. Elle constate que la preuve de cette dernière obligation n’a pas été apportée.</w:t>
            </w:r>
          </w:p>
          <w:p w:rsidR="00C97CEC" w:rsidRPr="00873EA2" w:rsidRDefault="00C97CEC" w:rsidP="00514E8A">
            <w:pPr>
              <w:jc w:val="both"/>
              <w:rPr>
                <w:sz w:val="16"/>
                <w:szCs w:val="16"/>
              </w:rPr>
            </w:pPr>
          </w:p>
          <w:p w:rsidR="00114A40" w:rsidRPr="00514E8A" w:rsidRDefault="00BA0585" w:rsidP="00514E8A">
            <w:pPr>
              <w:jc w:val="both"/>
              <w:rPr>
                <w:b/>
              </w:rPr>
            </w:pPr>
            <w:r w:rsidRPr="00514E8A">
              <w:rPr>
                <w:sz w:val="22"/>
                <w:szCs w:val="22"/>
              </w:rPr>
              <w:t xml:space="preserve">Pour la </w:t>
            </w:r>
            <w:r w:rsidR="00C97CEC" w:rsidRPr="00514E8A">
              <w:rPr>
                <w:sz w:val="22"/>
                <w:szCs w:val="22"/>
              </w:rPr>
              <w:t>Cour de cassation</w:t>
            </w:r>
            <w:r w:rsidRPr="00514E8A">
              <w:rPr>
                <w:sz w:val="22"/>
                <w:szCs w:val="22"/>
              </w:rPr>
              <w:t>, l</w:t>
            </w:r>
            <w:r w:rsidR="00C97CEC" w:rsidRPr="00514E8A">
              <w:rPr>
                <w:sz w:val="22"/>
                <w:szCs w:val="22"/>
              </w:rPr>
              <w:t>e vendeur a une obligation d’information et de conseil. Il doit prouver qu’il s’en est acquitté et notamment qu’il s’est renseigné sur les besoins de son client.</w:t>
            </w:r>
          </w:p>
        </w:tc>
      </w:tr>
      <w:tr w:rsidR="00C97CEC" w:rsidRPr="00873EA2" w:rsidTr="00514E8A">
        <w:trPr>
          <w:jc w:val="center"/>
        </w:trPr>
        <w:tc>
          <w:tcPr>
            <w:tcW w:w="2235" w:type="dxa"/>
            <w:shd w:val="clear" w:color="auto" w:fill="D9D9D9"/>
            <w:vAlign w:val="center"/>
          </w:tcPr>
          <w:p w:rsidR="00C97CEC" w:rsidRPr="00873EA2" w:rsidRDefault="00C97CEC" w:rsidP="00514E8A">
            <w:pPr>
              <w:ind w:right="567"/>
              <w:rPr>
                <w:b/>
                <w:sz w:val="10"/>
                <w:szCs w:val="10"/>
              </w:rPr>
            </w:pPr>
          </w:p>
        </w:tc>
        <w:tc>
          <w:tcPr>
            <w:tcW w:w="8185" w:type="dxa"/>
            <w:shd w:val="clear" w:color="auto" w:fill="D9D9D9"/>
            <w:vAlign w:val="center"/>
          </w:tcPr>
          <w:p w:rsidR="00C97CEC" w:rsidRPr="00873EA2" w:rsidRDefault="00C97CEC" w:rsidP="00514E8A">
            <w:pPr>
              <w:ind w:right="567"/>
              <w:rPr>
                <w:b/>
                <w:sz w:val="10"/>
                <w:szCs w:val="10"/>
              </w:rPr>
            </w:pPr>
          </w:p>
        </w:tc>
      </w:tr>
      <w:tr w:rsidR="00C97CEC" w:rsidRPr="00514E8A" w:rsidTr="00514E8A">
        <w:trPr>
          <w:jc w:val="center"/>
        </w:trPr>
        <w:tc>
          <w:tcPr>
            <w:tcW w:w="2235" w:type="dxa"/>
            <w:vAlign w:val="center"/>
          </w:tcPr>
          <w:p w:rsidR="00C97CEC" w:rsidRPr="00514E8A" w:rsidRDefault="00C97CEC" w:rsidP="00C97CEC">
            <w:pPr>
              <w:rPr>
                <w:b/>
              </w:rPr>
            </w:pPr>
            <w:r w:rsidRPr="00514E8A">
              <w:rPr>
                <w:b/>
                <w:sz w:val="22"/>
                <w:szCs w:val="22"/>
              </w:rPr>
              <w:t>2.3. Qui a la charge de la preuve de l’obligation de conseil et pour quelle(s) raison(s) ?</w:t>
            </w:r>
          </w:p>
        </w:tc>
        <w:tc>
          <w:tcPr>
            <w:tcW w:w="8185" w:type="dxa"/>
            <w:vAlign w:val="center"/>
          </w:tcPr>
          <w:p w:rsidR="00C97CEC" w:rsidRPr="00514E8A" w:rsidRDefault="00C97CEC" w:rsidP="00C97CEC">
            <w:pPr>
              <w:pStyle w:val="Corpsdetexte"/>
              <w:rPr>
                <w:sz w:val="22"/>
                <w:szCs w:val="22"/>
              </w:rPr>
            </w:pPr>
            <w:r w:rsidRPr="00514E8A">
              <w:rPr>
                <w:sz w:val="22"/>
                <w:szCs w:val="22"/>
              </w:rPr>
              <w:t>La charge de la preuve incombe au vendeur professionnel. Il doit fournir des informations et des conseils au consommateur profane.</w:t>
            </w:r>
          </w:p>
          <w:p w:rsidR="00C97CEC" w:rsidRPr="00514E8A" w:rsidRDefault="00C97CEC" w:rsidP="00C97CEC">
            <w:pPr>
              <w:pStyle w:val="Corpsdetexte"/>
              <w:rPr>
                <w:sz w:val="22"/>
                <w:szCs w:val="22"/>
              </w:rPr>
            </w:pPr>
          </w:p>
          <w:p w:rsidR="00C97CEC" w:rsidRPr="00514E8A" w:rsidRDefault="00C97CEC" w:rsidP="00514E8A">
            <w:pPr>
              <w:pStyle w:val="Corpsdetexte"/>
              <w:rPr>
                <w:b/>
              </w:rPr>
            </w:pPr>
            <w:r w:rsidRPr="00514E8A">
              <w:rPr>
                <w:sz w:val="22"/>
                <w:szCs w:val="22"/>
              </w:rPr>
              <w:t>Les raisons sont essentiellement la protection du consommateur dans une relation déséquilibrée avec un professionnel.</w:t>
            </w:r>
          </w:p>
        </w:tc>
      </w:tr>
    </w:tbl>
    <w:p w:rsidR="00114A40" w:rsidRPr="00873EA2" w:rsidRDefault="00114A40" w:rsidP="00A37B7A">
      <w:pPr>
        <w:shd w:val="clear" w:color="auto" w:fill="FFFFFF"/>
        <w:ind w:right="567"/>
        <w:rPr>
          <w:b/>
          <w:sz w:val="16"/>
          <w:szCs w:val="16"/>
        </w:rPr>
      </w:pPr>
    </w:p>
    <w:p w:rsidR="00A37B7A" w:rsidRPr="00873EA2" w:rsidRDefault="00A37B7A" w:rsidP="00A37B7A">
      <w:pPr>
        <w:pBdr>
          <w:top w:val="single" w:sz="4" w:space="1" w:color="auto"/>
          <w:left w:val="single" w:sz="4" w:space="4" w:color="auto"/>
          <w:bottom w:val="single" w:sz="4" w:space="0" w:color="auto"/>
          <w:right w:val="single" w:sz="4" w:space="4" w:color="auto"/>
        </w:pBdr>
        <w:shd w:val="clear" w:color="auto" w:fill="E0E0E0"/>
        <w:ind w:right="85"/>
        <w:jc w:val="center"/>
        <w:rPr>
          <w:b/>
          <w:bCs/>
          <w:sz w:val="16"/>
          <w:szCs w:val="16"/>
        </w:rPr>
      </w:pPr>
    </w:p>
    <w:p w:rsidR="00A37B7A" w:rsidRPr="00533BE8" w:rsidRDefault="00A37B7A" w:rsidP="00A37B7A">
      <w:pPr>
        <w:pBdr>
          <w:top w:val="single" w:sz="4" w:space="1" w:color="auto"/>
          <w:left w:val="single" w:sz="4" w:space="4" w:color="auto"/>
          <w:bottom w:val="single" w:sz="4" w:space="0" w:color="auto"/>
          <w:right w:val="single" w:sz="4" w:space="4" w:color="auto"/>
        </w:pBdr>
        <w:shd w:val="clear" w:color="auto" w:fill="E0E0E0"/>
        <w:ind w:right="85"/>
        <w:jc w:val="center"/>
        <w:rPr>
          <w:b/>
          <w:bCs/>
          <w:caps/>
          <w:sz w:val="22"/>
          <w:szCs w:val="22"/>
        </w:rPr>
      </w:pPr>
      <w:r w:rsidRPr="00A37B7A">
        <w:rPr>
          <w:b/>
          <w:bCs/>
          <w:sz w:val="22"/>
          <w:szCs w:val="22"/>
        </w:rPr>
        <w:t xml:space="preserve">DOSSIER 3 – </w:t>
      </w:r>
      <w:r w:rsidRPr="00533BE8">
        <w:rPr>
          <w:b/>
          <w:bCs/>
          <w:caps/>
          <w:sz w:val="22"/>
          <w:szCs w:val="22"/>
        </w:rPr>
        <w:t>question</w:t>
      </w:r>
    </w:p>
    <w:p w:rsidR="00A37B7A" w:rsidRPr="00873EA2" w:rsidRDefault="00A37B7A" w:rsidP="00A37B7A">
      <w:pPr>
        <w:pBdr>
          <w:top w:val="single" w:sz="4" w:space="1" w:color="auto"/>
          <w:left w:val="single" w:sz="4" w:space="4" w:color="auto"/>
          <w:bottom w:val="single" w:sz="4" w:space="0" w:color="auto"/>
          <w:right w:val="single" w:sz="4" w:space="4" w:color="auto"/>
        </w:pBdr>
        <w:shd w:val="clear" w:color="auto" w:fill="E0E0E0"/>
        <w:ind w:right="85"/>
        <w:jc w:val="center"/>
        <w:rPr>
          <w:b/>
          <w:bCs/>
          <w:sz w:val="16"/>
          <w:szCs w:val="16"/>
        </w:rPr>
      </w:pPr>
    </w:p>
    <w:p w:rsidR="00A37B7A" w:rsidRPr="00873EA2" w:rsidRDefault="00A37B7A" w:rsidP="00A37B7A">
      <w:pPr>
        <w:rPr>
          <w:b/>
          <w:bCs/>
          <w:sz w:val="16"/>
          <w:szCs w:val="16"/>
        </w:rPr>
      </w:pPr>
    </w:p>
    <w:p w:rsidR="00A37B7A" w:rsidRPr="005F6DFB" w:rsidRDefault="00A37B7A" w:rsidP="00A37B7A">
      <w:pPr>
        <w:ind w:right="-1"/>
        <w:rPr>
          <w:b/>
        </w:rPr>
      </w:pPr>
      <w:r w:rsidRPr="005F6DFB">
        <w:rPr>
          <w:b/>
        </w:rPr>
        <w:t>Quelles sont les garanties du vendeur d’un fonds de commerce ?</w:t>
      </w:r>
    </w:p>
    <w:p w:rsidR="00A37B7A" w:rsidRPr="00873EA2" w:rsidRDefault="00A37B7A" w:rsidP="00A37B7A">
      <w:pPr>
        <w:tabs>
          <w:tab w:val="left" w:pos="426"/>
        </w:tabs>
        <w:rPr>
          <w:b/>
          <w:bCs/>
          <w:sz w:val="16"/>
          <w:szCs w:val="16"/>
        </w:rPr>
      </w:pPr>
    </w:p>
    <w:p w:rsidR="00A37B7A" w:rsidRPr="00803F96" w:rsidRDefault="00A37B7A" w:rsidP="00A37B7A">
      <w:pPr>
        <w:pStyle w:val="Corpsdetexte"/>
        <w:rPr>
          <w:sz w:val="22"/>
          <w:szCs w:val="22"/>
        </w:rPr>
      </w:pPr>
      <w:r w:rsidRPr="00803F96">
        <w:rPr>
          <w:sz w:val="22"/>
          <w:szCs w:val="22"/>
        </w:rPr>
        <w:t>Il existe deux garanties pour le vendeur du fonds de commerce.</w:t>
      </w:r>
    </w:p>
    <w:p w:rsidR="00A37B7A" w:rsidRPr="00873EA2" w:rsidRDefault="00A37B7A" w:rsidP="00A37B7A">
      <w:pPr>
        <w:pStyle w:val="Corpsdetexte"/>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818"/>
      </w:tblGrid>
      <w:tr w:rsidR="00533BE8" w:rsidRPr="002C2661" w:rsidTr="002C2661">
        <w:tc>
          <w:tcPr>
            <w:tcW w:w="1418" w:type="dxa"/>
            <w:shd w:val="pct10" w:color="auto" w:fill="auto"/>
            <w:vAlign w:val="center"/>
          </w:tcPr>
          <w:p w:rsidR="00533BE8" w:rsidRPr="002C2661" w:rsidRDefault="00533BE8" w:rsidP="00A37B7A">
            <w:pPr>
              <w:pStyle w:val="Corpsdetexte"/>
              <w:rPr>
                <w:b/>
                <w:sz w:val="22"/>
                <w:szCs w:val="22"/>
              </w:rPr>
            </w:pPr>
            <w:r w:rsidRPr="002C2661">
              <w:rPr>
                <w:b/>
                <w:sz w:val="22"/>
                <w:szCs w:val="22"/>
              </w:rPr>
              <w:t>Le privilège du vendeur</w:t>
            </w:r>
          </w:p>
        </w:tc>
        <w:tc>
          <w:tcPr>
            <w:tcW w:w="8818" w:type="dxa"/>
            <w:vAlign w:val="center"/>
          </w:tcPr>
          <w:p w:rsidR="00533BE8" w:rsidRPr="002C2661" w:rsidRDefault="00533BE8" w:rsidP="00533BE8">
            <w:pPr>
              <w:pStyle w:val="Corpsdetexte"/>
              <w:rPr>
                <w:sz w:val="22"/>
                <w:szCs w:val="22"/>
              </w:rPr>
            </w:pPr>
            <w:r w:rsidRPr="002C2661">
              <w:rPr>
                <w:sz w:val="22"/>
                <w:szCs w:val="22"/>
              </w:rPr>
              <w:t>Il confère à celui-ci un droit de suite et un droit de préférence :</w:t>
            </w:r>
          </w:p>
          <w:p w:rsidR="00533BE8" w:rsidRPr="002C2661" w:rsidRDefault="00533BE8" w:rsidP="00533BE8">
            <w:pPr>
              <w:pStyle w:val="Corpsdetexte"/>
              <w:rPr>
                <w:sz w:val="22"/>
                <w:szCs w:val="22"/>
              </w:rPr>
            </w:pPr>
            <w:r w:rsidRPr="002C2661">
              <w:rPr>
                <w:sz w:val="22"/>
                <w:szCs w:val="22"/>
              </w:rPr>
              <w:t>- par le droit de préférence, le vendeur a le droit d’être payé avant les autres créanciers ;</w:t>
            </w:r>
          </w:p>
          <w:p w:rsidR="00533BE8" w:rsidRPr="002C2661" w:rsidRDefault="00533BE8" w:rsidP="00533BE8">
            <w:pPr>
              <w:pStyle w:val="Corpsdetexte"/>
              <w:rPr>
                <w:sz w:val="22"/>
                <w:szCs w:val="22"/>
              </w:rPr>
            </w:pPr>
            <w:r w:rsidRPr="002C2661">
              <w:rPr>
                <w:sz w:val="22"/>
                <w:szCs w:val="22"/>
              </w:rPr>
              <w:t>- par le droit de suite, il peut suivre le fonds en quelque main qu’il passe et en quelque lieu qu’il se trouve.</w:t>
            </w:r>
          </w:p>
          <w:p w:rsidR="00533BE8" w:rsidRPr="002C2661" w:rsidRDefault="00533BE8" w:rsidP="00533BE8">
            <w:pPr>
              <w:pStyle w:val="Corpsdetexte"/>
              <w:rPr>
                <w:sz w:val="16"/>
                <w:szCs w:val="16"/>
              </w:rPr>
            </w:pPr>
          </w:p>
          <w:p w:rsidR="00533BE8" w:rsidRPr="002C2661" w:rsidRDefault="00533BE8" w:rsidP="00533BE8">
            <w:pPr>
              <w:pStyle w:val="Corpsdetexte"/>
              <w:rPr>
                <w:i/>
                <w:sz w:val="22"/>
                <w:szCs w:val="22"/>
              </w:rPr>
            </w:pPr>
            <w:r w:rsidRPr="002C2661">
              <w:rPr>
                <w:i/>
                <w:sz w:val="22"/>
                <w:szCs w:val="22"/>
              </w:rPr>
              <w:t>Nota : l’exercice de ces droits suppose que la vente ait été constatée dans un acte authentique ou sous seing privé. Le privilège du vendeur doit avoir fait l’objet d’une publicité légale.</w:t>
            </w:r>
          </w:p>
        </w:tc>
      </w:tr>
      <w:tr w:rsidR="00533BE8" w:rsidRPr="002C2661" w:rsidTr="002C2661">
        <w:trPr>
          <w:trHeight w:val="653"/>
        </w:trPr>
        <w:tc>
          <w:tcPr>
            <w:tcW w:w="1418" w:type="dxa"/>
            <w:shd w:val="pct10" w:color="auto" w:fill="auto"/>
            <w:vAlign w:val="center"/>
          </w:tcPr>
          <w:p w:rsidR="00533BE8" w:rsidRPr="002C2661" w:rsidRDefault="00533BE8" w:rsidP="00A37B7A">
            <w:pPr>
              <w:pStyle w:val="Corpsdetexte"/>
              <w:rPr>
                <w:b/>
                <w:sz w:val="22"/>
                <w:szCs w:val="22"/>
              </w:rPr>
            </w:pPr>
            <w:r w:rsidRPr="002C2661">
              <w:rPr>
                <w:b/>
                <w:sz w:val="22"/>
                <w:szCs w:val="22"/>
              </w:rPr>
              <w:t>L’action résolutoire</w:t>
            </w:r>
          </w:p>
        </w:tc>
        <w:tc>
          <w:tcPr>
            <w:tcW w:w="8818" w:type="dxa"/>
            <w:vAlign w:val="center"/>
          </w:tcPr>
          <w:p w:rsidR="00533BE8" w:rsidRPr="002C2661" w:rsidRDefault="00533BE8" w:rsidP="00533BE8">
            <w:pPr>
              <w:pStyle w:val="Corpsdetexte"/>
              <w:rPr>
                <w:sz w:val="22"/>
                <w:szCs w:val="22"/>
              </w:rPr>
            </w:pPr>
            <w:r w:rsidRPr="002C2661">
              <w:rPr>
                <w:sz w:val="22"/>
                <w:szCs w:val="22"/>
              </w:rPr>
              <w:t xml:space="preserve">Elle permet au vendeur impayé de </w:t>
            </w:r>
            <w:r w:rsidRPr="002C2661">
              <w:rPr>
                <w:b/>
                <w:sz w:val="22"/>
                <w:szCs w:val="22"/>
              </w:rPr>
              <w:t>reprendre</w:t>
            </w:r>
            <w:r w:rsidRPr="002C2661">
              <w:rPr>
                <w:sz w:val="22"/>
                <w:szCs w:val="22"/>
              </w:rPr>
              <w:t xml:space="preserve"> son fonds.</w:t>
            </w:r>
          </w:p>
        </w:tc>
      </w:tr>
    </w:tbl>
    <w:p w:rsidR="00533BE8" w:rsidRDefault="00533BE8" w:rsidP="00A37B7A">
      <w:pPr>
        <w:pStyle w:val="Corpsdetexte"/>
        <w:rPr>
          <w:sz w:val="22"/>
          <w:szCs w:val="22"/>
        </w:rPr>
      </w:pPr>
    </w:p>
    <w:sectPr w:rsidR="00533BE8" w:rsidSect="00A37B7A">
      <w:footerReference w:type="even" r:id="rId8"/>
      <w:footerReference w:type="default" r:id="rId9"/>
      <w:pgSz w:w="11906" w:h="16838" w:code="9"/>
      <w:pgMar w:top="567" w:right="851" w:bottom="851"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CB" w:rsidRDefault="00F720CB">
      <w:r>
        <w:separator/>
      </w:r>
    </w:p>
  </w:endnote>
  <w:endnote w:type="continuationSeparator" w:id="0">
    <w:p w:rsidR="00F720CB" w:rsidRDefault="00F7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7" w:rsidRDefault="00E150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15077" w:rsidRDefault="00E1507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7" w:rsidRPr="00F40499" w:rsidRDefault="007E61CC" w:rsidP="00076E74">
    <w:pPr>
      <w:pStyle w:val="Pieddepage"/>
      <w:tabs>
        <w:tab w:val="left" w:pos="709"/>
      </w:tabs>
      <w:ind w:right="357"/>
      <w:rPr>
        <w:sz w:val="20"/>
        <w:szCs w:val="20"/>
      </w:rPr>
    </w:pPr>
    <w:r w:rsidRPr="00611B86">
      <w:rPr>
        <w:b/>
        <w:bCs/>
        <w:sz w:val="22"/>
        <w:szCs w:val="22"/>
      </w:rPr>
      <w:t xml:space="preserve">© </w:t>
    </w:r>
    <w:r w:rsidR="00076E74">
      <w:rPr>
        <w:b/>
        <w:bCs/>
        <w:sz w:val="22"/>
        <w:szCs w:val="22"/>
      </w:rPr>
      <w:t>Comptazine</w:t>
    </w:r>
    <w:r w:rsidRPr="00611B86">
      <w:rPr>
        <w:b/>
        <w:bCs/>
        <w:sz w:val="22"/>
        <w:szCs w:val="22"/>
      </w:rPr>
      <w:t xml:space="preserve"> </w:t>
    </w:r>
    <w:r w:rsidR="00076E74">
      <w:rPr>
        <w:b/>
        <w:bCs/>
        <w:sz w:val="22"/>
        <w:szCs w:val="22"/>
      </w:rPr>
      <w:t xml:space="preserve">– </w:t>
    </w:r>
    <w:hyperlink r:id="rId1" w:history="1">
      <w:r w:rsidR="00076E74" w:rsidRPr="00016A5F">
        <w:rPr>
          <w:rStyle w:val="Lienhypertexte"/>
          <w:b/>
          <w:bCs/>
          <w:sz w:val="22"/>
          <w:szCs w:val="22"/>
        </w:rPr>
        <w:t>www.comptazine.fr</w:t>
      </w:r>
    </w:hyperlink>
    <w:r w:rsidR="00076E74">
      <w:rPr>
        <w:b/>
        <w:bCs/>
        <w:sz w:val="22"/>
        <w:szCs w:val="22"/>
      </w:rPr>
      <w:tab/>
    </w:r>
    <w:r w:rsidR="00076E74">
      <w:rPr>
        <w:b/>
        <w:bCs/>
        <w:sz w:val="22"/>
        <w:szCs w:val="22"/>
      </w:rPr>
      <w:tab/>
    </w:r>
    <w:r w:rsidRPr="00611B86">
      <w:rPr>
        <w:b/>
        <w:bCs/>
        <w:sz w:val="22"/>
        <w:szCs w:val="22"/>
      </w:rPr>
      <w:tab/>
    </w:r>
    <w:r w:rsidRPr="00611B86">
      <w:rPr>
        <w:rStyle w:val="Numrodepage"/>
        <w:b/>
        <w:bCs/>
        <w:sz w:val="22"/>
        <w:szCs w:val="22"/>
      </w:rPr>
      <w:fldChar w:fldCharType="begin"/>
    </w:r>
    <w:r w:rsidRPr="00611B86">
      <w:rPr>
        <w:rStyle w:val="Numrodepage"/>
        <w:b/>
        <w:bCs/>
        <w:sz w:val="22"/>
        <w:szCs w:val="22"/>
      </w:rPr>
      <w:instrText xml:space="preserve"> PAGE </w:instrText>
    </w:r>
    <w:r w:rsidRPr="00611B86">
      <w:rPr>
        <w:rStyle w:val="Numrodepage"/>
        <w:b/>
        <w:bCs/>
        <w:sz w:val="22"/>
        <w:szCs w:val="22"/>
      </w:rPr>
      <w:fldChar w:fldCharType="separate"/>
    </w:r>
    <w:r w:rsidR="00A6456E">
      <w:rPr>
        <w:rStyle w:val="Numrodepage"/>
        <w:b/>
        <w:bCs/>
        <w:noProof/>
        <w:sz w:val="22"/>
        <w:szCs w:val="22"/>
      </w:rPr>
      <w:t>1</w:t>
    </w:r>
    <w:r w:rsidRPr="00611B86">
      <w:rPr>
        <w:rStyle w:val="Numrodepage"/>
        <w:b/>
        <w:bCs/>
        <w:sz w:val="22"/>
        <w:szCs w:val="22"/>
      </w:rPr>
      <w:fldChar w:fldCharType="end"/>
    </w:r>
    <w:r w:rsidRPr="00611B86">
      <w:rPr>
        <w:rStyle w:val="Numrodepage"/>
        <w:b/>
        <w:bCs/>
        <w:sz w:val="22"/>
        <w:szCs w:val="22"/>
      </w:rPr>
      <w:t>/</w:t>
    </w:r>
    <w:r w:rsidRPr="00611B86">
      <w:rPr>
        <w:rStyle w:val="Numrodepage"/>
        <w:b/>
        <w:bCs/>
        <w:sz w:val="22"/>
        <w:szCs w:val="22"/>
      </w:rPr>
      <w:fldChar w:fldCharType="begin"/>
    </w:r>
    <w:r w:rsidRPr="00611B86">
      <w:rPr>
        <w:rStyle w:val="Numrodepage"/>
        <w:b/>
        <w:bCs/>
        <w:sz w:val="22"/>
        <w:szCs w:val="22"/>
      </w:rPr>
      <w:instrText xml:space="preserve">  NUMPAGES</w:instrText>
    </w:r>
    <w:r w:rsidRPr="00611B86">
      <w:rPr>
        <w:rStyle w:val="Numrodepage"/>
        <w:b/>
        <w:bCs/>
        <w:sz w:val="22"/>
        <w:szCs w:val="22"/>
      </w:rPr>
      <w:fldChar w:fldCharType="separate"/>
    </w:r>
    <w:r w:rsidR="00A6456E">
      <w:rPr>
        <w:rStyle w:val="Numrodepage"/>
        <w:b/>
        <w:bCs/>
        <w:noProof/>
        <w:sz w:val="22"/>
        <w:szCs w:val="22"/>
      </w:rPr>
      <w:t>2</w:t>
    </w:r>
    <w:r w:rsidRPr="00611B86">
      <w:rPr>
        <w:rStyle w:val="Numrodepage"/>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CB" w:rsidRDefault="00F720CB">
      <w:r>
        <w:separator/>
      </w:r>
    </w:p>
  </w:footnote>
  <w:footnote w:type="continuationSeparator" w:id="0">
    <w:p w:rsidR="00F720CB" w:rsidRDefault="00F72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C36"/>
    <w:multiLevelType w:val="hybridMultilevel"/>
    <w:tmpl w:val="CEE267C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BA6418"/>
    <w:multiLevelType w:val="multilevel"/>
    <w:tmpl w:val="949E0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45498C"/>
    <w:multiLevelType w:val="hybridMultilevel"/>
    <w:tmpl w:val="A59CC1D4"/>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2F2508B"/>
    <w:multiLevelType w:val="hybridMultilevel"/>
    <w:tmpl w:val="D31A1A1C"/>
    <w:lvl w:ilvl="0" w:tplc="B3E84B2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4021B43"/>
    <w:multiLevelType w:val="hybridMultilevel"/>
    <w:tmpl w:val="80F81AF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7F47942"/>
    <w:multiLevelType w:val="hybridMultilevel"/>
    <w:tmpl w:val="3F786FA6"/>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A652196"/>
    <w:multiLevelType w:val="hybridMultilevel"/>
    <w:tmpl w:val="49828AE0"/>
    <w:lvl w:ilvl="0" w:tplc="B1D6DC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DC7BD1"/>
    <w:multiLevelType w:val="multilevel"/>
    <w:tmpl w:val="8C8AF310"/>
    <w:lvl w:ilvl="0">
      <w:start w:val="1"/>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8">
    <w:nsid w:val="31F53406"/>
    <w:multiLevelType w:val="multilevel"/>
    <w:tmpl w:val="A9F0D19C"/>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7405D4"/>
    <w:multiLevelType w:val="hybridMultilevel"/>
    <w:tmpl w:val="A9F0D19C"/>
    <w:lvl w:ilvl="0" w:tplc="7E9241DA">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9693C29"/>
    <w:multiLevelType w:val="hybridMultilevel"/>
    <w:tmpl w:val="2E5E2E0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FD3840"/>
    <w:multiLevelType w:val="hybridMultilevel"/>
    <w:tmpl w:val="4F1C40D4"/>
    <w:lvl w:ilvl="0" w:tplc="8AD45D30">
      <w:start w:val="1"/>
      <w:numFmt w:val="bullet"/>
      <w:lvlText w:val=""/>
      <w:lvlJc w:val="left"/>
      <w:pPr>
        <w:tabs>
          <w:tab w:val="num" w:pos="720"/>
        </w:tabs>
        <w:ind w:left="720" w:hanging="360"/>
      </w:pPr>
      <w:rPr>
        <w:rFonts w:ascii="Symbol" w:hAnsi="Symbol" w:hint="default"/>
        <w:sz w:val="20"/>
      </w:rPr>
    </w:lvl>
    <w:lvl w:ilvl="1" w:tplc="71148748" w:tentative="1">
      <w:start w:val="1"/>
      <w:numFmt w:val="bullet"/>
      <w:lvlText w:val="o"/>
      <w:lvlJc w:val="left"/>
      <w:pPr>
        <w:tabs>
          <w:tab w:val="num" w:pos="1440"/>
        </w:tabs>
        <w:ind w:left="1440" w:hanging="360"/>
      </w:pPr>
      <w:rPr>
        <w:rFonts w:ascii="Courier New" w:hAnsi="Courier New" w:hint="default"/>
        <w:sz w:val="20"/>
      </w:rPr>
    </w:lvl>
    <w:lvl w:ilvl="2" w:tplc="73FE3D7C" w:tentative="1">
      <w:start w:val="1"/>
      <w:numFmt w:val="bullet"/>
      <w:lvlText w:val=""/>
      <w:lvlJc w:val="left"/>
      <w:pPr>
        <w:tabs>
          <w:tab w:val="num" w:pos="2160"/>
        </w:tabs>
        <w:ind w:left="2160" w:hanging="360"/>
      </w:pPr>
      <w:rPr>
        <w:rFonts w:ascii="Wingdings" w:hAnsi="Wingdings" w:hint="default"/>
        <w:sz w:val="20"/>
      </w:rPr>
    </w:lvl>
    <w:lvl w:ilvl="3" w:tplc="0E08A38E" w:tentative="1">
      <w:start w:val="1"/>
      <w:numFmt w:val="bullet"/>
      <w:lvlText w:val=""/>
      <w:lvlJc w:val="left"/>
      <w:pPr>
        <w:tabs>
          <w:tab w:val="num" w:pos="2880"/>
        </w:tabs>
        <w:ind w:left="2880" w:hanging="360"/>
      </w:pPr>
      <w:rPr>
        <w:rFonts w:ascii="Wingdings" w:hAnsi="Wingdings" w:hint="default"/>
        <w:sz w:val="20"/>
      </w:rPr>
    </w:lvl>
    <w:lvl w:ilvl="4" w:tplc="F37221F8" w:tentative="1">
      <w:start w:val="1"/>
      <w:numFmt w:val="bullet"/>
      <w:lvlText w:val=""/>
      <w:lvlJc w:val="left"/>
      <w:pPr>
        <w:tabs>
          <w:tab w:val="num" w:pos="3600"/>
        </w:tabs>
        <w:ind w:left="3600" w:hanging="360"/>
      </w:pPr>
      <w:rPr>
        <w:rFonts w:ascii="Wingdings" w:hAnsi="Wingdings" w:hint="default"/>
        <w:sz w:val="20"/>
      </w:rPr>
    </w:lvl>
    <w:lvl w:ilvl="5" w:tplc="80E66410" w:tentative="1">
      <w:start w:val="1"/>
      <w:numFmt w:val="bullet"/>
      <w:lvlText w:val=""/>
      <w:lvlJc w:val="left"/>
      <w:pPr>
        <w:tabs>
          <w:tab w:val="num" w:pos="4320"/>
        </w:tabs>
        <w:ind w:left="4320" w:hanging="360"/>
      </w:pPr>
      <w:rPr>
        <w:rFonts w:ascii="Wingdings" w:hAnsi="Wingdings" w:hint="default"/>
        <w:sz w:val="20"/>
      </w:rPr>
    </w:lvl>
    <w:lvl w:ilvl="6" w:tplc="438E2350" w:tentative="1">
      <w:start w:val="1"/>
      <w:numFmt w:val="bullet"/>
      <w:lvlText w:val=""/>
      <w:lvlJc w:val="left"/>
      <w:pPr>
        <w:tabs>
          <w:tab w:val="num" w:pos="5040"/>
        </w:tabs>
        <w:ind w:left="5040" w:hanging="360"/>
      </w:pPr>
      <w:rPr>
        <w:rFonts w:ascii="Wingdings" w:hAnsi="Wingdings" w:hint="default"/>
        <w:sz w:val="20"/>
      </w:rPr>
    </w:lvl>
    <w:lvl w:ilvl="7" w:tplc="174AF8FA" w:tentative="1">
      <w:start w:val="1"/>
      <w:numFmt w:val="bullet"/>
      <w:lvlText w:val=""/>
      <w:lvlJc w:val="left"/>
      <w:pPr>
        <w:tabs>
          <w:tab w:val="num" w:pos="5760"/>
        </w:tabs>
        <w:ind w:left="5760" w:hanging="360"/>
      </w:pPr>
      <w:rPr>
        <w:rFonts w:ascii="Wingdings" w:hAnsi="Wingdings" w:hint="default"/>
        <w:sz w:val="20"/>
      </w:rPr>
    </w:lvl>
    <w:lvl w:ilvl="8" w:tplc="338A868A"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62310"/>
    <w:multiLevelType w:val="multilevel"/>
    <w:tmpl w:val="CBE0013C"/>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51B1395B"/>
    <w:multiLevelType w:val="hybridMultilevel"/>
    <w:tmpl w:val="B014A3C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C795F1A"/>
    <w:multiLevelType w:val="multilevel"/>
    <w:tmpl w:val="92624C7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5EDA0D5B"/>
    <w:multiLevelType w:val="hybridMultilevel"/>
    <w:tmpl w:val="A4061E4A"/>
    <w:lvl w:ilvl="0" w:tplc="257EABC2">
      <w:start w:val="3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17A4E8C"/>
    <w:multiLevelType w:val="hybridMultilevel"/>
    <w:tmpl w:val="A20888D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4251E95"/>
    <w:multiLevelType w:val="hybridMultilevel"/>
    <w:tmpl w:val="1C96EBE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DF63E27"/>
    <w:multiLevelType w:val="hybridMultilevel"/>
    <w:tmpl w:val="8E38649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23E7C2E"/>
    <w:multiLevelType w:val="hybridMultilevel"/>
    <w:tmpl w:val="92624C70"/>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nsid w:val="746D4796"/>
    <w:multiLevelType w:val="hybridMultilevel"/>
    <w:tmpl w:val="19F2D1BC"/>
    <w:lvl w:ilvl="0" w:tplc="2870A4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742007C"/>
    <w:multiLevelType w:val="multilevel"/>
    <w:tmpl w:val="73FAC1D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nsid w:val="7D143AE2"/>
    <w:multiLevelType w:val="hybridMultilevel"/>
    <w:tmpl w:val="4A4227D6"/>
    <w:lvl w:ilvl="0" w:tplc="2870A4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D5614A2"/>
    <w:multiLevelType w:val="multilevel"/>
    <w:tmpl w:val="6762A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1824F3"/>
    <w:multiLevelType w:val="hybridMultilevel"/>
    <w:tmpl w:val="606EB324"/>
    <w:lvl w:ilvl="0" w:tplc="DCA42D3E">
      <w:start w:val="1"/>
      <w:numFmt w:val="bullet"/>
      <w:lvlText w:val=""/>
      <w:lvlJc w:val="left"/>
      <w:pPr>
        <w:tabs>
          <w:tab w:val="num" w:pos="720"/>
        </w:tabs>
        <w:ind w:left="720" w:hanging="360"/>
      </w:pPr>
      <w:rPr>
        <w:rFonts w:ascii="Symbol" w:hAnsi="Symbol" w:hint="default"/>
        <w:sz w:val="20"/>
      </w:rPr>
    </w:lvl>
    <w:lvl w:ilvl="1" w:tplc="03D6A456" w:tentative="1">
      <w:start w:val="1"/>
      <w:numFmt w:val="bullet"/>
      <w:lvlText w:val="o"/>
      <w:lvlJc w:val="left"/>
      <w:pPr>
        <w:tabs>
          <w:tab w:val="num" w:pos="1440"/>
        </w:tabs>
        <w:ind w:left="1440" w:hanging="360"/>
      </w:pPr>
      <w:rPr>
        <w:rFonts w:ascii="Courier New" w:hAnsi="Courier New" w:hint="default"/>
        <w:sz w:val="20"/>
      </w:rPr>
    </w:lvl>
    <w:lvl w:ilvl="2" w:tplc="202CB526" w:tentative="1">
      <w:start w:val="1"/>
      <w:numFmt w:val="bullet"/>
      <w:lvlText w:val=""/>
      <w:lvlJc w:val="left"/>
      <w:pPr>
        <w:tabs>
          <w:tab w:val="num" w:pos="2160"/>
        </w:tabs>
        <w:ind w:left="2160" w:hanging="360"/>
      </w:pPr>
      <w:rPr>
        <w:rFonts w:ascii="Wingdings" w:hAnsi="Wingdings" w:hint="default"/>
        <w:sz w:val="20"/>
      </w:rPr>
    </w:lvl>
    <w:lvl w:ilvl="3" w:tplc="030A1438" w:tentative="1">
      <w:start w:val="1"/>
      <w:numFmt w:val="bullet"/>
      <w:lvlText w:val=""/>
      <w:lvlJc w:val="left"/>
      <w:pPr>
        <w:tabs>
          <w:tab w:val="num" w:pos="2880"/>
        </w:tabs>
        <w:ind w:left="2880" w:hanging="360"/>
      </w:pPr>
      <w:rPr>
        <w:rFonts w:ascii="Wingdings" w:hAnsi="Wingdings" w:hint="default"/>
        <w:sz w:val="20"/>
      </w:rPr>
    </w:lvl>
    <w:lvl w:ilvl="4" w:tplc="1D7CA794" w:tentative="1">
      <w:start w:val="1"/>
      <w:numFmt w:val="bullet"/>
      <w:lvlText w:val=""/>
      <w:lvlJc w:val="left"/>
      <w:pPr>
        <w:tabs>
          <w:tab w:val="num" w:pos="3600"/>
        </w:tabs>
        <w:ind w:left="3600" w:hanging="360"/>
      </w:pPr>
      <w:rPr>
        <w:rFonts w:ascii="Wingdings" w:hAnsi="Wingdings" w:hint="default"/>
        <w:sz w:val="20"/>
      </w:rPr>
    </w:lvl>
    <w:lvl w:ilvl="5" w:tplc="633C5ABA" w:tentative="1">
      <w:start w:val="1"/>
      <w:numFmt w:val="bullet"/>
      <w:lvlText w:val=""/>
      <w:lvlJc w:val="left"/>
      <w:pPr>
        <w:tabs>
          <w:tab w:val="num" w:pos="4320"/>
        </w:tabs>
        <w:ind w:left="4320" w:hanging="360"/>
      </w:pPr>
      <w:rPr>
        <w:rFonts w:ascii="Wingdings" w:hAnsi="Wingdings" w:hint="default"/>
        <w:sz w:val="20"/>
      </w:rPr>
    </w:lvl>
    <w:lvl w:ilvl="6" w:tplc="FD6E0D00" w:tentative="1">
      <w:start w:val="1"/>
      <w:numFmt w:val="bullet"/>
      <w:lvlText w:val=""/>
      <w:lvlJc w:val="left"/>
      <w:pPr>
        <w:tabs>
          <w:tab w:val="num" w:pos="5040"/>
        </w:tabs>
        <w:ind w:left="5040" w:hanging="360"/>
      </w:pPr>
      <w:rPr>
        <w:rFonts w:ascii="Wingdings" w:hAnsi="Wingdings" w:hint="default"/>
        <w:sz w:val="20"/>
      </w:rPr>
    </w:lvl>
    <w:lvl w:ilvl="7" w:tplc="0070331E" w:tentative="1">
      <w:start w:val="1"/>
      <w:numFmt w:val="bullet"/>
      <w:lvlText w:val=""/>
      <w:lvlJc w:val="left"/>
      <w:pPr>
        <w:tabs>
          <w:tab w:val="num" w:pos="5760"/>
        </w:tabs>
        <w:ind w:left="5760" w:hanging="360"/>
      </w:pPr>
      <w:rPr>
        <w:rFonts w:ascii="Wingdings" w:hAnsi="Wingdings" w:hint="default"/>
        <w:sz w:val="20"/>
      </w:rPr>
    </w:lvl>
    <w:lvl w:ilvl="8" w:tplc="850823BE"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320B37"/>
    <w:multiLevelType w:val="multilevel"/>
    <w:tmpl w:val="DC482F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0"/>
  </w:num>
  <w:num w:numId="3">
    <w:abstractNumId w:val="5"/>
  </w:num>
  <w:num w:numId="4">
    <w:abstractNumId w:val="17"/>
  </w:num>
  <w:num w:numId="5">
    <w:abstractNumId w:val="22"/>
  </w:num>
  <w:num w:numId="6">
    <w:abstractNumId w:val="13"/>
  </w:num>
  <w:num w:numId="7">
    <w:abstractNumId w:val="2"/>
  </w:num>
  <w:num w:numId="8">
    <w:abstractNumId w:val="4"/>
  </w:num>
  <w:num w:numId="9">
    <w:abstractNumId w:val="16"/>
  </w:num>
  <w:num w:numId="10">
    <w:abstractNumId w:val="18"/>
  </w:num>
  <w:num w:numId="11">
    <w:abstractNumId w:val="11"/>
  </w:num>
  <w:num w:numId="12">
    <w:abstractNumId w:val="24"/>
  </w:num>
  <w:num w:numId="13">
    <w:abstractNumId w:val="20"/>
  </w:num>
  <w:num w:numId="14">
    <w:abstractNumId w:val="9"/>
  </w:num>
  <w:num w:numId="15">
    <w:abstractNumId w:val="8"/>
  </w:num>
  <w:num w:numId="16">
    <w:abstractNumId w:val="0"/>
  </w:num>
  <w:num w:numId="17">
    <w:abstractNumId w:val="19"/>
  </w:num>
  <w:num w:numId="18">
    <w:abstractNumId w:val="14"/>
  </w:num>
  <w:num w:numId="19">
    <w:abstractNumId w:val="3"/>
  </w:num>
  <w:num w:numId="20">
    <w:abstractNumId w:val="25"/>
  </w:num>
  <w:num w:numId="21">
    <w:abstractNumId w:val="6"/>
  </w:num>
  <w:num w:numId="22">
    <w:abstractNumId w:val="12"/>
  </w:num>
  <w:num w:numId="23">
    <w:abstractNumId w:val="21"/>
  </w:num>
  <w:num w:numId="24">
    <w:abstractNumId w:val="7"/>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7D"/>
    <w:rsid w:val="00031382"/>
    <w:rsid w:val="000614A8"/>
    <w:rsid w:val="00076E74"/>
    <w:rsid w:val="00114A40"/>
    <w:rsid w:val="001211C1"/>
    <w:rsid w:val="00167A51"/>
    <w:rsid w:val="002336D9"/>
    <w:rsid w:val="002417CA"/>
    <w:rsid w:val="002634A8"/>
    <w:rsid w:val="00272D02"/>
    <w:rsid w:val="002B3C42"/>
    <w:rsid w:val="002C2661"/>
    <w:rsid w:val="002C38E1"/>
    <w:rsid w:val="002E1015"/>
    <w:rsid w:val="003271B2"/>
    <w:rsid w:val="00375AE8"/>
    <w:rsid w:val="00391E22"/>
    <w:rsid w:val="00441B86"/>
    <w:rsid w:val="004671CC"/>
    <w:rsid w:val="004B3E78"/>
    <w:rsid w:val="004D6024"/>
    <w:rsid w:val="004E25D4"/>
    <w:rsid w:val="004E4FBB"/>
    <w:rsid w:val="004F62BD"/>
    <w:rsid w:val="00514E8A"/>
    <w:rsid w:val="00533BE8"/>
    <w:rsid w:val="00594DE4"/>
    <w:rsid w:val="00595E81"/>
    <w:rsid w:val="005A4C16"/>
    <w:rsid w:val="005E414A"/>
    <w:rsid w:val="005E5A75"/>
    <w:rsid w:val="005F6F78"/>
    <w:rsid w:val="00600F7D"/>
    <w:rsid w:val="00682CE2"/>
    <w:rsid w:val="00737580"/>
    <w:rsid w:val="007735DC"/>
    <w:rsid w:val="007B2027"/>
    <w:rsid w:val="007B6F0E"/>
    <w:rsid w:val="007E61CC"/>
    <w:rsid w:val="007E6E0F"/>
    <w:rsid w:val="00803F96"/>
    <w:rsid w:val="00804A11"/>
    <w:rsid w:val="00807451"/>
    <w:rsid w:val="0081713C"/>
    <w:rsid w:val="008331FD"/>
    <w:rsid w:val="00840857"/>
    <w:rsid w:val="00871B5A"/>
    <w:rsid w:val="00873EA2"/>
    <w:rsid w:val="00883EA2"/>
    <w:rsid w:val="008B233A"/>
    <w:rsid w:val="008F76A2"/>
    <w:rsid w:val="00973F83"/>
    <w:rsid w:val="0097420C"/>
    <w:rsid w:val="00987E25"/>
    <w:rsid w:val="00A37B7A"/>
    <w:rsid w:val="00A51182"/>
    <w:rsid w:val="00A5261E"/>
    <w:rsid w:val="00A62E8C"/>
    <w:rsid w:val="00A6456E"/>
    <w:rsid w:val="00AE4219"/>
    <w:rsid w:val="00AF219C"/>
    <w:rsid w:val="00B322EB"/>
    <w:rsid w:val="00BA0585"/>
    <w:rsid w:val="00BA659D"/>
    <w:rsid w:val="00BF1B44"/>
    <w:rsid w:val="00C60D1F"/>
    <w:rsid w:val="00C6171D"/>
    <w:rsid w:val="00C97CEC"/>
    <w:rsid w:val="00C97D2E"/>
    <w:rsid w:val="00D23483"/>
    <w:rsid w:val="00D507C4"/>
    <w:rsid w:val="00D773E2"/>
    <w:rsid w:val="00D91127"/>
    <w:rsid w:val="00D9431A"/>
    <w:rsid w:val="00E10E4A"/>
    <w:rsid w:val="00E15077"/>
    <w:rsid w:val="00E373AD"/>
    <w:rsid w:val="00E74F8D"/>
    <w:rsid w:val="00EA103A"/>
    <w:rsid w:val="00EF60FF"/>
    <w:rsid w:val="00EF674C"/>
    <w:rsid w:val="00F16866"/>
    <w:rsid w:val="00F40499"/>
    <w:rsid w:val="00F720CB"/>
    <w:rsid w:val="00FC2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Comic Sans MS" w:hAnsi="Comic Sans MS"/>
      <w:u w:val="single"/>
    </w:rPr>
  </w:style>
  <w:style w:type="paragraph" w:styleId="Titre2">
    <w:name w:val="heading 2"/>
    <w:basedOn w:val="Normal"/>
    <w:next w:val="Normal"/>
    <w:qFormat/>
    <w:pPr>
      <w:keepNext/>
      <w:jc w:val="both"/>
      <w:outlineLvl w:val="1"/>
    </w:pPr>
    <w:rPr>
      <w:rFonts w:ascii="Comic Sans MS" w:hAnsi="Comic Sans MS"/>
      <w:u w:val="single"/>
    </w:rPr>
  </w:style>
  <w:style w:type="paragraph" w:styleId="Titre5">
    <w:name w:val="heading 5"/>
    <w:basedOn w:val="Normal"/>
    <w:next w:val="Normal"/>
    <w:link w:val="Titre5Car"/>
    <w:semiHidden/>
    <w:unhideWhenUsed/>
    <w:qFormat/>
    <w:rsid w:val="00A37B7A"/>
    <w:pPr>
      <w:spacing w:before="240" w:after="60"/>
      <w:outlineLvl w:val="4"/>
    </w:pPr>
    <w:rPr>
      <w:rFonts w:ascii="Calibri" w:hAnsi="Calibri"/>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2">
    <w:name w:val="Body Text 2"/>
    <w:basedOn w:val="Normal"/>
    <w:pPr>
      <w:jc w:val="both"/>
    </w:pPr>
  </w:style>
  <w:style w:type="paragraph" w:styleId="Titre">
    <w:name w:val="Title"/>
    <w:basedOn w:val="Normal"/>
    <w:link w:val="TitreCar"/>
    <w:qFormat/>
    <w:pPr>
      <w:jc w:val="center"/>
    </w:pPr>
    <w:rPr>
      <w:b/>
      <w:bCs/>
      <w:sz w:val="3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Retraitcorpsdetexte">
    <w:name w:val="Body Text Indent"/>
    <w:basedOn w:val="Normal"/>
    <w:pPr>
      <w:ind w:left="900" w:hanging="360"/>
      <w:jc w:val="both"/>
    </w:pPr>
    <w:rPr>
      <w:rFonts w:ascii="Comic Sans MS" w:hAnsi="Comic Sans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table" w:styleId="Grilledutableau">
    <w:name w:val="Table Grid"/>
    <w:basedOn w:val="TableauNormal"/>
    <w:rsid w:val="00600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E4FBB"/>
    <w:rPr>
      <w:rFonts w:ascii="Tahoma" w:hAnsi="Tahoma" w:cs="Tahoma"/>
      <w:sz w:val="16"/>
      <w:szCs w:val="16"/>
    </w:rPr>
  </w:style>
  <w:style w:type="character" w:customStyle="1" w:styleId="TitreCar">
    <w:name w:val="Titre Car"/>
    <w:basedOn w:val="Policepardfaut"/>
    <w:link w:val="Titre"/>
    <w:rsid w:val="00AF219C"/>
    <w:rPr>
      <w:b/>
      <w:bCs/>
      <w:sz w:val="32"/>
      <w:szCs w:val="24"/>
    </w:rPr>
  </w:style>
  <w:style w:type="character" w:styleId="Lienhypertexte">
    <w:name w:val="Hyperlink"/>
    <w:basedOn w:val="Policepardfaut"/>
    <w:unhideWhenUsed/>
    <w:rsid w:val="007E61CC"/>
    <w:rPr>
      <w:color w:val="0000FF"/>
      <w:u w:val="single"/>
    </w:rPr>
  </w:style>
  <w:style w:type="character" w:customStyle="1" w:styleId="PieddepageCar">
    <w:name w:val="Pied de page Car"/>
    <w:basedOn w:val="Policepardfaut"/>
    <w:link w:val="Pieddepage"/>
    <w:rsid w:val="007E61CC"/>
    <w:rPr>
      <w:sz w:val="24"/>
      <w:szCs w:val="24"/>
    </w:rPr>
  </w:style>
  <w:style w:type="character" w:customStyle="1" w:styleId="Titre5Car">
    <w:name w:val="Titre 5 Car"/>
    <w:basedOn w:val="Policepardfaut"/>
    <w:link w:val="Titre5"/>
    <w:semiHidden/>
    <w:rsid w:val="00A37B7A"/>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Comic Sans MS" w:hAnsi="Comic Sans MS"/>
      <w:u w:val="single"/>
    </w:rPr>
  </w:style>
  <w:style w:type="paragraph" w:styleId="Titre2">
    <w:name w:val="heading 2"/>
    <w:basedOn w:val="Normal"/>
    <w:next w:val="Normal"/>
    <w:qFormat/>
    <w:pPr>
      <w:keepNext/>
      <w:jc w:val="both"/>
      <w:outlineLvl w:val="1"/>
    </w:pPr>
    <w:rPr>
      <w:rFonts w:ascii="Comic Sans MS" w:hAnsi="Comic Sans MS"/>
      <w:u w:val="single"/>
    </w:rPr>
  </w:style>
  <w:style w:type="paragraph" w:styleId="Titre5">
    <w:name w:val="heading 5"/>
    <w:basedOn w:val="Normal"/>
    <w:next w:val="Normal"/>
    <w:link w:val="Titre5Car"/>
    <w:semiHidden/>
    <w:unhideWhenUsed/>
    <w:qFormat/>
    <w:rsid w:val="00A37B7A"/>
    <w:pPr>
      <w:spacing w:before="240" w:after="60"/>
      <w:outlineLvl w:val="4"/>
    </w:pPr>
    <w:rPr>
      <w:rFonts w:ascii="Calibri" w:hAnsi="Calibri"/>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2">
    <w:name w:val="Body Text 2"/>
    <w:basedOn w:val="Normal"/>
    <w:pPr>
      <w:jc w:val="both"/>
    </w:pPr>
  </w:style>
  <w:style w:type="paragraph" w:styleId="Titre">
    <w:name w:val="Title"/>
    <w:basedOn w:val="Normal"/>
    <w:link w:val="TitreCar"/>
    <w:qFormat/>
    <w:pPr>
      <w:jc w:val="center"/>
    </w:pPr>
    <w:rPr>
      <w:b/>
      <w:bCs/>
      <w:sz w:val="3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Retraitcorpsdetexte">
    <w:name w:val="Body Text Indent"/>
    <w:basedOn w:val="Normal"/>
    <w:pPr>
      <w:ind w:left="900" w:hanging="360"/>
      <w:jc w:val="both"/>
    </w:pPr>
    <w:rPr>
      <w:rFonts w:ascii="Comic Sans MS" w:hAnsi="Comic Sans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table" w:styleId="Grilledutableau">
    <w:name w:val="Table Grid"/>
    <w:basedOn w:val="TableauNormal"/>
    <w:rsid w:val="00600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E4FBB"/>
    <w:rPr>
      <w:rFonts w:ascii="Tahoma" w:hAnsi="Tahoma" w:cs="Tahoma"/>
      <w:sz w:val="16"/>
      <w:szCs w:val="16"/>
    </w:rPr>
  </w:style>
  <w:style w:type="character" w:customStyle="1" w:styleId="TitreCar">
    <w:name w:val="Titre Car"/>
    <w:basedOn w:val="Policepardfaut"/>
    <w:link w:val="Titre"/>
    <w:rsid w:val="00AF219C"/>
    <w:rPr>
      <w:b/>
      <w:bCs/>
      <w:sz w:val="32"/>
      <w:szCs w:val="24"/>
    </w:rPr>
  </w:style>
  <w:style w:type="character" w:styleId="Lienhypertexte">
    <w:name w:val="Hyperlink"/>
    <w:basedOn w:val="Policepardfaut"/>
    <w:unhideWhenUsed/>
    <w:rsid w:val="007E61CC"/>
    <w:rPr>
      <w:color w:val="0000FF"/>
      <w:u w:val="single"/>
    </w:rPr>
  </w:style>
  <w:style w:type="character" w:customStyle="1" w:styleId="PieddepageCar">
    <w:name w:val="Pied de page Car"/>
    <w:basedOn w:val="Policepardfaut"/>
    <w:link w:val="Pieddepage"/>
    <w:rsid w:val="007E61CC"/>
    <w:rPr>
      <w:sz w:val="24"/>
      <w:szCs w:val="24"/>
    </w:rPr>
  </w:style>
  <w:style w:type="character" w:customStyle="1" w:styleId="Titre5Car">
    <w:name w:val="Titre 5 Car"/>
    <w:basedOn w:val="Policepardfaut"/>
    <w:link w:val="Titre5"/>
    <w:semiHidden/>
    <w:rsid w:val="00A37B7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mptaz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5524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6515</CharactersWithSpaces>
  <SharedDoc>false</SharedDoc>
  <HLinks>
    <vt:vector size="6" baseType="variant">
      <vt:variant>
        <vt:i4>1638468</vt:i4>
      </vt:variant>
      <vt:variant>
        <vt:i4>2</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2011-06-09T09:21:00Z</cp:lastPrinted>
  <dcterms:created xsi:type="dcterms:W3CDTF">2012-09-11T16:46:00Z</dcterms:created>
  <dcterms:modified xsi:type="dcterms:W3CDTF">2012-09-11T16:46:00Z</dcterms:modified>
</cp:coreProperties>
</file>