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C71" w:rsidRPr="00803F96" w:rsidRDefault="00917116" w:rsidP="008B3C71">
      <w:pPr>
        <w:pStyle w:val="Titre"/>
        <w:pBdr>
          <w:top w:val="single" w:sz="4" w:space="1" w:color="auto"/>
          <w:left w:val="single" w:sz="4" w:space="4" w:color="auto"/>
          <w:bottom w:val="single" w:sz="4" w:space="1" w:color="auto"/>
          <w:right w:val="single" w:sz="4" w:space="4" w:color="auto"/>
        </w:pBdr>
        <w:rPr>
          <w:bCs w:val="0"/>
          <w:sz w:val="22"/>
          <w:szCs w:val="22"/>
        </w:rPr>
      </w:pPr>
      <w:bookmarkStart w:id="0" w:name="_GoBack"/>
      <w:bookmarkEnd w:id="0"/>
      <w:r>
        <w:rPr>
          <w:bCs w:val="0"/>
          <w:sz w:val="22"/>
          <w:szCs w:val="22"/>
        </w:rPr>
        <w:t>DCG session 2012</w:t>
      </w:r>
      <w:r w:rsidR="008B3C71" w:rsidRPr="00803F96">
        <w:rPr>
          <w:bCs w:val="0"/>
          <w:sz w:val="22"/>
          <w:szCs w:val="22"/>
        </w:rPr>
        <w:tab/>
      </w:r>
      <w:r w:rsidR="008B3C71" w:rsidRPr="00803F96">
        <w:rPr>
          <w:bCs w:val="0"/>
          <w:sz w:val="22"/>
          <w:szCs w:val="22"/>
        </w:rPr>
        <w:tab/>
        <w:t>UE1 Introduction au droit</w:t>
      </w:r>
      <w:r w:rsidR="008B3C71" w:rsidRPr="00803F96">
        <w:rPr>
          <w:bCs w:val="0"/>
          <w:sz w:val="22"/>
          <w:szCs w:val="22"/>
        </w:rPr>
        <w:tab/>
      </w:r>
      <w:r w:rsidR="008B3C71" w:rsidRPr="00803F96">
        <w:rPr>
          <w:bCs w:val="0"/>
          <w:sz w:val="22"/>
          <w:szCs w:val="22"/>
        </w:rPr>
        <w:tab/>
        <w:t>Corrigé indicatif</w:t>
      </w:r>
    </w:p>
    <w:p w:rsidR="008B3C71" w:rsidRPr="00873EA2" w:rsidRDefault="008B3C71" w:rsidP="008B3C71">
      <w:pPr>
        <w:jc w:val="both"/>
        <w:rPr>
          <w:sz w:val="16"/>
          <w:szCs w:val="16"/>
        </w:rPr>
      </w:pPr>
    </w:p>
    <w:p w:rsidR="008B3C71" w:rsidRPr="00DF3658" w:rsidRDefault="00917116" w:rsidP="00DF3658">
      <w:pPr>
        <w:pBdr>
          <w:top w:val="single" w:sz="4" w:space="1" w:color="auto"/>
          <w:left w:val="single" w:sz="4" w:space="4" w:color="auto"/>
          <w:bottom w:val="single" w:sz="4" w:space="1" w:color="auto"/>
          <w:right w:val="single" w:sz="4" w:space="4" w:color="auto"/>
        </w:pBdr>
        <w:shd w:val="clear" w:color="auto" w:fill="E0E0E0"/>
        <w:ind w:right="85"/>
        <w:jc w:val="center"/>
        <w:rPr>
          <w:b/>
          <w:bCs/>
          <w:sz w:val="22"/>
          <w:szCs w:val="22"/>
        </w:rPr>
      </w:pPr>
      <w:r>
        <w:rPr>
          <w:b/>
          <w:bCs/>
          <w:sz w:val="22"/>
          <w:szCs w:val="22"/>
        </w:rPr>
        <w:t>DOSS</w:t>
      </w:r>
      <w:r w:rsidR="00EA3D23">
        <w:rPr>
          <w:b/>
          <w:bCs/>
          <w:sz w:val="22"/>
          <w:szCs w:val="22"/>
        </w:rPr>
        <w:t>IER 1 : COMMENTAIRE DE DOCUMENT</w:t>
      </w:r>
    </w:p>
    <w:p w:rsidR="00917116" w:rsidRDefault="00917116" w:rsidP="00521AA8">
      <w:pPr>
        <w:jc w:val="both"/>
      </w:pPr>
    </w:p>
    <w:p w:rsidR="00917116" w:rsidRPr="00F25ED3" w:rsidRDefault="00F25ED3" w:rsidP="00521AA8">
      <w:pPr>
        <w:jc w:val="both"/>
        <w:rPr>
          <w:sz w:val="22"/>
          <w:szCs w:val="22"/>
        </w:rPr>
      </w:pPr>
      <w:r w:rsidRPr="00F25ED3">
        <w:rPr>
          <w:b/>
          <w:bCs/>
          <w:sz w:val="22"/>
          <w:szCs w:val="22"/>
        </w:rPr>
        <w:t>1-1. Pourquoi Mme X a-t-elle saisi la juridiction de proximité de Soissons ?</w:t>
      </w:r>
    </w:p>
    <w:p w:rsidR="00F25ED3" w:rsidRDefault="00F25ED3" w:rsidP="00521AA8">
      <w:pPr>
        <w:jc w:val="both"/>
      </w:pPr>
    </w:p>
    <w:p w:rsidR="00F25ED3" w:rsidRPr="00161709" w:rsidRDefault="00F25ED3" w:rsidP="00521AA8">
      <w:pPr>
        <w:jc w:val="both"/>
        <w:rPr>
          <w:sz w:val="22"/>
          <w:szCs w:val="22"/>
        </w:rPr>
      </w:pPr>
      <w:r w:rsidRPr="00161709">
        <w:rPr>
          <w:sz w:val="22"/>
          <w:szCs w:val="22"/>
        </w:rPr>
        <w:t xml:space="preserve">Compétence d’attribution : la juridiction de proximité est compétente en matière civile, pour les affaires mobilières ou personnelles de faible montant (inférieures ou égales à 4 000 €). </w:t>
      </w:r>
    </w:p>
    <w:p w:rsidR="00F25ED3" w:rsidRDefault="00161709" w:rsidP="00521AA8">
      <w:pPr>
        <w:jc w:val="both"/>
        <w:rPr>
          <w:sz w:val="22"/>
          <w:szCs w:val="22"/>
        </w:rPr>
      </w:pPr>
      <w:r w:rsidRPr="00161709">
        <w:rPr>
          <w:sz w:val="22"/>
          <w:szCs w:val="22"/>
        </w:rPr>
        <w:t>Compétence territoriale : le demandeur a une option entre le tribunal du domicile du défendeur ou celui du lieu d’exécution de la prestation de service.</w:t>
      </w:r>
      <w:r w:rsidR="00C77F31">
        <w:rPr>
          <w:sz w:val="22"/>
          <w:szCs w:val="22"/>
        </w:rPr>
        <w:t xml:space="preserve"> </w:t>
      </w:r>
    </w:p>
    <w:p w:rsidR="00207DDF" w:rsidRPr="00207DDF" w:rsidRDefault="00BB68D1" w:rsidP="00BB68D1">
      <w:pPr>
        <w:jc w:val="both"/>
        <w:rPr>
          <w:i/>
          <w:sz w:val="20"/>
          <w:szCs w:val="20"/>
        </w:rPr>
      </w:pPr>
      <w:r w:rsidRPr="00207DDF">
        <w:rPr>
          <w:i/>
          <w:sz w:val="20"/>
          <w:szCs w:val="20"/>
        </w:rPr>
        <w:t>Pour la compétence territoriale on peut admettre le raisonnement suivant : le contrat conclu est un contrat de consommation, c’est un acte mixte. Aux termes de l’article L.141-5 du Code de la consommation, le consommateur peut saisir à son choix, outre l’une des juridictions territorialement compétentes en vertu du Code procédure civile, la juridiction du lieu où il demeurait au moment de la conclusion du contrat ou de la survenance du fait dommageable.</w:t>
      </w:r>
    </w:p>
    <w:p w:rsidR="00BB68D1" w:rsidRPr="00BB68D1" w:rsidRDefault="00161709" w:rsidP="00BB68D1">
      <w:pPr>
        <w:jc w:val="both"/>
        <w:rPr>
          <w:sz w:val="22"/>
          <w:szCs w:val="22"/>
        </w:rPr>
      </w:pPr>
      <w:r w:rsidRPr="00161709">
        <w:rPr>
          <w:sz w:val="22"/>
          <w:szCs w:val="22"/>
        </w:rPr>
        <w:t>Au cas d’espèce, le tribunal compétent est la juridiction de proximité de Soissons.</w:t>
      </w:r>
    </w:p>
    <w:p w:rsidR="00C77F31" w:rsidRPr="00C77F31" w:rsidRDefault="00C77F31" w:rsidP="00521AA8">
      <w:pPr>
        <w:spacing w:before="252"/>
        <w:jc w:val="both"/>
        <w:rPr>
          <w:b/>
          <w:bCs/>
          <w:sz w:val="22"/>
          <w:szCs w:val="22"/>
        </w:rPr>
      </w:pPr>
      <w:r w:rsidRPr="00C77F31">
        <w:rPr>
          <w:b/>
          <w:bCs/>
          <w:sz w:val="22"/>
          <w:szCs w:val="22"/>
        </w:rPr>
        <w:t xml:space="preserve">1-2. À quelles conditions la responsabilité civile contractuelle </w:t>
      </w:r>
      <w:r w:rsidR="00B23979">
        <w:rPr>
          <w:b/>
          <w:bCs/>
          <w:sz w:val="22"/>
          <w:szCs w:val="22"/>
        </w:rPr>
        <w:t>peut-</w:t>
      </w:r>
      <w:r w:rsidR="00B23979" w:rsidRPr="00C77F31">
        <w:rPr>
          <w:b/>
          <w:bCs/>
          <w:sz w:val="22"/>
          <w:szCs w:val="22"/>
        </w:rPr>
        <w:t>elle</w:t>
      </w:r>
      <w:r w:rsidRPr="00C77F31">
        <w:rPr>
          <w:b/>
          <w:bCs/>
          <w:sz w:val="22"/>
          <w:szCs w:val="22"/>
        </w:rPr>
        <w:t xml:space="preserve"> être engagée ?</w:t>
      </w:r>
      <w:r>
        <w:rPr>
          <w:b/>
          <w:bCs/>
          <w:sz w:val="22"/>
          <w:szCs w:val="22"/>
        </w:rPr>
        <w:t xml:space="preserve"> </w:t>
      </w:r>
      <w:r w:rsidRPr="00C77F31">
        <w:rPr>
          <w:b/>
          <w:bCs/>
          <w:sz w:val="22"/>
          <w:szCs w:val="22"/>
        </w:rPr>
        <w:t>Justi</w:t>
      </w:r>
      <w:r>
        <w:rPr>
          <w:b/>
          <w:bCs/>
          <w:sz w:val="22"/>
          <w:szCs w:val="22"/>
        </w:rPr>
        <w:t xml:space="preserve">fiez votre réponse. </w:t>
      </w:r>
    </w:p>
    <w:p w:rsidR="00917116" w:rsidRDefault="00917116" w:rsidP="00521AA8">
      <w:pPr>
        <w:jc w:val="both"/>
      </w:pPr>
    </w:p>
    <w:p w:rsidR="00456FCF" w:rsidRDefault="003E72A3" w:rsidP="00521AA8">
      <w:pPr>
        <w:jc w:val="both"/>
      </w:pPr>
      <w:r w:rsidRPr="003E72A3">
        <w:rPr>
          <w:u w:val="single"/>
        </w:rPr>
        <w:t>1</w:t>
      </w:r>
      <w:r w:rsidRPr="003E72A3">
        <w:rPr>
          <w:u w:val="single"/>
          <w:vertAlign w:val="superscript"/>
        </w:rPr>
        <w:t>ère</w:t>
      </w:r>
      <w:r w:rsidRPr="003E72A3">
        <w:rPr>
          <w:u w:val="single"/>
        </w:rPr>
        <w:t xml:space="preserve"> solution</w:t>
      </w:r>
      <w:r>
        <w:t> : Pour que la responsabilité civile contractuelle puisse être engagée, il faut :</w:t>
      </w:r>
    </w:p>
    <w:p w:rsidR="003E72A3" w:rsidRDefault="003E72A3" w:rsidP="00521AA8">
      <w:pPr>
        <w:numPr>
          <w:ilvl w:val="0"/>
          <w:numId w:val="1"/>
        </w:numPr>
        <w:jc w:val="both"/>
      </w:pPr>
      <w:r>
        <w:t>un fait générateur : c’est une mauvaise exécution du contrat,</w:t>
      </w:r>
    </w:p>
    <w:p w:rsidR="003E72A3" w:rsidRDefault="003E72A3" w:rsidP="00521AA8">
      <w:pPr>
        <w:numPr>
          <w:ilvl w:val="0"/>
          <w:numId w:val="1"/>
        </w:numPr>
        <w:jc w:val="both"/>
      </w:pPr>
      <w:r>
        <w:t>un dommage : un préjudice résultant de l’inexécution,</w:t>
      </w:r>
    </w:p>
    <w:p w:rsidR="003E72A3" w:rsidRDefault="003E72A3" w:rsidP="00521AA8">
      <w:pPr>
        <w:numPr>
          <w:ilvl w:val="0"/>
          <w:numId w:val="1"/>
        </w:numPr>
        <w:jc w:val="both"/>
      </w:pPr>
      <w:r>
        <w:t>un lien de causalité : un lien de cause à effet entre le fait générateur et le dommage.</w:t>
      </w:r>
    </w:p>
    <w:p w:rsidR="00917116" w:rsidRDefault="00917116" w:rsidP="00521AA8">
      <w:pPr>
        <w:jc w:val="both"/>
      </w:pPr>
    </w:p>
    <w:p w:rsidR="003E72A3" w:rsidRDefault="003E72A3" w:rsidP="00521AA8">
      <w:pPr>
        <w:jc w:val="both"/>
      </w:pPr>
      <w:r w:rsidRPr="00521AA8">
        <w:rPr>
          <w:u w:val="single"/>
        </w:rPr>
        <w:t>2</w:t>
      </w:r>
      <w:r w:rsidRPr="00521AA8">
        <w:rPr>
          <w:u w:val="single"/>
          <w:vertAlign w:val="superscript"/>
        </w:rPr>
        <w:t>ème</w:t>
      </w:r>
      <w:r w:rsidRPr="00521AA8">
        <w:rPr>
          <w:u w:val="single"/>
        </w:rPr>
        <w:t xml:space="preserve"> solution</w:t>
      </w:r>
      <w:r>
        <w:t> :</w:t>
      </w:r>
      <w:r w:rsidR="002D2888">
        <w:t xml:space="preserve"> Pour que la responsabilité civile contractuelle puisse être engagée, il faut :</w:t>
      </w:r>
    </w:p>
    <w:p w:rsidR="002D2888" w:rsidRDefault="002D2888" w:rsidP="00521AA8">
      <w:pPr>
        <w:numPr>
          <w:ilvl w:val="0"/>
          <w:numId w:val="2"/>
        </w:numPr>
        <w:jc w:val="both"/>
      </w:pPr>
      <w:r>
        <w:t>un dommage : privation du forfait tout compris pendant deux mois,</w:t>
      </w:r>
    </w:p>
    <w:p w:rsidR="002D2888" w:rsidRDefault="002D2888" w:rsidP="00521AA8">
      <w:pPr>
        <w:numPr>
          <w:ilvl w:val="0"/>
          <w:numId w:val="2"/>
        </w:numPr>
        <w:jc w:val="both"/>
      </w:pPr>
      <w:r>
        <w:t>un fait générateur : l’inexécution du contrat. Lorsque le débiteur s’est engagé à fournir un résultat précis, l’obligation est de résultat. Il y a faute dès que le débiteur n’a pas exécuté ce à quoi il s’est engagé. Au cas d’espèce, « l’opérateur a maintenu les prélèvements bancaires alors que l’installation n’était pas effective, la société Y a rompu l’équilibre du contrat »,</w:t>
      </w:r>
    </w:p>
    <w:p w:rsidR="002D2888" w:rsidRDefault="002D2888" w:rsidP="00521AA8">
      <w:pPr>
        <w:numPr>
          <w:ilvl w:val="0"/>
          <w:numId w:val="2"/>
        </w:numPr>
        <w:jc w:val="both"/>
      </w:pPr>
      <w:r>
        <w:t>un lien de causalité : c’est bien parce que l’installation n’était pas effective que l’abonnée ne pouvait pas utiliser son forfait.</w:t>
      </w:r>
    </w:p>
    <w:p w:rsidR="00917116" w:rsidRPr="00521AA8" w:rsidRDefault="00521AA8" w:rsidP="00521AA8">
      <w:pPr>
        <w:spacing w:before="252"/>
        <w:jc w:val="both"/>
        <w:rPr>
          <w:b/>
          <w:bCs/>
          <w:sz w:val="22"/>
          <w:szCs w:val="22"/>
        </w:rPr>
      </w:pPr>
      <w:r w:rsidRPr="00521AA8">
        <w:rPr>
          <w:b/>
          <w:bCs/>
          <w:sz w:val="22"/>
          <w:szCs w:val="22"/>
        </w:rPr>
        <w:t>1-3. Quelles sont les causes d’exonération de la responsabilité civile contractuelle ?</w:t>
      </w:r>
      <w:r>
        <w:rPr>
          <w:b/>
          <w:bCs/>
          <w:sz w:val="22"/>
          <w:szCs w:val="22"/>
        </w:rPr>
        <w:t xml:space="preserve"> </w:t>
      </w:r>
      <w:r w:rsidRPr="00521AA8">
        <w:rPr>
          <w:b/>
          <w:bCs/>
          <w:sz w:val="22"/>
          <w:szCs w:val="22"/>
        </w:rPr>
        <w:t xml:space="preserve">Identifiez la cause invoquée par la société Y. </w:t>
      </w:r>
    </w:p>
    <w:p w:rsidR="00917116" w:rsidRDefault="00917116" w:rsidP="00521AA8">
      <w:pPr>
        <w:jc w:val="both"/>
      </w:pPr>
    </w:p>
    <w:p w:rsidR="00EE71ED" w:rsidRDefault="00EE71ED" w:rsidP="00521AA8">
      <w:pPr>
        <w:jc w:val="both"/>
      </w:pPr>
      <w:r>
        <w:t>Lorsque l’on s’engage à fournir un résultat précis, l’obligation est de résultat. Le débiteur peut s’exonérer en cas de force majeure, de faute du créancier ou du fait d’un tiers. La société Y invoque deux causes d’exonération :</w:t>
      </w:r>
    </w:p>
    <w:p w:rsidR="00EE71ED" w:rsidRDefault="00EE71ED" w:rsidP="00EE71ED">
      <w:pPr>
        <w:numPr>
          <w:ilvl w:val="0"/>
          <w:numId w:val="3"/>
        </w:numPr>
        <w:jc w:val="both"/>
      </w:pPr>
      <w:r>
        <w:t>la force majeure : « éléments insurmontables et irrésistibles » à savoir « le mauvais temps qui a sévi en fin d’année 2010 ».</w:t>
      </w:r>
    </w:p>
    <w:p w:rsidR="00EE71ED" w:rsidRDefault="00EE71ED" w:rsidP="00EE71ED">
      <w:pPr>
        <w:numPr>
          <w:ilvl w:val="0"/>
          <w:numId w:val="3"/>
        </w:numPr>
        <w:jc w:val="both"/>
      </w:pPr>
      <w:r>
        <w:t>le fait d’un tiers : « le recouvrement du regard PTT par du macadam ».</w:t>
      </w:r>
    </w:p>
    <w:p w:rsidR="00917116" w:rsidRDefault="00917116" w:rsidP="00521AA8">
      <w:pPr>
        <w:jc w:val="both"/>
      </w:pPr>
    </w:p>
    <w:p w:rsidR="000B7675" w:rsidRPr="000B7675" w:rsidRDefault="000B7675" w:rsidP="000B7675">
      <w:pPr>
        <w:rPr>
          <w:b/>
          <w:bCs/>
          <w:sz w:val="22"/>
          <w:szCs w:val="22"/>
        </w:rPr>
      </w:pPr>
      <w:r w:rsidRPr="000B7675">
        <w:rPr>
          <w:b/>
          <w:bCs/>
          <w:sz w:val="22"/>
          <w:szCs w:val="22"/>
        </w:rPr>
        <w:t xml:space="preserve">1-4. Quelle décision la juridiction de proximité a-t-elle rendue ? Comment cette décision est-elle motivée ? </w:t>
      </w:r>
    </w:p>
    <w:p w:rsidR="00A17BA8" w:rsidRDefault="00A17BA8" w:rsidP="00A17BA8">
      <w:pPr>
        <w:jc w:val="both"/>
        <w:rPr>
          <w:sz w:val="22"/>
          <w:szCs w:val="22"/>
          <w:u w:val="single"/>
        </w:rPr>
      </w:pPr>
    </w:p>
    <w:p w:rsidR="000B7675" w:rsidRPr="000B7675" w:rsidRDefault="000B7675" w:rsidP="00A17BA8">
      <w:pPr>
        <w:jc w:val="both"/>
        <w:rPr>
          <w:sz w:val="22"/>
          <w:szCs w:val="22"/>
        </w:rPr>
      </w:pPr>
      <w:r w:rsidRPr="000B7675">
        <w:rPr>
          <w:sz w:val="22"/>
          <w:szCs w:val="22"/>
          <w:u w:val="single"/>
        </w:rPr>
        <w:t>Solution</w:t>
      </w:r>
      <w:r w:rsidRPr="000B7675">
        <w:rPr>
          <w:sz w:val="22"/>
          <w:szCs w:val="22"/>
        </w:rPr>
        <w:t xml:space="preserve"> :</w:t>
      </w:r>
    </w:p>
    <w:p w:rsidR="000B7675" w:rsidRPr="000B7675" w:rsidRDefault="000B7675" w:rsidP="00A17BA8">
      <w:pPr>
        <w:numPr>
          <w:ilvl w:val="0"/>
          <w:numId w:val="4"/>
        </w:numPr>
        <w:jc w:val="both"/>
        <w:rPr>
          <w:sz w:val="22"/>
          <w:szCs w:val="22"/>
        </w:rPr>
      </w:pPr>
      <w:r w:rsidRPr="000B7675">
        <w:rPr>
          <w:sz w:val="22"/>
          <w:szCs w:val="22"/>
        </w:rPr>
        <w:t>La société Y a</w:t>
      </w:r>
      <w:r w:rsidR="00A17BA8">
        <w:rPr>
          <w:sz w:val="22"/>
          <w:szCs w:val="22"/>
        </w:rPr>
        <w:t xml:space="preserve"> été condamnée à payer 800 €</w:t>
      </w:r>
      <w:r w:rsidRPr="000B7675">
        <w:rPr>
          <w:sz w:val="22"/>
          <w:szCs w:val="22"/>
        </w:rPr>
        <w:t xml:space="preserve"> de dommages et intérêts à sa cliente et aux dépens.</w:t>
      </w:r>
    </w:p>
    <w:p w:rsidR="000B7675" w:rsidRPr="000B7675" w:rsidRDefault="000B7675" w:rsidP="00A17BA8">
      <w:pPr>
        <w:jc w:val="both"/>
        <w:rPr>
          <w:sz w:val="22"/>
          <w:szCs w:val="22"/>
        </w:rPr>
      </w:pPr>
    </w:p>
    <w:p w:rsidR="000B7675" w:rsidRPr="000B7675" w:rsidRDefault="000B7675" w:rsidP="00A17BA8">
      <w:pPr>
        <w:jc w:val="both"/>
        <w:rPr>
          <w:sz w:val="22"/>
          <w:szCs w:val="22"/>
        </w:rPr>
      </w:pPr>
      <w:r w:rsidRPr="000B7675">
        <w:rPr>
          <w:sz w:val="22"/>
          <w:szCs w:val="22"/>
          <w:u w:val="single"/>
        </w:rPr>
        <w:t>Motivations</w:t>
      </w:r>
      <w:r w:rsidRPr="000B7675">
        <w:rPr>
          <w:sz w:val="22"/>
          <w:szCs w:val="22"/>
        </w:rPr>
        <w:t xml:space="preserve"> :</w:t>
      </w:r>
    </w:p>
    <w:p w:rsidR="000B7675" w:rsidRPr="000B7675" w:rsidRDefault="000B7675" w:rsidP="00A17BA8">
      <w:pPr>
        <w:numPr>
          <w:ilvl w:val="0"/>
          <w:numId w:val="4"/>
        </w:numPr>
        <w:jc w:val="both"/>
        <w:rPr>
          <w:sz w:val="22"/>
          <w:szCs w:val="22"/>
        </w:rPr>
      </w:pPr>
      <w:r w:rsidRPr="000B7675">
        <w:rPr>
          <w:sz w:val="22"/>
          <w:szCs w:val="22"/>
        </w:rPr>
        <w:t xml:space="preserve">La société Y a </w:t>
      </w:r>
      <w:r w:rsidRPr="000B7675">
        <w:rPr>
          <w:b/>
          <w:bCs/>
          <w:sz w:val="22"/>
          <w:szCs w:val="22"/>
        </w:rPr>
        <w:t xml:space="preserve">rompu l’équilibre du contrat </w:t>
      </w:r>
      <w:r w:rsidRPr="000B7675">
        <w:rPr>
          <w:sz w:val="22"/>
          <w:szCs w:val="22"/>
        </w:rPr>
        <w:t>(synallagmatique). Mme X continuait de payer alors que la société Y ne fournissait pas la prestation convenue.</w:t>
      </w:r>
    </w:p>
    <w:p w:rsidR="000B7675" w:rsidRPr="000B7675" w:rsidRDefault="000B7675" w:rsidP="00A17BA8">
      <w:pPr>
        <w:numPr>
          <w:ilvl w:val="0"/>
          <w:numId w:val="4"/>
        </w:numPr>
        <w:jc w:val="both"/>
        <w:rPr>
          <w:sz w:val="22"/>
          <w:szCs w:val="22"/>
        </w:rPr>
      </w:pPr>
      <w:r w:rsidRPr="000B7675">
        <w:rPr>
          <w:sz w:val="22"/>
          <w:szCs w:val="22"/>
        </w:rPr>
        <w:t xml:space="preserve">Il est reproché à la société Y </w:t>
      </w:r>
      <w:r w:rsidRPr="000B7675">
        <w:rPr>
          <w:b/>
          <w:bCs/>
          <w:sz w:val="22"/>
          <w:szCs w:val="22"/>
        </w:rPr>
        <w:t xml:space="preserve">son manque d’information, une communication incomplète </w:t>
      </w:r>
      <w:r w:rsidRPr="000B7675">
        <w:rPr>
          <w:sz w:val="22"/>
          <w:szCs w:val="22"/>
        </w:rPr>
        <w:t>qui plonge son client dans une situation d’impuissance.</w:t>
      </w:r>
    </w:p>
    <w:p w:rsidR="000B7675" w:rsidRPr="000B7675" w:rsidRDefault="000B7675" w:rsidP="00A17BA8">
      <w:pPr>
        <w:numPr>
          <w:ilvl w:val="0"/>
          <w:numId w:val="4"/>
        </w:numPr>
        <w:jc w:val="both"/>
        <w:rPr>
          <w:sz w:val="22"/>
          <w:szCs w:val="22"/>
        </w:rPr>
      </w:pPr>
      <w:r w:rsidRPr="000B7675">
        <w:rPr>
          <w:sz w:val="22"/>
          <w:szCs w:val="22"/>
        </w:rPr>
        <w:t xml:space="preserve">La </w:t>
      </w:r>
      <w:r w:rsidRPr="000B7675">
        <w:rPr>
          <w:b/>
          <w:bCs/>
          <w:sz w:val="22"/>
          <w:szCs w:val="22"/>
        </w:rPr>
        <w:t xml:space="preserve">force majeure </w:t>
      </w:r>
      <w:r w:rsidRPr="000B7675">
        <w:rPr>
          <w:sz w:val="22"/>
          <w:szCs w:val="22"/>
        </w:rPr>
        <w:t>est écartée.</w:t>
      </w:r>
    </w:p>
    <w:p w:rsidR="000B7675" w:rsidRPr="001542D8" w:rsidRDefault="000B7675" w:rsidP="000B7675"/>
    <w:p w:rsidR="00EE71ED" w:rsidRDefault="00EE71ED" w:rsidP="00521AA8">
      <w:pPr>
        <w:jc w:val="both"/>
      </w:pPr>
    </w:p>
    <w:p w:rsidR="00B36B67" w:rsidRPr="00DF3658" w:rsidRDefault="00B36B67" w:rsidP="00B36B67">
      <w:pPr>
        <w:pBdr>
          <w:top w:val="single" w:sz="4" w:space="1" w:color="auto"/>
          <w:left w:val="single" w:sz="4" w:space="4" w:color="auto"/>
          <w:bottom w:val="single" w:sz="4" w:space="1" w:color="auto"/>
          <w:right w:val="single" w:sz="4" w:space="4" w:color="auto"/>
        </w:pBdr>
        <w:shd w:val="clear" w:color="auto" w:fill="E0E0E0"/>
        <w:ind w:right="85"/>
        <w:jc w:val="center"/>
        <w:rPr>
          <w:b/>
          <w:bCs/>
          <w:sz w:val="22"/>
          <w:szCs w:val="22"/>
        </w:rPr>
      </w:pPr>
      <w:r>
        <w:rPr>
          <w:b/>
          <w:bCs/>
          <w:sz w:val="22"/>
          <w:szCs w:val="22"/>
        </w:rPr>
        <w:lastRenderedPageBreak/>
        <w:t>DOSSIER 2 : SITUATION PRATIQUE</w:t>
      </w:r>
    </w:p>
    <w:p w:rsidR="00EE71ED" w:rsidRDefault="00EE71ED" w:rsidP="00521AA8">
      <w:pPr>
        <w:jc w:val="both"/>
      </w:pPr>
    </w:p>
    <w:p w:rsidR="00EE71ED" w:rsidRPr="009F3FFB" w:rsidRDefault="009F3FFB" w:rsidP="00521AA8">
      <w:pPr>
        <w:jc w:val="both"/>
        <w:rPr>
          <w:b/>
          <w:sz w:val="22"/>
          <w:szCs w:val="22"/>
        </w:rPr>
      </w:pPr>
      <w:r w:rsidRPr="009F3FFB">
        <w:rPr>
          <w:b/>
          <w:bCs/>
          <w:sz w:val="22"/>
          <w:szCs w:val="22"/>
        </w:rPr>
        <w:t>2-1. Monsieur Albert Flamac est-il commerçant ou artisan ?</w:t>
      </w:r>
    </w:p>
    <w:p w:rsidR="009F3FFB" w:rsidRDefault="009F3FFB" w:rsidP="004D0114">
      <w:pPr>
        <w:rPr>
          <w:sz w:val="22"/>
          <w:szCs w:val="22"/>
        </w:rPr>
      </w:pPr>
    </w:p>
    <w:p w:rsidR="004D0114" w:rsidRPr="004D0114" w:rsidRDefault="004D0114" w:rsidP="004D0114">
      <w:pPr>
        <w:rPr>
          <w:sz w:val="22"/>
          <w:szCs w:val="22"/>
        </w:rPr>
      </w:pPr>
      <w:r w:rsidRPr="004D0114">
        <w:rPr>
          <w:sz w:val="22"/>
          <w:szCs w:val="22"/>
        </w:rPr>
        <w:t>L’article L. 121-1 du Code de commerce pose que : « Sont commerçants ceux qui exercent des actes de commerce et en font leur profession habituelle ».</w:t>
      </w:r>
    </w:p>
    <w:p w:rsidR="004D0114" w:rsidRPr="004D0114" w:rsidRDefault="004D0114" w:rsidP="004D0114">
      <w:pPr>
        <w:jc w:val="both"/>
        <w:rPr>
          <w:sz w:val="22"/>
          <w:szCs w:val="22"/>
        </w:rPr>
      </w:pPr>
      <w:r w:rsidRPr="004D0114">
        <w:rPr>
          <w:sz w:val="22"/>
          <w:szCs w:val="22"/>
        </w:rPr>
        <w:t>Les actes de commerce doivent être réalisés à titre professionnel (actes spéculatifs pour en vivre) et à titre habituel (actes répétitifs). La jurisprudence ajoute que le commerçant doit agir de façon indépendante et en son nom personnel (pas de lien de subordination).</w:t>
      </w:r>
    </w:p>
    <w:p w:rsidR="004D0114" w:rsidRPr="004D0114" w:rsidRDefault="004D0114" w:rsidP="004D0114">
      <w:pPr>
        <w:rPr>
          <w:sz w:val="22"/>
          <w:szCs w:val="22"/>
        </w:rPr>
      </w:pPr>
    </w:p>
    <w:p w:rsidR="004D0114" w:rsidRPr="004D0114" w:rsidRDefault="004D0114" w:rsidP="004D0114">
      <w:pPr>
        <w:rPr>
          <w:sz w:val="22"/>
          <w:szCs w:val="22"/>
        </w:rPr>
      </w:pPr>
      <w:r w:rsidRPr="004D0114">
        <w:rPr>
          <w:sz w:val="22"/>
          <w:szCs w:val="22"/>
        </w:rPr>
        <w:t>L’artisan est un professionnel indépendant et qualifié, qui exerce un métier manuel dans une entreprise de dimension modeste. Il s’abstient de spéculer.</w:t>
      </w:r>
    </w:p>
    <w:p w:rsidR="004D0114" w:rsidRDefault="004D0114" w:rsidP="004D0114">
      <w:pPr>
        <w:rPr>
          <w:sz w:val="22"/>
          <w:szCs w:val="22"/>
        </w:rPr>
      </w:pPr>
    </w:p>
    <w:p w:rsidR="004D0114" w:rsidRPr="004D0114" w:rsidRDefault="004D0114" w:rsidP="004D0114">
      <w:pPr>
        <w:rPr>
          <w:sz w:val="22"/>
          <w:szCs w:val="22"/>
        </w:rPr>
      </w:pPr>
    </w:p>
    <w:p w:rsidR="004D0114" w:rsidRPr="004D0114" w:rsidRDefault="00977DBE" w:rsidP="004D0114">
      <w:pPr>
        <w:rPr>
          <w:bCs/>
          <w:sz w:val="22"/>
          <w:szCs w:val="22"/>
          <w:u w:val="single"/>
        </w:rPr>
      </w:pPr>
      <w:r>
        <w:rPr>
          <w:bCs/>
          <w:sz w:val="22"/>
          <w:szCs w:val="22"/>
          <w:u w:val="single"/>
        </w:rPr>
        <w:t xml:space="preserve">Solution </w:t>
      </w:r>
    </w:p>
    <w:p w:rsidR="009257CB" w:rsidRDefault="004D0114" w:rsidP="009257CB">
      <w:pPr>
        <w:jc w:val="both"/>
        <w:rPr>
          <w:sz w:val="22"/>
          <w:szCs w:val="22"/>
        </w:rPr>
      </w:pPr>
      <w:r w:rsidRPr="004D0114">
        <w:rPr>
          <w:sz w:val="22"/>
          <w:szCs w:val="22"/>
        </w:rPr>
        <w:t>Albert Flamac achète des ordinateurs pour les revendre, il agit à titre professionnel, habituel, de façon indépendante et en son nom personnel. Albert Flamac est un commerçant, la réparation restant minoritaire.</w:t>
      </w:r>
    </w:p>
    <w:p w:rsidR="009257CB" w:rsidRDefault="009257CB" w:rsidP="009257CB">
      <w:pPr>
        <w:jc w:val="both"/>
        <w:rPr>
          <w:sz w:val="22"/>
          <w:szCs w:val="22"/>
        </w:rPr>
      </w:pPr>
    </w:p>
    <w:p w:rsidR="009257CB" w:rsidRDefault="009257CB" w:rsidP="00EE71ED">
      <w:pPr>
        <w:tabs>
          <w:tab w:val="left" w:pos="8864"/>
        </w:tabs>
        <w:rPr>
          <w:b/>
          <w:bCs/>
          <w:sz w:val="22"/>
          <w:szCs w:val="22"/>
        </w:rPr>
      </w:pPr>
      <w:r w:rsidRPr="009257CB">
        <w:rPr>
          <w:b/>
          <w:bCs/>
          <w:sz w:val="22"/>
          <w:szCs w:val="22"/>
        </w:rPr>
        <w:t>2-2. Que peut faire Jeanne ? Vous répondrez à la question en analysant le cas, en identifiant le problème de droit et en proposant une solution argumentée.</w:t>
      </w:r>
    </w:p>
    <w:p w:rsidR="009257CB" w:rsidRDefault="009257CB" w:rsidP="00EE71ED">
      <w:pPr>
        <w:tabs>
          <w:tab w:val="left" w:pos="8864"/>
        </w:tabs>
        <w:rPr>
          <w:sz w:val="22"/>
          <w:szCs w:val="22"/>
        </w:rPr>
      </w:pPr>
    </w:p>
    <w:p w:rsidR="00977DBE" w:rsidRPr="00977DBE" w:rsidRDefault="00977DBE" w:rsidP="00977DBE">
      <w:pPr>
        <w:rPr>
          <w:bCs/>
          <w:sz w:val="22"/>
          <w:szCs w:val="22"/>
          <w:u w:val="single"/>
        </w:rPr>
      </w:pPr>
      <w:r w:rsidRPr="00977DBE">
        <w:rPr>
          <w:bCs/>
          <w:sz w:val="22"/>
          <w:szCs w:val="22"/>
          <w:u w:val="single"/>
        </w:rPr>
        <w:t>Analyse du cas</w:t>
      </w:r>
    </w:p>
    <w:p w:rsidR="00977DBE" w:rsidRPr="00977DBE" w:rsidRDefault="00977DBE" w:rsidP="00977DBE">
      <w:pPr>
        <w:jc w:val="both"/>
        <w:rPr>
          <w:sz w:val="22"/>
          <w:szCs w:val="22"/>
        </w:rPr>
      </w:pPr>
      <w:r w:rsidRPr="00977DBE">
        <w:rPr>
          <w:sz w:val="22"/>
          <w:szCs w:val="22"/>
        </w:rPr>
        <w:t>Une consommatrice achète un ordinateur portable à un commerçant, Albert Flamac. Le contrat est conclu sur le lieu de vente et le commerçant a satisfait à son obligation de conseil.</w:t>
      </w:r>
    </w:p>
    <w:p w:rsidR="00977DBE" w:rsidRPr="00977DBE" w:rsidRDefault="00977DBE" w:rsidP="00977DBE">
      <w:pPr>
        <w:rPr>
          <w:sz w:val="22"/>
          <w:szCs w:val="22"/>
        </w:rPr>
      </w:pPr>
    </w:p>
    <w:p w:rsidR="00977DBE" w:rsidRPr="00977DBE" w:rsidRDefault="00977DBE" w:rsidP="00977DBE">
      <w:pPr>
        <w:rPr>
          <w:bCs/>
          <w:sz w:val="22"/>
          <w:szCs w:val="22"/>
          <w:u w:val="single"/>
        </w:rPr>
      </w:pPr>
      <w:r w:rsidRPr="00977DBE">
        <w:rPr>
          <w:bCs/>
          <w:sz w:val="22"/>
          <w:szCs w:val="22"/>
          <w:u w:val="single"/>
        </w:rPr>
        <w:t>Problème de droit</w:t>
      </w:r>
    </w:p>
    <w:p w:rsidR="00977DBE" w:rsidRPr="00977DBE" w:rsidRDefault="00977DBE" w:rsidP="00977DBE">
      <w:pPr>
        <w:rPr>
          <w:sz w:val="22"/>
          <w:szCs w:val="22"/>
        </w:rPr>
      </w:pPr>
      <w:r w:rsidRPr="00977DBE">
        <w:rPr>
          <w:sz w:val="22"/>
          <w:szCs w:val="22"/>
        </w:rPr>
        <w:t>Le consommateur peut-il bénéficier d’un délai de rétractation pour un contrat conclu sur le lieu de vente ?</w:t>
      </w:r>
    </w:p>
    <w:p w:rsidR="00977DBE" w:rsidRPr="00977DBE" w:rsidRDefault="00977DBE" w:rsidP="00977DBE">
      <w:pPr>
        <w:rPr>
          <w:sz w:val="22"/>
          <w:szCs w:val="22"/>
        </w:rPr>
      </w:pPr>
    </w:p>
    <w:p w:rsidR="00977DBE" w:rsidRPr="00977DBE" w:rsidRDefault="00977DBE" w:rsidP="00977DBE">
      <w:pPr>
        <w:rPr>
          <w:bCs/>
          <w:sz w:val="22"/>
          <w:szCs w:val="22"/>
          <w:u w:val="single"/>
        </w:rPr>
      </w:pPr>
      <w:r w:rsidRPr="00977DBE">
        <w:rPr>
          <w:bCs/>
          <w:sz w:val="22"/>
          <w:szCs w:val="22"/>
          <w:u w:val="single"/>
        </w:rPr>
        <w:t>Solution</w:t>
      </w:r>
    </w:p>
    <w:p w:rsidR="00977DBE" w:rsidRPr="00977DBE" w:rsidRDefault="00977DBE" w:rsidP="00977DBE">
      <w:pPr>
        <w:jc w:val="both"/>
        <w:rPr>
          <w:sz w:val="22"/>
          <w:szCs w:val="22"/>
        </w:rPr>
      </w:pPr>
      <w:r w:rsidRPr="00977DBE">
        <w:rPr>
          <w:sz w:val="22"/>
          <w:szCs w:val="22"/>
        </w:rPr>
        <w:t>Le délai de rétractation appartient à tout consommateur ayant conclu un contrat à distance ou en cas de démarchage à domicile. Jeanne n’a pas été démarchée à domicile, elle a acheté l’ordinateur chez Albert Flamac. Elle ne peut pas bénéficier du droit à rétractation.</w:t>
      </w:r>
    </w:p>
    <w:p w:rsidR="00FE0F3D" w:rsidRDefault="00FE0F3D" w:rsidP="00EE71ED">
      <w:pPr>
        <w:tabs>
          <w:tab w:val="left" w:pos="8864"/>
        </w:tabs>
        <w:rPr>
          <w:sz w:val="22"/>
          <w:szCs w:val="22"/>
        </w:rPr>
      </w:pPr>
    </w:p>
    <w:p w:rsidR="009257CB" w:rsidRDefault="00FE0F3D" w:rsidP="00EE71ED">
      <w:pPr>
        <w:tabs>
          <w:tab w:val="left" w:pos="8864"/>
        </w:tabs>
        <w:rPr>
          <w:b/>
          <w:bCs/>
          <w:sz w:val="22"/>
          <w:szCs w:val="22"/>
        </w:rPr>
      </w:pPr>
      <w:r w:rsidRPr="00FE0F3D">
        <w:rPr>
          <w:b/>
          <w:bCs/>
          <w:sz w:val="22"/>
          <w:szCs w:val="22"/>
        </w:rPr>
        <w:t>2-3. La vente a-t-elle été valablement conclue ? Que conseillez-vous à Monsieur Flamac ?</w:t>
      </w:r>
    </w:p>
    <w:p w:rsidR="00FE0F3D" w:rsidRDefault="00FE0F3D" w:rsidP="00EE71ED">
      <w:pPr>
        <w:tabs>
          <w:tab w:val="left" w:pos="8864"/>
        </w:tabs>
        <w:rPr>
          <w:b/>
          <w:bCs/>
          <w:sz w:val="22"/>
          <w:szCs w:val="22"/>
        </w:rPr>
      </w:pPr>
    </w:p>
    <w:p w:rsidR="00FE0F3D" w:rsidRPr="00FE0F3D" w:rsidRDefault="00FE0F3D" w:rsidP="00FE0F3D">
      <w:pPr>
        <w:jc w:val="both"/>
        <w:rPr>
          <w:sz w:val="22"/>
          <w:szCs w:val="22"/>
        </w:rPr>
      </w:pPr>
      <w:r w:rsidRPr="00FE0F3D">
        <w:rPr>
          <w:sz w:val="22"/>
          <w:szCs w:val="22"/>
        </w:rPr>
        <w:t>Pour produire les effets juridiques voulus, le contrat doit respecter les conditions imposées par la loi.</w:t>
      </w:r>
    </w:p>
    <w:p w:rsidR="00FE0F3D" w:rsidRPr="00FE0F3D" w:rsidRDefault="00FE0F3D" w:rsidP="00FE0F3D">
      <w:pPr>
        <w:numPr>
          <w:ilvl w:val="0"/>
          <w:numId w:val="5"/>
        </w:numPr>
        <w:jc w:val="both"/>
        <w:rPr>
          <w:sz w:val="22"/>
          <w:szCs w:val="22"/>
        </w:rPr>
      </w:pPr>
      <w:r w:rsidRPr="00FE0F3D">
        <w:rPr>
          <w:sz w:val="22"/>
          <w:szCs w:val="22"/>
        </w:rPr>
        <w:t>le consentement : il doit exister et être sans vice (erreur, dol, violence)</w:t>
      </w:r>
      <w:r>
        <w:rPr>
          <w:sz w:val="22"/>
          <w:szCs w:val="22"/>
        </w:rPr>
        <w:t>,</w:t>
      </w:r>
    </w:p>
    <w:p w:rsidR="00FE0F3D" w:rsidRDefault="00FE0F3D" w:rsidP="00FE0F3D">
      <w:pPr>
        <w:numPr>
          <w:ilvl w:val="0"/>
          <w:numId w:val="5"/>
        </w:numPr>
        <w:jc w:val="both"/>
        <w:rPr>
          <w:sz w:val="22"/>
          <w:szCs w:val="22"/>
        </w:rPr>
      </w:pPr>
      <w:r w:rsidRPr="00FE0F3D">
        <w:rPr>
          <w:sz w:val="22"/>
          <w:szCs w:val="22"/>
        </w:rPr>
        <w:t>la capacité des parties : toute personne peut contracter mais les mineurs non émancipés ne peuvent contracter que par l’intermédiaire de leur représentant légal, sauf pour les actes de la vie courante pour lesquels il est d’usage qu’un mineur agisse seul (montant de l’acte et l’âge du mineur)</w:t>
      </w:r>
      <w:r>
        <w:rPr>
          <w:sz w:val="22"/>
          <w:szCs w:val="22"/>
        </w:rPr>
        <w:t>,</w:t>
      </w:r>
    </w:p>
    <w:p w:rsidR="00FE0F3D" w:rsidRDefault="00FE0F3D" w:rsidP="00FE0F3D">
      <w:pPr>
        <w:numPr>
          <w:ilvl w:val="0"/>
          <w:numId w:val="5"/>
        </w:numPr>
        <w:jc w:val="both"/>
        <w:rPr>
          <w:sz w:val="22"/>
          <w:szCs w:val="22"/>
        </w:rPr>
      </w:pPr>
      <w:r>
        <w:rPr>
          <w:sz w:val="22"/>
          <w:szCs w:val="22"/>
        </w:rPr>
        <w:t>l’objet : il doit être déterminé ou déterminable, exister, être licite et possible,</w:t>
      </w:r>
    </w:p>
    <w:p w:rsidR="00FE0F3D" w:rsidRPr="00FE0F3D" w:rsidRDefault="00FE0F3D" w:rsidP="00FE0F3D">
      <w:pPr>
        <w:numPr>
          <w:ilvl w:val="0"/>
          <w:numId w:val="5"/>
        </w:numPr>
        <w:jc w:val="both"/>
        <w:rPr>
          <w:sz w:val="22"/>
          <w:szCs w:val="22"/>
        </w:rPr>
      </w:pPr>
      <w:r>
        <w:rPr>
          <w:sz w:val="22"/>
          <w:szCs w:val="22"/>
        </w:rPr>
        <w:t xml:space="preserve">la cause : elle </w:t>
      </w:r>
      <w:r w:rsidRPr="00FE0F3D">
        <w:rPr>
          <w:sz w:val="22"/>
          <w:szCs w:val="22"/>
        </w:rPr>
        <w:t>doit exister et être licite.</w:t>
      </w:r>
    </w:p>
    <w:p w:rsidR="00FE0F3D" w:rsidRPr="00FE0F3D" w:rsidRDefault="00FE0F3D" w:rsidP="00FE0F3D">
      <w:pPr>
        <w:rPr>
          <w:sz w:val="22"/>
          <w:szCs w:val="22"/>
        </w:rPr>
      </w:pPr>
    </w:p>
    <w:p w:rsidR="00FE0F3D" w:rsidRPr="00B15CEB" w:rsidRDefault="00FE0F3D" w:rsidP="00B15CEB">
      <w:pPr>
        <w:rPr>
          <w:sz w:val="22"/>
          <w:szCs w:val="22"/>
        </w:rPr>
      </w:pPr>
      <w:r w:rsidRPr="00FE0F3D">
        <w:rPr>
          <w:sz w:val="22"/>
          <w:szCs w:val="22"/>
        </w:rPr>
        <w:t>Si l’une des conditions précédemment indiquées n’est pas respectée, le contrat encourt la nullité.</w:t>
      </w:r>
    </w:p>
    <w:p w:rsidR="00FE0F3D" w:rsidRDefault="00FE0F3D" w:rsidP="00EE71ED">
      <w:pPr>
        <w:tabs>
          <w:tab w:val="left" w:pos="8864"/>
        </w:tabs>
        <w:rPr>
          <w:sz w:val="22"/>
          <w:szCs w:val="22"/>
        </w:rPr>
      </w:pPr>
    </w:p>
    <w:p w:rsidR="00B15CEB" w:rsidRPr="00B15CEB" w:rsidRDefault="00B15CEB" w:rsidP="00B15CEB">
      <w:pPr>
        <w:rPr>
          <w:bCs/>
          <w:sz w:val="22"/>
          <w:szCs w:val="22"/>
          <w:u w:val="single"/>
        </w:rPr>
      </w:pPr>
      <w:r>
        <w:rPr>
          <w:bCs/>
          <w:sz w:val="22"/>
          <w:szCs w:val="22"/>
          <w:u w:val="single"/>
        </w:rPr>
        <w:t>Solution</w:t>
      </w:r>
    </w:p>
    <w:p w:rsidR="00B15CEB" w:rsidRPr="00B15CEB" w:rsidRDefault="00B15CEB" w:rsidP="00B15CEB">
      <w:pPr>
        <w:jc w:val="both"/>
        <w:rPr>
          <w:sz w:val="22"/>
          <w:szCs w:val="22"/>
        </w:rPr>
      </w:pPr>
      <w:r w:rsidRPr="00B15CEB">
        <w:rPr>
          <w:sz w:val="22"/>
          <w:szCs w:val="22"/>
        </w:rPr>
        <w:t>On peut considérer que le contrat de vente conclu par Arthur ne respecte pas les conditions de validité exigées par la loi, Arthur étant mineur. Le contrat encourt une nullité relative. Il pourrait être annulé par celui que la loi entend protéger.</w:t>
      </w:r>
    </w:p>
    <w:p w:rsidR="00B15CEB" w:rsidRPr="00B15CEB" w:rsidRDefault="00B15CEB" w:rsidP="00B15CEB">
      <w:pPr>
        <w:rPr>
          <w:sz w:val="22"/>
          <w:szCs w:val="22"/>
        </w:rPr>
      </w:pPr>
      <w:r w:rsidRPr="00B15CEB">
        <w:rPr>
          <w:sz w:val="22"/>
          <w:szCs w:val="22"/>
        </w:rPr>
        <w:t>Toutefois, pour éviter cette issue, il faudrait conseiller à Monsieur Flamac d’inciter les parents d’Arthur à confirmer l’achat.</w:t>
      </w:r>
    </w:p>
    <w:p w:rsidR="006D2981" w:rsidRDefault="006D2981" w:rsidP="00EE71ED">
      <w:pPr>
        <w:tabs>
          <w:tab w:val="left" w:pos="8864"/>
        </w:tabs>
        <w:rPr>
          <w:sz w:val="22"/>
          <w:szCs w:val="22"/>
        </w:rPr>
      </w:pPr>
    </w:p>
    <w:p w:rsidR="006D2981" w:rsidRDefault="006D2981" w:rsidP="00EE71ED">
      <w:pPr>
        <w:tabs>
          <w:tab w:val="left" w:pos="8864"/>
        </w:tabs>
        <w:rPr>
          <w:sz w:val="22"/>
          <w:szCs w:val="22"/>
        </w:rPr>
      </w:pPr>
    </w:p>
    <w:p w:rsidR="006D2981" w:rsidRDefault="006D2981" w:rsidP="00EE71ED">
      <w:pPr>
        <w:tabs>
          <w:tab w:val="left" w:pos="8864"/>
        </w:tabs>
        <w:rPr>
          <w:sz w:val="22"/>
          <w:szCs w:val="22"/>
        </w:rPr>
      </w:pPr>
    </w:p>
    <w:p w:rsidR="006D2981" w:rsidRDefault="006D2981" w:rsidP="00EE71ED">
      <w:pPr>
        <w:tabs>
          <w:tab w:val="left" w:pos="8864"/>
        </w:tabs>
        <w:rPr>
          <w:sz w:val="22"/>
          <w:szCs w:val="22"/>
        </w:rPr>
      </w:pPr>
    </w:p>
    <w:p w:rsidR="006D2981" w:rsidRDefault="006D2981" w:rsidP="00EE71ED">
      <w:pPr>
        <w:tabs>
          <w:tab w:val="left" w:pos="8864"/>
        </w:tabs>
        <w:rPr>
          <w:sz w:val="22"/>
          <w:szCs w:val="22"/>
        </w:rPr>
      </w:pPr>
    </w:p>
    <w:p w:rsidR="006D2981" w:rsidRDefault="006D2981" w:rsidP="00EE71ED">
      <w:pPr>
        <w:tabs>
          <w:tab w:val="left" w:pos="8864"/>
        </w:tabs>
        <w:rPr>
          <w:sz w:val="22"/>
          <w:szCs w:val="22"/>
        </w:rPr>
      </w:pPr>
    </w:p>
    <w:p w:rsidR="006D2981" w:rsidRDefault="006D2981" w:rsidP="00EE71ED">
      <w:pPr>
        <w:tabs>
          <w:tab w:val="left" w:pos="8864"/>
        </w:tabs>
        <w:rPr>
          <w:sz w:val="22"/>
          <w:szCs w:val="22"/>
        </w:rPr>
      </w:pPr>
    </w:p>
    <w:p w:rsidR="006D2981" w:rsidRDefault="006D2981" w:rsidP="00EE71ED">
      <w:pPr>
        <w:tabs>
          <w:tab w:val="left" w:pos="8864"/>
        </w:tabs>
        <w:rPr>
          <w:b/>
          <w:bCs/>
          <w:sz w:val="22"/>
          <w:szCs w:val="22"/>
        </w:rPr>
      </w:pPr>
      <w:r w:rsidRPr="006D2981">
        <w:rPr>
          <w:b/>
          <w:bCs/>
          <w:sz w:val="22"/>
          <w:szCs w:val="22"/>
        </w:rPr>
        <w:lastRenderedPageBreak/>
        <w:t>2-4. Albert peut-il recourir à une procédure de sauvegarde ? Quelles seraient les conséquences de l’ouverture d’une telle procédure ?</w:t>
      </w:r>
    </w:p>
    <w:p w:rsidR="006D2981" w:rsidRDefault="006D2981" w:rsidP="00EE71ED">
      <w:pPr>
        <w:tabs>
          <w:tab w:val="left" w:pos="8864"/>
        </w:tabs>
        <w:rPr>
          <w:b/>
          <w:bCs/>
          <w:sz w:val="22"/>
          <w:szCs w:val="22"/>
        </w:rPr>
      </w:pPr>
    </w:p>
    <w:p w:rsidR="006D2981" w:rsidRPr="006D2981" w:rsidRDefault="006D2981" w:rsidP="006D2981">
      <w:pPr>
        <w:rPr>
          <w:bCs/>
          <w:sz w:val="22"/>
          <w:szCs w:val="22"/>
          <w:u w:val="single"/>
        </w:rPr>
      </w:pPr>
      <w:r w:rsidRPr="006D2981">
        <w:rPr>
          <w:bCs/>
          <w:sz w:val="22"/>
          <w:szCs w:val="22"/>
          <w:u w:val="single"/>
        </w:rPr>
        <w:t>Conditions d’ouverture de l</w:t>
      </w:r>
      <w:r>
        <w:rPr>
          <w:bCs/>
          <w:sz w:val="22"/>
          <w:szCs w:val="22"/>
          <w:u w:val="single"/>
        </w:rPr>
        <w:t>a procédure de sauvegarde</w:t>
      </w:r>
    </w:p>
    <w:p w:rsidR="006D2981" w:rsidRPr="006D2981" w:rsidRDefault="006D2981" w:rsidP="006D2981">
      <w:pPr>
        <w:jc w:val="both"/>
        <w:rPr>
          <w:sz w:val="22"/>
          <w:szCs w:val="22"/>
        </w:rPr>
      </w:pPr>
      <w:r w:rsidRPr="006D2981">
        <w:rPr>
          <w:sz w:val="22"/>
          <w:szCs w:val="22"/>
        </w:rPr>
        <w:t xml:space="preserve">Le commerçant, </w:t>
      </w:r>
      <w:r w:rsidRPr="006D2981">
        <w:rPr>
          <w:bCs/>
          <w:sz w:val="22"/>
          <w:szCs w:val="22"/>
        </w:rPr>
        <w:t xml:space="preserve">personne physique, </w:t>
      </w:r>
      <w:r w:rsidRPr="006D2981">
        <w:rPr>
          <w:sz w:val="22"/>
          <w:szCs w:val="22"/>
        </w:rPr>
        <w:t>est éligible à la procédure de sauvegarde.</w:t>
      </w:r>
    </w:p>
    <w:p w:rsidR="006D2981" w:rsidRPr="006D2981" w:rsidRDefault="006D2981" w:rsidP="006D2981">
      <w:pPr>
        <w:jc w:val="both"/>
        <w:rPr>
          <w:bCs/>
          <w:sz w:val="22"/>
          <w:szCs w:val="22"/>
        </w:rPr>
      </w:pPr>
      <w:r w:rsidRPr="006D2981">
        <w:rPr>
          <w:sz w:val="22"/>
          <w:szCs w:val="22"/>
        </w:rPr>
        <w:t xml:space="preserve">La procédure de sauvegarde est l’innovation majeure de la réforme de 2005. Seul le débiteur qui n’est </w:t>
      </w:r>
      <w:r w:rsidRPr="006D2981">
        <w:rPr>
          <w:bCs/>
          <w:sz w:val="22"/>
          <w:szCs w:val="22"/>
        </w:rPr>
        <w:t xml:space="preserve">pas encore en état de cessation des paiements </w:t>
      </w:r>
      <w:r w:rsidRPr="006D2981">
        <w:rPr>
          <w:sz w:val="22"/>
          <w:szCs w:val="22"/>
        </w:rPr>
        <w:t xml:space="preserve">peut demander, par écrit, l’ouverture de la sauvegarde en justifiant de </w:t>
      </w:r>
      <w:r w:rsidRPr="006D2981">
        <w:rPr>
          <w:bCs/>
          <w:sz w:val="22"/>
          <w:szCs w:val="22"/>
        </w:rPr>
        <w:t>difficultés qu’il n’est pas en mesure de surmonter.</w:t>
      </w:r>
    </w:p>
    <w:p w:rsidR="006D2981" w:rsidRPr="006D2981" w:rsidRDefault="006D2981" w:rsidP="006D2981">
      <w:pPr>
        <w:rPr>
          <w:sz w:val="22"/>
          <w:szCs w:val="22"/>
        </w:rPr>
      </w:pPr>
    </w:p>
    <w:p w:rsidR="006D2981" w:rsidRPr="006D2981" w:rsidRDefault="006D2981" w:rsidP="006D2981">
      <w:pPr>
        <w:rPr>
          <w:bCs/>
          <w:sz w:val="22"/>
          <w:szCs w:val="22"/>
          <w:u w:val="single"/>
        </w:rPr>
      </w:pPr>
      <w:r w:rsidRPr="006D2981">
        <w:rPr>
          <w:bCs/>
          <w:sz w:val="22"/>
          <w:szCs w:val="22"/>
          <w:u w:val="single"/>
        </w:rPr>
        <w:t>C</w:t>
      </w:r>
      <w:r>
        <w:rPr>
          <w:bCs/>
          <w:sz w:val="22"/>
          <w:szCs w:val="22"/>
          <w:u w:val="single"/>
        </w:rPr>
        <w:t>onséquences de cette ouverture</w:t>
      </w:r>
    </w:p>
    <w:p w:rsidR="006D2981" w:rsidRPr="006D2981" w:rsidRDefault="006D2981" w:rsidP="006D2981">
      <w:pPr>
        <w:jc w:val="both"/>
        <w:rPr>
          <w:sz w:val="22"/>
          <w:szCs w:val="22"/>
        </w:rPr>
      </w:pPr>
      <w:r w:rsidRPr="006D2981">
        <w:rPr>
          <w:sz w:val="22"/>
          <w:szCs w:val="22"/>
        </w:rPr>
        <w:t>Comme il n’est pas en état de cessation des paiements, sa bonne foi n’est pas mise en doute, il peut donc continuer à gérer son entreprise aidé de l’administrateur judiciaire. Suite à la publication du jugement d’ouverture, la période d’observation s’ouvre, elle permet d’établir un bilan économique et social afin d’élaborer un plan de sauvegarde. Les créanciers dont la créance est antérieure au jugement d’ouverture de la sauvegarde ne peuvent plus agir individuellement.</w:t>
      </w:r>
    </w:p>
    <w:p w:rsidR="006D2981" w:rsidRPr="006D2981" w:rsidRDefault="006D2981" w:rsidP="006D2981">
      <w:pPr>
        <w:jc w:val="both"/>
        <w:rPr>
          <w:sz w:val="22"/>
          <w:szCs w:val="22"/>
        </w:rPr>
      </w:pPr>
      <w:r w:rsidRPr="006D2981">
        <w:rPr>
          <w:sz w:val="22"/>
          <w:szCs w:val="22"/>
        </w:rPr>
        <w:t>Tous les créanciers de l’entreprise sont concernés (c’est une procédure collective).</w:t>
      </w:r>
    </w:p>
    <w:p w:rsidR="00BB6EFB" w:rsidRDefault="00BB6EFB" w:rsidP="006D2981">
      <w:pPr>
        <w:tabs>
          <w:tab w:val="left" w:pos="8864"/>
        </w:tabs>
        <w:jc w:val="both"/>
        <w:rPr>
          <w:sz w:val="22"/>
          <w:szCs w:val="22"/>
        </w:rPr>
      </w:pPr>
    </w:p>
    <w:p w:rsidR="00BB6EFB" w:rsidRPr="00BB6EFB" w:rsidRDefault="00BB6EFB" w:rsidP="00BB6EFB">
      <w:pPr>
        <w:rPr>
          <w:bCs/>
          <w:sz w:val="22"/>
          <w:szCs w:val="22"/>
          <w:u w:val="single"/>
        </w:rPr>
      </w:pPr>
      <w:r>
        <w:rPr>
          <w:bCs/>
          <w:sz w:val="22"/>
          <w:szCs w:val="22"/>
          <w:u w:val="single"/>
        </w:rPr>
        <w:t>Solution</w:t>
      </w:r>
    </w:p>
    <w:p w:rsidR="00BB6EFB" w:rsidRPr="00BB6EFB" w:rsidRDefault="00BB6EFB" w:rsidP="00BB6EFB">
      <w:pPr>
        <w:jc w:val="both"/>
        <w:rPr>
          <w:sz w:val="22"/>
          <w:szCs w:val="22"/>
        </w:rPr>
      </w:pPr>
      <w:r w:rsidRPr="00BB6EFB">
        <w:rPr>
          <w:sz w:val="22"/>
          <w:szCs w:val="22"/>
        </w:rPr>
        <w:t>Albert peut ouvrir une procédure de sauvegarde car il n’est pas en état de cessation des paiements mais il peut justifier de difficultés qu’il n’est pas en mesure de surmonter.</w:t>
      </w:r>
    </w:p>
    <w:p w:rsidR="00BB6EFB" w:rsidRDefault="00BB6EFB" w:rsidP="00BB6EFB">
      <w:pPr>
        <w:tabs>
          <w:tab w:val="left" w:pos="8864"/>
        </w:tabs>
        <w:jc w:val="both"/>
        <w:rPr>
          <w:sz w:val="22"/>
          <w:szCs w:val="22"/>
        </w:rPr>
      </w:pPr>
    </w:p>
    <w:p w:rsidR="00EA1E1D" w:rsidRDefault="00EA1E1D" w:rsidP="00EA1E1D">
      <w:pPr>
        <w:tabs>
          <w:tab w:val="left" w:pos="8864"/>
        </w:tabs>
        <w:rPr>
          <w:b/>
          <w:bCs/>
          <w:sz w:val="22"/>
          <w:szCs w:val="22"/>
        </w:rPr>
      </w:pPr>
      <w:r w:rsidRPr="00EA1E1D">
        <w:rPr>
          <w:b/>
          <w:bCs/>
          <w:sz w:val="22"/>
          <w:szCs w:val="22"/>
        </w:rPr>
        <w:t>2-5. Quelle est la valeur probante de la commande passée sur support électronique ?</w:t>
      </w:r>
    </w:p>
    <w:p w:rsidR="00EA1E1D" w:rsidRDefault="00EA1E1D" w:rsidP="00EA1E1D">
      <w:pPr>
        <w:tabs>
          <w:tab w:val="left" w:pos="8864"/>
        </w:tabs>
        <w:rPr>
          <w:b/>
          <w:bCs/>
          <w:sz w:val="22"/>
          <w:szCs w:val="22"/>
        </w:rPr>
      </w:pPr>
    </w:p>
    <w:p w:rsidR="00EA1E1D" w:rsidRDefault="00EA1E1D" w:rsidP="00EA1E1D">
      <w:pPr>
        <w:tabs>
          <w:tab w:val="left" w:pos="8864"/>
        </w:tabs>
        <w:rPr>
          <w:b/>
          <w:bCs/>
          <w:sz w:val="22"/>
          <w:szCs w:val="22"/>
        </w:rPr>
      </w:pPr>
    </w:p>
    <w:p w:rsidR="00EA1E1D" w:rsidRDefault="00EA1E1D" w:rsidP="00CB7B69">
      <w:pPr>
        <w:jc w:val="both"/>
      </w:pPr>
      <w:r w:rsidRPr="001542D8">
        <w:t>L’article 1316 du Code civil pose que « la preuve littéral</w:t>
      </w:r>
      <w:r>
        <w:t xml:space="preserve">e, ou preuve par écrit, résulte </w:t>
      </w:r>
      <w:r w:rsidRPr="001542D8">
        <w:t>d’une suite de lettres, de caractères, de chiffres ou de tous autres signes ou symboles dotés d’une signification intelligible, quels que soient leur support et leur modalité de transmission».</w:t>
      </w:r>
    </w:p>
    <w:p w:rsidR="00EA1E1D" w:rsidRDefault="00EA1E1D" w:rsidP="00EA1E1D"/>
    <w:p w:rsidR="00EA1E1D" w:rsidRPr="001542D8" w:rsidRDefault="00EA1E1D" w:rsidP="00CB7B69">
      <w:pPr>
        <w:jc w:val="both"/>
      </w:pPr>
      <w:r w:rsidRPr="001542D8">
        <w:t>La loi du 13 mars 2000 a complété cet article en ajoutant deux éléments :</w:t>
      </w:r>
    </w:p>
    <w:p w:rsidR="00EA1E1D" w:rsidRDefault="00EA1E1D" w:rsidP="00CB7B69">
      <w:pPr>
        <w:jc w:val="both"/>
      </w:pPr>
    </w:p>
    <w:p w:rsidR="00EA1E1D" w:rsidRDefault="00EA1E1D" w:rsidP="00CB7B69">
      <w:pPr>
        <w:numPr>
          <w:ilvl w:val="0"/>
          <w:numId w:val="6"/>
        </w:numPr>
        <w:jc w:val="both"/>
      </w:pPr>
      <w:r w:rsidRPr="001542D8">
        <w:t>Le support électronique est admis comme écrit si :</w:t>
      </w:r>
    </w:p>
    <w:p w:rsidR="00EA1E1D" w:rsidRPr="00EA1E1D" w:rsidRDefault="00EA1E1D" w:rsidP="00CB7B69">
      <w:pPr>
        <w:numPr>
          <w:ilvl w:val="1"/>
          <w:numId w:val="6"/>
        </w:numPr>
        <w:jc w:val="both"/>
      </w:pPr>
      <w:r>
        <w:rPr>
          <w:lang w:val="en-US"/>
        </w:rPr>
        <w:t>il est intelligible,</w:t>
      </w:r>
    </w:p>
    <w:p w:rsidR="00EA1E1D" w:rsidRDefault="00EA1E1D" w:rsidP="00CB7B69">
      <w:pPr>
        <w:numPr>
          <w:ilvl w:val="1"/>
          <w:numId w:val="6"/>
        </w:numPr>
        <w:jc w:val="both"/>
      </w:pPr>
      <w:r w:rsidRPr="001542D8">
        <w:t>il permet d’identifier la personne dont il émane</w:t>
      </w:r>
      <w:r>
        <w:t>,</w:t>
      </w:r>
    </w:p>
    <w:p w:rsidR="00EA1E1D" w:rsidRDefault="00EA1E1D" w:rsidP="00CB7B69">
      <w:pPr>
        <w:numPr>
          <w:ilvl w:val="1"/>
          <w:numId w:val="6"/>
        </w:numPr>
        <w:jc w:val="both"/>
      </w:pPr>
      <w:r w:rsidRPr="001542D8">
        <w:t>il est établi et conservé dans des conditions de nature à garantir son intégrité</w:t>
      </w:r>
      <w:r>
        <w:t>.</w:t>
      </w:r>
    </w:p>
    <w:p w:rsidR="00EA1E1D" w:rsidRDefault="00EA1E1D" w:rsidP="00CB7B69">
      <w:pPr>
        <w:numPr>
          <w:ilvl w:val="0"/>
          <w:numId w:val="6"/>
        </w:numPr>
        <w:jc w:val="both"/>
      </w:pPr>
      <w:r w:rsidRPr="001542D8">
        <w:t>La signature électronique consiste en l’usage d’un procédé fiable d’identification</w:t>
      </w:r>
      <w:r>
        <w:t xml:space="preserve"> </w:t>
      </w:r>
      <w:r w:rsidRPr="001542D8">
        <w:t>garantissant son lien avec l’acte auquel elle s’attache.</w:t>
      </w:r>
    </w:p>
    <w:p w:rsidR="00EA1E1D" w:rsidRDefault="00EA1E1D" w:rsidP="00EA1E1D"/>
    <w:p w:rsidR="00637AC5" w:rsidRPr="00637AC5" w:rsidRDefault="00637AC5" w:rsidP="00CB7B69">
      <w:pPr>
        <w:jc w:val="both"/>
        <w:rPr>
          <w:bCs/>
          <w:sz w:val="22"/>
          <w:szCs w:val="22"/>
          <w:u w:val="single"/>
        </w:rPr>
      </w:pPr>
      <w:r w:rsidRPr="00637AC5">
        <w:rPr>
          <w:bCs/>
          <w:sz w:val="22"/>
          <w:szCs w:val="22"/>
          <w:u w:val="single"/>
        </w:rPr>
        <w:t xml:space="preserve">Solution </w:t>
      </w:r>
    </w:p>
    <w:p w:rsidR="00CB7B69" w:rsidRDefault="00637AC5" w:rsidP="00CB7B69">
      <w:pPr>
        <w:jc w:val="both"/>
        <w:rPr>
          <w:sz w:val="22"/>
          <w:szCs w:val="22"/>
        </w:rPr>
      </w:pPr>
      <w:r w:rsidRPr="00637AC5">
        <w:rPr>
          <w:sz w:val="22"/>
          <w:szCs w:val="22"/>
        </w:rPr>
        <w:t>Albert peut vérifier auprès de son prestataire de service si les conditions sont bien ré</w:t>
      </w:r>
      <w:r w:rsidR="00CB7B69">
        <w:rPr>
          <w:sz w:val="22"/>
          <w:szCs w:val="22"/>
        </w:rPr>
        <w:t xml:space="preserve">unies. </w:t>
      </w:r>
    </w:p>
    <w:p w:rsidR="00EA1E1D" w:rsidRDefault="00CB7B69" w:rsidP="00CB7B69">
      <w:pPr>
        <w:rPr>
          <w:sz w:val="22"/>
          <w:szCs w:val="22"/>
        </w:rPr>
      </w:pPr>
      <w:r>
        <w:rPr>
          <w:sz w:val="22"/>
          <w:szCs w:val="22"/>
        </w:rPr>
        <w:t xml:space="preserve">Dans ce cas, la commande </w:t>
      </w:r>
      <w:r w:rsidR="00637AC5" w:rsidRPr="00637AC5">
        <w:rPr>
          <w:sz w:val="22"/>
          <w:szCs w:val="22"/>
        </w:rPr>
        <w:t>électronique a la même valeur que la commande papier</w:t>
      </w:r>
      <w:r>
        <w:rPr>
          <w:sz w:val="22"/>
          <w:szCs w:val="22"/>
        </w:rPr>
        <w:t>.</w:t>
      </w:r>
    </w:p>
    <w:p w:rsidR="0016014D" w:rsidRDefault="0016014D" w:rsidP="00CB7B69">
      <w:pPr>
        <w:rPr>
          <w:sz w:val="22"/>
          <w:szCs w:val="22"/>
        </w:rPr>
      </w:pPr>
    </w:p>
    <w:p w:rsidR="008D1D61" w:rsidRDefault="008D1D61" w:rsidP="00CB7B69">
      <w:pPr>
        <w:rPr>
          <w:sz w:val="22"/>
          <w:szCs w:val="22"/>
        </w:rPr>
      </w:pPr>
    </w:p>
    <w:p w:rsidR="008D1D61" w:rsidRDefault="008D1D61" w:rsidP="00CB7B69">
      <w:pPr>
        <w:rPr>
          <w:sz w:val="22"/>
          <w:szCs w:val="22"/>
        </w:rPr>
      </w:pPr>
    </w:p>
    <w:p w:rsidR="008D1D61" w:rsidRDefault="008D1D61" w:rsidP="00CB7B69">
      <w:pPr>
        <w:rPr>
          <w:sz w:val="22"/>
          <w:szCs w:val="22"/>
        </w:rPr>
      </w:pPr>
    </w:p>
    <w:p w:rsidR="008D1D61" w:rsidRDefault="008D1D61" w:rsidP="00CB7B69">
      <w:pPr>
        <w:rPr>
          <w:sz w:val="22"/>
          <w:szCs w:val="22"/>
        </w:rPr>
      </w:pPr>
    </w:p>
    <w:p w:rsidR="008D1D61" w:rsidRDefault="008D1D61" w:rsidP="00CB7B69">
      <w:pPr>
        <w:rPr>
          <w:sz w:val="22"/>
          <w:szCs w:val="22"/>
        </w:rPr>
      </w:pPr>
    </w:p>
    <w:p w:rsidR="008D1D61" w:rsidRDefault="008D1D61" w:rsidP="00CB7B69">
      <w:pPr>
        <w:rPr>
          <w:sz w:val="22"/>
          <w:szCs w:val="22"/>
        </w:rPr>
      </w:pPr>
    </w:p>
    <w:p w:rsidR="008D1D61" w:rsidRDefault="008D1D61" w:rsidP="00CB7B69">
      <w:pPr>
        <w:rPr>
          <w:sz w:val="22"/>
          <w:szCs w:val="22"/>
        </w:rPr>
      </w:pPr>
    </w:p>
    <w:p w:rsidR="008D1D61" w:rsidRDefault="008D1D61" w:rsidP="00CB7B69">
      <w:pPr>
        <w:rPr>
          <w:sz w:val="22"/>
          <w:szCs w:val="22"/>
        </w:rPr>
      </w:pPr>
    </w:p>
    <w:p w:rsidR="008D1D61" w:rsidRDefault="008D1D61" w:rsidP="00CB7B69">
      <w:pPr>
        <w:rPr>
          <w:sz w:val="22"/>
          <w:szCs w:val="22"/>
        </w:rPr>
      </w:pPr>
    </w:p>
    <w:p w:rsidR="008D1D61" w:rsidRDefault="008D1D61" w:rsidP="00CB7B69">
      <w:pPr>
        <w:rPr>
          <w:sz w:val="22"/>
          <w:szCs w:val="22"/>
        </w:rPr>
      </w:pPr>
    </w:p>
    <w:p w:rsidR="008D1D61" w:rsidRDefault="008D1D61" w:rsidP="00CB7B69">
      <w:pPr>
        <w:rPr>
          <w:sz w:val="22"/>
          <w:szCs w:val="22"/>
        </w:rPr>
      </w:pPr>
    </w:p>
    <w:p w:rsidR="008D1D61" w:rsidRDefault="008D1D61" w:rsidP="00CB7B69">
      <w:pPr>
        <w:rPr>
          <w:sz w:val="22"/>
          <w:szCs w:val="22"/>
        </w:rPr>
      </w:pPr>
    </w:p>
    <w:p w:rsidR="008D1D61" w:rsidRDefault="008D1D61" w:rsidP="00CB7B69">
      <w:pPr>
        <w:rPr>
          <w:sz w:val="22"/>
          <w:szCs w:val="22"/>
        </w:rPr>
      </w:pPr>
    </w:p>
    <w:p w:rsidR="008D1D61" w:rsidRDefault="008D1D61" w:rsidP="00CB7B69">
      <w:pPr>
        <w:rPr>
          <w:sz w:val="22"/>
          <w:szCs w:val="22"/>
        </w:rPr>
      </w:pPr>
    </w:p>
    <w:p w:rsidR="008D1D61" w:rsidRDefault="008D1D61" w:rsidP="00CB7B69">
      <w:pPr>
        <w:rPr>
          <w:sz w:val="22"/>
          <w:szCs w:val="22"/>
        </w:rPr>
      </w:pPr>
    </w:p>
    <w:p w:rsidR="005A22CE" w:rsidRDefault="005A22CE" w:rsidP="00CB7B69">
      <w:pPr>
        <w:rPr>
          <w:sz w:val="22"/>
          <w:szCs w:val="22"/>
        </w:rPr>
      </w:pPr>
    </w:p>
    <w:p w:rsidR="0016014D" w:rsidRPr="00DF3658" w:rsidRDefault="0016014D" w:rsidP="0016014D">
      <w:pPr>
        <w:pBdr>
          <w:top w:val="single" w:sz="4" w:space="1" w:color="auto"/>
          <w:left w:val="single" w:sz="4" w:space="4" w:color="auto"/>
          <w:bottom w:val="single" w:sz="4" w:space="1" w:color="auto"/>
          <w:right w:val="single" w:sz="4" w:space="4" w:color="auto"/>
        </w:pBdr>
        <w:shd w:val="clear" w:color="auto" w:fill="E0E0E0"/>
        <w:ind w:right="85"/>
        <w:jc w:val="center"/>
        <w:rPr>
          <w:b/>
          <w:bCs/>
          <w:sz w:val="22"/>
          <w:szCs w:val="22"/>
        </w:rPr>
      </w:pPr>
      <w:r>
        <w:rPr>
          <w:b/>
          <w:bCs/>
          <w:sz w:val="22"/>
          <w:szCs w:val="22"/>
        </w:rPr>
        <w:lastRenderedPageBreak/>
        <w:t>DOSSIER 3 : QUESTION</w:t>
      </w:r>
    </w:p>
    <w:p w:rsidR="0016014D" w:rsidRDefault="0016014D" w:rsidP="00CB7B69">
      <w:pPr>
        <w:rPr>
          <w:sz w:val="22"/>
          <w:szCs w:val="22"/>
        </w:rPr>
      </w:pPr>
    </w:p>
    <w:p w:rsidR="0016014D" w:rsidRDefault="0016014D" w:rsidP="00CB7B69">
      <w:pPr>
        <w:rPr>
          <w:sz w:val="22"/>
          <w:szCs w:val="22"/>
        </w:rPr>
      </w:pPr>
    </w:p>
    <w:p w:rsidR="0016014D" w:rsidRPr="0016014D" w:rsidRDefault="0016014D" w:rsidP="0016014D">
      <w:pPr>
        <w:spacing w:line="480" w:lineRule="auto"/>
        <w:ind w:right="3744"/>
        <w:jc w:val="both"/>
        <w:rPr>
          <w:b/>
          <w:bCs/>
          <w:sz w:val="22"/>
          <w:szCs w:val="22"/>
        </w:rPr>
      </w:pPr>
      <w:r w:rsidRPr="0016014D">
        <w:rPr>
          <w:b/>
          <w:bCs/>
          <w:sz w:val="22"/>
          <w:szCs w:val="22"/>
        </w:rPr>
        <w:t>Quels sont les droits de l’auteur sur son œuvre ?</w:t>
      </w:r>
    </w:p>
    <w:p w:rsidR="0016014D" w:rsidRPr="0016014D" w:rsidRDefault="0016014D" w:rsidP="0016014D">
      <w:pPr>
        <w:tabs>
          <w:tab w:val="left" w:pos="9537"/>
        </w:tabs>
        <w:ind w:right="504"/>
        <w:jc w:val="both"/>
        <w:rPr>
          <w:bCs/>
          <w:sz w:val="22"/>
          <w:szCs w:val="22"/>
          <w:u w:val="single"/>
        </w:rPr>
      </w:pPr>
      <w:r>
        <w:rPr>
          <w:bCs/>
          <w:sz w:val="22"/>
          <w:szCs w:val="22"/>
          <w:u w:val="single"/>
        </w:rPr>
        <w:t>Définition</w:t>
      </w:r>
    </w:p>
    <w:p w:rsidR="0016014D" w:rsidRDefault="0016014D" w:rsidP="0016014D">
      <w:pPr>
        <w:tabs>
          <w:tab w:val="left" w:pos="9537"/>
        </w:tabs>
        <w:ind w:right="504"/>
        <w:jc w:val="both"/>
        <w:rPr>
          <w:spacing w:val="-2"/>
          <w:sz w:val="22"/>
          <w:szCs w:val="22"/>
        </w:rPr>
      </w:pPr>
      <w:r>
        <w:rPr>
          <w:sz w:val="22"/>
          <w:szCs w:val="22"/>
        </w:rPr>
        <w:t>L</w:t>
      </w:r>
      <w:r w:rsidRPr="0016014D">
        <w:rPr>
          <w:sz w:val="22"/>
          <w:szCs w:val="22"/>
        </w:rPr>
        <w:t>’œuvre de l’esprit est une création intellectuelle d’une personne physique.</w:t>
      </w:r>
      <w:r w:rsidRPr="0016014D">
        <w:rPr>
          <w:spacing w:val="-2"/>
          <w:sz w:val="22"/>
          <w:szCs w:val="22"/>
        </w:rPr>
        <w:tab/>
      </w:r>
    </w:p>
    <w:p w:rsidR="0016014D" w:rsidRPr="0016014D" w:rsidRDefault="0016014D" w:rsidP="0016014D">
      <w:pPr>
        <w:tabs>
          <w:tab w:val="left" w:pos="9537"/>
        </w:tabs>
        <w:ind w:right="504"/>
        <w:jc w:val="both"/>
        <w:rPr>
          <w:sz w:val="22"/>
          <w:szCs w:val="22"/>
        </w:rPr>
      </w:pPr>
      <w:r w:rsidRPr="0016014D">
        <w:rPr>
          <w:sz w:val="22"/>
          <w:szCs w:val="22"/>
        </w:rPr>
        <w:t>Elle traduit la personnalité de l’auteur et s’exprime sous différentes formes. Elle est originale.</w:t>
      </w:r>
    </w:p>
    <w:p w:rsidR="0016014D" w:rsidRDefault="0016014D" w:rsidP="0016014D">
      <w:pPr>
        <w:ind w:right="1224"/>
        <w:jc w:val="both"/>
        <w:rPr>
          <w:b/>
          <w:bCs/>
          <w:sz w:val="22"/>
          <w:szCs w:val="22"/>
        </w:rPr>
      </w:pPr>
    </w:p>
    <w:p w:rsidR="0016014D" w:rsidRPr="0016014D" w:rsidRDefault="0016014D" w:rsidP="0016014D">
      <w:pPr>
        <w:ind w:right="1224"/>
        <w:jc w:val="both"/>
        <w:rPr>
          <w:bCs/>
          <w:sz w:val="22"/>
          <w:szCs w:val="22"/>
          <w:u w:val="single"/>
        </w:rPr>
      </w:pPr>
      <w:r w:rsidRPr="0016014D">
        <w:rPr>
          <w:bCs/>
          <w:sz w:val="22"/>
          <w:szCs w:val="22"/>
          <w:u w:val="single"/>
        </w:rPr>
        <w:t xml:space="preserve">Les droits de l’auteur </w:t>
      </w:r>
    </w:p>
    <w:p w:rsidR="0016014D" w:rsidRPr="0016014D" w:rsidRDefault="0016014D" w:rsidP="0016014D">
      <w:pPr>
        <w:ind w:right="1224"/>
        <w:jc w:val="both"/>
        <w:rPr>
          <w:sz w:val="22"/>
          <w:szCs w:val="22"/>
        </w:rPr>
      </w:pPr>
      <w:r>
        <w:rPr>
          <w:sz w:val="22"/>
          <w:szCs w:val="22"/>
        </w:rPr>
        <w:t>L</w:t>
      </w:r>
      <w:r w:rsidRPr="0016014D">
        <w:rPr>
          <w:sz w:val="22"/>
          <w:szCs w:val="22"/>
        </w:rPr>
        <w:t>’auteur dispose sur son œuvre d’un droit moral et de droits patrimoniaux.</w:t>
      </w:r>
    </w:p>
    <w:p w:rsidR="00CB2D32" w:rsidRPr="0016014D" w:rsidRDefault="00CB2D32" w:rsidP="0016014D">
      <w:pPr>
        <w:jc w:val="both"/>
        <w:rPr>
          <w:sz w:val="22"/>
          <w:szCs w:val="22"/>
        </w:rPr>
      </w:pPr>
    </w:p>
    <w:p w:rsidR="0016014D" w:rsidRPr="0016014D" w:rsidRDefault="0016014D" w:rsidP="0016014D">
      <w:pPr>
        <w:jc w:val="both"/>
        <w:rPr>
          <w:bCs/>
          <w:sz w:val="22"/>
          <w:szCs w:val="22"/>
          <w:u w:val="single"/>
        </w:rPr>
      </w:pPr>
      <w:r>
        <w:rPr>
          <w:bCs/>
          <w:sz w:val="22"/>
          <w:szCs w:val="22"/>
          <w:u w:val="single"/>
        </w:rPr>
        <w:t>Le droit moral</w:t>
      </w:r>
    </w:p>
    <w:p w:rsidR="0016014D" w:rsidRDefault="0016014D" w:rsidP="0016014D">
      <w:pPr>
        <w:numPr>
          <w:ilvl w:val="0"/>
          <w:numId w:val="8"/>
        </w:numPr>
        <w:ind w:right="1224"/>
        <w:jc w:val="both"/>
        <w:rPr>
          <w:sz w:val="22"/>
          <w:szCs w:val="22"/>
        </w:rPr>
      </w:pPr>
      <w:r>
        <w:rPr>
          <w:sz w:val="22"/>
          <w:szCs w:val="22"/>
        </w:rPr>
        <w:t>Un droit de divulgation :</w:t>
      </w:r>
      <w:r w:rsidRPr="0016014D">
        <w:rPr>
          <w:sz w:val="22"/>
          <w:szCs w:val="22"/>
        </w:rPr>
        <w:t xml:space="preserve"> Il consiste pour l’auteur à décider de soumettre s</w:t>
      </w:r>
      <w:r>
        <w:rPr>
          <w:sz w:val="22"/>
          <w:szCs w:val="22"/>
        </w:rPr>
        <w:t>on œuvre au public.</w:t>
      </w:r>
    </w:p>
    <w:p w:rsidR="0016014D" w:rsidRDefault="0016014D" w:rsidP="0016014D">
      <w:pPr>
        <w:numPr>
          <w:ilvl w:val="0"/>
          <w:numId w:val="8"/>
        </w:numPr>
        <w:ind w:right="1224"/>
        <w:jc w:val="both"/>
        <w:rPr>
          <w:sz w:val="22"/>
          <w:szCs w:val="22"/>
        </w:rPr>
      </w:pPr>
      <w:r>
        <w:rPr>
          <w:sz w:val="22"/>
          <w:szCs w:val="22"/>
        </w:rPr>
        <w:t>Un droit de retrait :</w:t>
      </w:r>
      <w:r w:rsidRPr="0016014D">
        <w:rPr>
          <w:sz w:val="22"/>
          <w:szCs w:val="22"/>
        </w:rPr>
        <w:t xml:space="preserve"> Il consiste pour l’auteur à retirer son œuvre de la circulation.</w:t>
      </w:r>
    </w:p>
    <w:p w:rsidR="0016014D" w:rsidRDefault="0016014D" w:rsidP="0016014D">
      <w:pPr>
        <w:numPr>
          <w:ilvl w:val="0"/>
          <w:numId w:val="8"/>
        </w:numPr>
        <w:ind w:right="1224"/>
        <w:jc w:val="both"/>
        <w:rPr>
          <w:sz w:val="22"/>
          <w:szCs w:val="22"/>
        </w:rPr>
      </w:pPr>
      <w:r>
        <w:rPr>
          <w:sz w:val="22"/>
          <w:szCs w:val="22"/>
        </w:rPr>
        <w:t>Un droit de repentir :</w:t>
      </w:r>
      <w:r w:rsidRPr="0016014D">
        <w:rPr>
          <w:sz w:val="22"/>
          <w:szCs w:val="22"/>
        </w:rPr>
        <w:t xml:space="preserve"> Il consiste pour l’auteur à modifier sa création sans que l’exploitation de l’œuvre soit irrémédiablement compromise.</w:t>
      </w:r>
    </w:p>
    <w:p w:rsidR="0016014D" w:rsidRPr="0016014D" w:rsidRDefault="0016014D" w:rsidP="0016014D">
      <w:pPr>
        <w:numPr>
          <w:ilvl w:val="0"/>
          <w:numId w:val="8"/>
        </w:numPr>
        <w:ind w:right="1224"/>
        <w:jc w:val="both"/>
        <w:rPr>
          <w:sz w:val="22"/>
          <w:szCs w:val="22"/>
        </w:rPr>
      </w:pPr>
      <w:r w:rsidRPr="0016014D">
        <w:rPr>
          <w:sz w:val="22"/>
          <w:szCs w:val="22"/>
        </w:rPr>
        <w:t>Un d</w:t>
      </w:r>
      <w:r>
        <w:rPr>
          <w:sz w:val="22"/>
          <w:szCs w:val="22"/>
        </w:rPr>
        <w:t>roit au respect de l’œuvre : c</w:t>
      </w:r>
      <w:r w:rsidRPr="0016014D">
        <w:rPr>
          <w:sz w:val="22"/>
          <w:szCs w:val="22"/>
        </w:rPr>
        <w:t>e droit permet à l’auteur de faire respecter son nom et sa qualité (droit à la paternité), ainsi que l’œuvre elle-même.</w:t>
      </w:r>
    </w:p>
    <w:p w:rsidR="0016014D" w:rsidRPr="0016014D" w:rsidRDefault="0016014D" w:rsidP="0016014D">
      <w:pPr>
        <w:jc w:val="both"/>
        <w:rPr>
          <w:sz w:val="22"/>
          <w:szCs w:val="22"/>
        </w:rPr>
      </w:pPr>
    </w:p>
    <w:p w:rsidR="007113AD" w:rsidRDefault="0016014D" w:rsidP="007113AD">
      <w:pPr>
        <w:jc w:val="both"/>
        <w:rPr>
          <w:bCs/>
          <w:sz w:val="22"/>
          <w:szCs w:val="22"/>
          <w:u w:val="single"/>
        </w:rPr>
      </w:pPr>
      <w:r w:rsidRPr="007113AD">
        <w:rPr>
          <w:bCs/>
          <w:sz w:val="22"/>
          <w:szCs w:val="22"/>
          <w:u w:val="single"/>
        </w:rPr>
        <w:t>Les d</w:t>
      </w:r>
      <w:r w:rsidR="007113AD">
        <w:rPr>
          <w:bCs/>
          <w:sz w:val="22"/>
          <w:szCs w:val="22"/>
          <w:u w:val="single"/>
        </w:rPr>
        <w:t xml:space="preserve">roits patrimoniaux </w:t>
      </w:r>
    </w:p>
    <w:p w:rsidR="0016014D" w:rsidRPr="007113AD" w:rsidRDefault="007113AD" w:rsidP="007113AD">
      <w:pPr>
        <w:numPr>
          <w:ilvl w:val="0"/>
          <w:numId w:val="10"/>
        </w:numPr>
        <w:jc w:val="both"/>
        <w:rPr>
          <w:bCs/>
          <w:sz w:val="22"/>
          <w:szCs w:val="22"/>
          <w:u w:val="single"/>
        </w:rPr>
      </w:pPr>
      <w:r>
        <w:rPr>
          <w:sz w:val="22"/>
          <w:szCs w:val="22"/>
        </w:rPr>
        <w:t>Un droit de représentation :</w:t>
      </w:r>
      <w:r w:rsidR="0016014D" w:rsidRPr="0016014D">
        <w:rPr>
          <w:sz w:val="22"/>
          <w:szCs w:val="22"/>
        </w:rPr>
        <w:t xml:space="preserve"> Il consiste pour l’auteur à communiquer son œuvre au public par un procédé quelconque (exemples : représentation théâtrale, lecture publique…).</w:t>
      </w:r>
    </w:p>
    <w:p w:rsidR="0016014D" w:rsidRPr="007113AD" w:rsidRDefault="007113AD" w:rsidP="007113AD">
      <w:pPr>
        <w:numPr>
          <w:ilvl w:val="0"/>
          <w:numId w:val="10"/>
        </w:numPr>
        <w:jc w:val="both"/>
        <w:rPr>
          <w:bCs/>
          <w:sz w:val="22"/>
          <w:szCs w:val="22"/>
          <w:u w:val="single"/>
        </w:rPr>
      </w:pPr>
      <w:r>
        <w:rPr>
          <w:sz w:val="22"/>
          <w:szCs w:val="22"/>
        </w:rPr>
        <w:t>Un droit de reproduction :</w:t>
      </w:r>
      <w:r w:rsidR="0016014D" w:rsidRPr="007113AD">
        <w:rPr>
          <w:sz w:val="22"/>
          <w:szCs w:val="22"/>
        </w:rPr>
        <w:t xml:space="preserve"> Il permet à l’auteur la fixation matérielle de l’œuvre sur un support (exemples : photocopies, édition…)</w:t>
      </w:r>
      <w:r>
        <w:rPr>
          <w:sz w:val="22"/>
          <w:szCs w:val="22"/>
        </w:rPr>
        <w:t>.</w:t>
      </w:r>
    </w:p>
    <w:p w:rsidR="007113AD" w:rsidRDefault="007113AD" w:rsidP="007113AD">
      <w:pPr>
        <w:jc w:val="both"/>
        <w:rPr>
          <w:sz w:val="22"/>
          <w:szCs w:val="22"/>
        </w:rPr>
      </w:pPr>
      <w:r>
        <w:rPr>
          <w:sz w:val="22"/>
          <w:szCs w:val="22"/>
        </w:rPr>
        <w:t>Le droit de représentation et le droit de reproduction constituent ce que l’on appelle couramment le droit d’exploitation.</w:t>
      </w:r>
    </w:p>
    <w:p w:rsidR="0016312C" w:rsidRPr="007113AD" w:rsidRDefault="0016312C" w:rsidP="007113AD">
      <w:pPr>
        <w:jc w:val="both"/>
        <w:rPr>
          <w:bCs/>
          <w:sz w:val="22"/>
          <w:szCs w:val="22"/>
          <w:u w:val="single"/>
        </w:rPr>
      </w:pPr>
    </w:p>
    <w:p w:rsidR="0016312C" w:rsidRPr="004A7904" w:rsidRDefault="0016312C" w:rsidP="0016312C">
      <w:pPr>
        <w:ind w:right="1224"/>
        <w:jc w:val="both"/>
        <w:rPr>
          <w:bCs/>
          <w:sz w:val="22"/>
          <w:szCs w:val="22"/>
          <w:u w:val="single"/>
        </w:rPr>
      </w:pPr>
      <w:r w:rsidRPr="004A7904">
        <w:rPr>
          <w:bCs/>
          <w:sz w:val="22"/>
          <w:szCs w:val="22"/>
          <w:u w:val="single"/>
        </w:rPr>
        <w:t>Les caractéristiques</w:t>
      </w:r>
    </w:p>
    <w:p w:rsidR="0016312C" w:rsidRDefault="0016312C" w:rsidP="0016312C">
      <w:pPr>
        <w:ind w:right="1224"/>
        <w:jc w:val="both"/>
        <w:rPr>
          <w:bCs/>
          <w:sz w:val="22"/>
          <w:szCs w:val="22"/>
        </w:rPr>
      </w:pPr>
      <w:r w:rsidRPr="0016312C">
        <w:rPr>
          <w:bCs/>
          <w:sz w:val="22"/>
          <w:szCs w:val="22"/>
        </w:rPr>
        <w:t>Le droit moral est imprescriptible.</w:t>
      </w:r>
    </w:p>
    <w:p w:rsidR="0016312C" w:rsidRDefault="0016312C" w:rsidP="0016312C">
      <w:pPr>
        <w:ind w:right="1224"/>
        <w:jc w:val="both"/>
        <w:rPr>
          <w:bCs/>
          <w:sz w:val="22"/>
          <w:szCs w:val="22"/>
        </w:rPr>
      </w:pPr>
      <w:r>
        <w:rPr>
          <w:bCs/>
          <w:sz w:val="22"/>
          <w:szCs w:val="22"/>
        </w:rPr>
        <w:t>Les droits patrimoniaux sont cessibles, ils durent toute la vie de l’auteur et 70 ans après son décès.</w:t>
      </w:r>
    </w:p>
    <w:p w:rsidR="0016312C" w:rsidRPr="0016312C" w:rsidRDefault="0016312C" w:rsidP="0016312C">
      <w:pPr>
        <w:ind w:right="1224"/>
        <w:jc w:val="both"/>
        <w:rPr>
          <w:bCs/>
          <w:sz w:val="22"/>
          <w:szCs w:val="22"/>
        </w:rPr>
      </w:pPr>
      <w:r>
        <w:rPr>
          <w:bCs/>
          <w:sz w:val="22"/>
          <w:szCs w:val="22"/>
        </w:rPr>
        <w:t>Toute atteinte au droit d’auteur est un délit passible d’une action en contrefaçon.</w:t>
      </w:r>
    </w:p>
    <w:p w:rsidR="0016014D" w:rsidRDefault="0016014D" w:rsidP="00CB7B69">
      <w:pPr>
        <w:rPr>
          <w:sz w:val="22"/>
          <w:szCs w:val="22"/>
        </w:rPr>
      </w:pPr>
    </w:p>
    <w:p w:rsidR="00917116" w:rsidRDefault="00917116" w:rsidP="00521AA8">
      <w:pPr>
        <w:jc w:val="both"/>
      </w:pPr>
    </w:p>
    <w:p w:rsidR="00917116" w:rsidRDefault="00917116" w:rsidP="00521AA8">
      <w:pPr>
        <w:jc w:val="both"/>
      </w:pPr>
    </w:p>
    <w:p w:rsidR="00917116" w:rsidRDefault="00917116" w:rsidP="00521AA8">
      <w:pPr>
        <w:jc w:val="both"/>
      </w:pPr>
    </w:p>
    <w:p w:rsidR="00917116" w:rsidRDefault="00917116" w:rsidP="00521AA8">
      <w:pPr>
        <w:jc w:val="both"/>
      </w:pPr>
    </w:p>
    <w:p w:rsidR="00917116" w:rsidRDefault="00917116" w:rsidP="00521AA8">
      <w:pPr>
        <w:jc w:val="both"/>
      </w:pPr>
    </w:p>
    <w:p w:rsidR="00917116" w:rsidRDefault="00917116" w:rsidP="00521AA8">
      <w:pPr>
        <w:jc w:val="both"/>
      </w:pPr>
    </w:p>
    <w:p w:rsidR="00917116" w:rsidRDefault="00917116" w:rsidP="00521AA8">
      <w:pPr>
        <w:jc w:val="both"/>
      </w:pPr>
    </w:p>
    <w:p w:rsidR="00917116" w:rsidRDefault="00917116" w:rsidP="00521AA8">
      <w:pPr>
        <w:jc w:val="both"/>
      </w:pPr>
    </w:p>
    <w:p w:rsidR="00917116" w:rsidRDefault="00917116" w:rsidP="00521AA8">
      <w:pPr>
        <w:jc w:val="both"/>
      </w:pPr>
    </w:p>
    <w:p w:rsidR="00917116" w:rsidRDefault="00917116" w:rsidP="00521AA8">
      <w:pPr>
        <w:jc w:val="both"/>
      </w:pPr>
    </w:p>
    <w:p w:rsidR="00917116" w:rsidRDefault="00917116" w:rsidP="00521AA8">
      <w:pPr>
        <w:jc w:val="both"/>
      </w:pPr>
    </w:p>
    <w:p w:rsidR="00917116" w:rsidRDefault="00917116" w:rsidP="00521AA8">
      <w:pPr>
        <w:jc w:val="both"/>
      </w:pPr>
    </w:p>
    <w:p w:rsidR="00917116" w:rsidRDefault="00917116" w:rsidP="00521AA8">
      <w:pPr>
        <w:jc w:val="both"/>
      </w:pPr>
    </w:p>
    <w:p w:rsidR="00917116" w:rsidRDefault="00917116" w:rsidP="00521AA8">
      <w:pPr>
        <w:jc w:val="both"/>
      </w:pPr>
    </w:p>
    <w:p w:rsidR="00917116" w:rsidRDefault="00917116" w:rsidP="00521AA8">
      <w:pPr>
        <w:jc w:val="both"/>
      </w:pPr>
    </w:p>
    <w:p w:rsidR="00917116" w:rsidRDefault="00917116" w:rsidP="00521AA8">
      <w:pPr>
        <w:jc w:val="both"/>
      </w:pPr>
    </w:p>
    <w:p w:rsidR="00917116" w:rsidRDefault="00917116" w:rsidP="00521AA8">
      <w:pPr>
        <w:jc w:val="both"/>
      </w:pPr>
    </w:p>
    <w:p w:rsidR="00917116" w:rsidRDefault="00917116"/>
    <w:p w:rsidR="00917116" w:rsidRDefault="00917116"/>
    <w:p w:rsidR="00917116" w:rsidRDefault="00917116"/>
    <w:p w:rsidR="00917116" w:rsidRDefault="00917116"/>
    <w:p w:rsidR="00917116" w:rsidRDefault="00917116"/>
    <w:p w:rsidR="00917116" w:rsidRDefault="00917116"/>
    <w:sectPr w:rsidR="00917116" w:rsidSect="00917116">
      <w:headerReference w:type="default" r:id="rId8"/>
      <w:footerReference w:type="default" r:id="rId9"/>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111" w:rsidRDefault="000E3111" w:rsidP="005A22CE">
      <w:r>
        <w:separator/>
      </w:r>
    </w:p>
  </w:endnote>
  <w:endnote w:type="continuationSeparator" w:id="0">
    <w:p w:rsidR="000E3111" w:rsidRDefault="000E3111" w:rsidP="005A2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2CE" w:rsidRPr="005A22CE" w:rsidRDefault="005A22CE" w:rsidP="005A22CE">
    <w:pPr>
      <w:pStyle w:val="Pieddepage"/>
      <w:tabs>
        <w:tab w:val="left" w:pos="709"/>
      </w:tabs>
      <w:ind w:right="357"/>
      <w:jc w:val="center"/>
      <w:rPr>
        <w:sz w:val="20"/>
      </w:rPr>
    </w:pPr>
    <w:r w:rsidRPr="005A1517">
      <w:rPr>
        <w:bCs/>
      </w:rPr>
      <w:t xml:space="preserve">©Comptazine – Reproduction Interdite           </w:t>
    </w:r>
    <w:r w:rsidRPr="005A1517">
      <w:rPr>
        <w:bCs/>
      </w:rPr>
      <w:tab/>
    </w:r>
    <w:r w:rsidRPr="005A1517">
      <w:rPr>
        <w:bCs/>
        <w:sz w:val="22"/>
      </w:rPr>
      <w:tab/>
    </w:r>
    <w:r w:rsidRPr="005A1517">
      <w:rPr>
        <w:rStyle w:val="Numrodepage"/>
        <w:bCs/>
        <w:sz w:val="22"/>
      </w:rPr>
      <w:fldChar w:fldCharType="begin"/>
    </w:r>
    <w:r w:rsidRPr="005A1517">
      <w:rPr>
        <w:rStyle w:val="Numrodepage"/>
        <w:sz w:val="22"/>
      </w:rPr>
      <w:instrText xml:space="preserve"> PAGE </w:instrText>
    </w:r>
    <w:r w:rsidRPr="005A1517">
      <w:rPr>
        <w:rStyle w:val="Numrodepage"/>
        <w:bCs/>
        <w:sz w:val="22"/>
      </w:rPr>
      <w:fldChar w:fldCharType="separate"/>
    </w:r>
    <w:r w:rsidR="00EE0D1E">
      <w:rPr>
        <w:rStyle w:val="Numrodepage"/>
        <w:noProof/>
        <w:sz w:val="22"/>
      </w:rPr>
      <w:t>1</w:t>
    </w:r>
    <w:r w:rsidRPr="005A1517">
      <w:rPr>
        <w:rStyle w:val="Numrodepage"/>
        <w:bCs/>
        <w:sz w:val="22"/>
      </w:rPr>
      <w:fldChar w:fldCharType="end"/>
    </w:r>
    <w:r w:rsidRPr="005A1517">
      <w:rPr>
        <w:rStyle w:val="Numrodepage"/>
        <w:sz w:val="22"/>
      </w:rPr>
      <w:t>/</w:t>
    </w:r>
    <w:r w:rsidRPr="005A1517">
      <w:rPr>
        <w:rStyle w:val="Numrodepage"/>
        <w:bCs/>
        <w:sz w:val="22"/>
      </w:rPr>
      <w:fldChar w:fldCharType="begin"/>
    </w:r>
    <w:r w:rsidRPr="005A1517">
      <w:rPr>
        <w:rStyle w:val="Numrodepage"/>
        <w:sz w:val="22"/>
      </w:rPr>
      <w:instrText xml:space="preserve">  NUMPAGES</w:instrText>
    </w:r>
    <w:r w:rsidRPr="005A1517">
      <w:rPr>
        <w:rStyle w:val="Numrodepage"/>
        <w:bCs/>
        <w:sz w:val="22"/>
      </w:rPr>
      <w:fldChar w:fldCharType="separate"/>
    </w:r>
    <w:r w:rsidR="00EE0D1E">
      <w:rPr>
        <w:rStyle w:val="Numrodepage"/>
        <w:noProof/>
        <w:sz w:val="22"/>
      </w:rPr>
      <w:t>4</w:t>
    </w:r>
    <w:r w:rsidRPr="005A1517">
      <w:rPr>
        <w:rStyle w:val="Numrodepage"/>
        <w:bCs/>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111" w:rsidRDefault="000E3111" w:rsidP="005A22CE">
      <w:r>
        <w:separator/>
      </w:r>
    </w:p>
  </w:footnote>
  <w:footnote w:type="continuationSeparator" w:id="0">
    <w:p w:rsidR="000E3111" w:rsidRDefault="000E3111" w:rsidP="005A22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2CE" w:rsidRDefault="005A22CE" w:rsidP="005A22CE">
    <w:pPr>
      <w:pStyle w:val="En-tte"/>
      <w:tabs>
        <w:tab w:val="left" w:pos="555"/>
        <w:tab w:val="left" w:pos="3240"/>
        <w:tab w:val="right" w:pos="10580"/>
      </w:tabs>
    </w:pPr>
    <w:r>
      <w:rPr>
        <w:noProof/>
      </w:rPr>
      <w:drawing>
        <wp:anchor distT="0" distB="0" distL="114300" distR="114300" simplePos="0" relativeHeight="251657728" behindDoc="0" locked="0" layoutInCell="1" allowOverlap="1">
          <wp:simplePos x="0" y="0"/>
          <wp:positionH relativeFrom="column">
            <wp:posOffset>6026150</wp:posOffset>
          </wp:positionH>
          <wp:positionV relativeFrom="paragraph">
            <wp:posOffset>-137795</wp:posOffset>
          </wp:positionV>
          <wp:extent cx="381000" cy="381000"/>
          <wp:effectExtent l="0" t="0" r="0" b="0"/>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r>
      <w:tab/>
    </w:r>
    <w:r w:rsidR="000E311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88" o:spid="_x0000_s2049" type="#_x0000_t75" style="position:absolute;margin-left:0;margin-top:0;width:495.9pt;height:495.9pt;z-index:-251657728;mso-position-horizontal:center;mso-position-horizontal-relative:margin;mso-position-vertical:center;mso-position-vertical-relative:margin" o:allowincell="f">
          <v:imagedata r:id="rId2" o:title="logos_Comptazine_NB-OPACITE-20-200-x-200"/>
          <w10:wrap anchorx="margin" anchory="margin"/>
        </v:shape>
      </w:pict>
    </w:r>
    <w:hyperlink r:id="rId3" w:history="1">
      <w:r w:rsidRPr="001C2C1B">
        <w:rPr>
          <w:rStyle w:val="Lienhypertexte"/>
          <w:rFonts w:cs="Calibri"/>
          <w:color w:val="E36C0A"/>
        </w:rPr>
        <w:t>www.comptazine.fr</w:t>
      </w:r>
    </w:hyperlink>
    <w:r>
      <w:rPr>
        <w:rStyle w:val="Lienhypertexte"/>
        <w:rFonts w:cs="Calibri"/>
        <w:color w:val="E36C0A"/>
      </w:rPr>
      <w:t xml:space="preserve"> </w:t>
    </w:r>
    <w:r>
      <w:rPr>
        <w:noProof/>
      </w:rPr>
      <mc:AlternateContent>
        <mc:Choice Requires="wps">
          <w:drawing>
            <wp:anchor distT="0" distB="0" distL="114300" distR="114300" simplePos="0" relativeHeight="251656704" behindDoc="1" locked="0" layoutInCell="1" allowOverlap="1">
              <wp:simplePos x="0" y="0"/>
              <wp:positionH relativeFrom="page">
                <wp:posOffset>527050</wp:posOffset>
              </wp:positionH>
              <wp:positionV relativeFrom="page">
                <wp:posOffset>774065</wp:posOffset>
              </wp:positionV>
              <wp:extent cx="2126615" cy="146685"/>
              <wp:effectExtent l="0" t="0" r="0" b="0"/>
              <wp:wrapNone/>
              <wp:docPr id="1" name="Zone de text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22CE" w:rsidRPr="005E18B7" w:rsidRDefault="005A22CE" w:rsidP="005A22CE">
                          <w:pPr>
                            <w:spacing w:before="7"/>
                            <w:ind w:left="20" w:right="-49"/>
                            <w:rPr>
                              <w:rFonts w:ascii="Arial" w:eastAsia="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32" o:spid="_x0000_s1026" type="#_x0000_t202" style="position:absolute;margin-left:41.5pt;margin-top:60.95pt;width:167.45pt;height:1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QgltgIAAK8FAAAOAAAAZHJzL2Uyb0RvYy54bWysVE1vnDAQvVfqf7B8J3yEJYDCRsmyVJXS&#10;DyntpTcvmMUq2NT2LqRV/3vHZtndJKpUReVgDfb4zbyZ57m+GbsW7alUTPAM+xceRpSXomJ8m+Gv&#10;XwonxkhpwivSCk4z/EgVvlm+fXM99CkNRCPaikoEIFylQ5/hRus+dV1VNrQj6kL0lMNhLWRHNPzK&#10;rVtJMgB617qB50XuIGTVS1FSpWA3nw7x0uLXNS31p7pWVKM2w5Cbtqu068as7vKapFtJ+oaVhzTI&#10;K7LoCOMQ9AiVE03QTrIXUB0rpVCi1hel6FxR16yklgOw8b1nbB4a0lPLBYqj+mOZ1P+DLT/uP0vE&#10;KugdRpx00KJv0ChUUaTpqCm6DEyNhl6l4PrQg7Me78Ro/A1f1d+L8rtCXKwawrf0VkoxNJRUkKNv&#10;brpnVyccZUA2wwdRQTCy08ICjbXsDCCUBAE69Orx2B9IBJWwGfhBFPkLjEo488Moihc2BEnn271U&#10;+h0VHTJGhiX036KT/b3SJhuSzi4mGBcFa1urgZY/2QDHaQdiw1VzZrKwLf2VeMk6XsehEwbR2gm9&#10;PHdui1XoRIV/tcgv89Uq93+buH6YNqyqKDdhZnn54b+17yD0SRhHgSnRssrAmZSU3G5WrUR7AvIu&#10;7HcoyJmb+zQNWwTg8oySH4TeXZA4RRRfOWERLpzkyosdz0/uksgLkzAvnlK6ZyCT6eFCgNdSQkOG&#10;k0WwmMT0V26e/V5yI2nHNAyQlnUZjo9OJDUSXPPKtlYT1k72WSlM+qdSQLvnRlvBGo1OatXjZgQU&#10;o+KNqB5BulKAskCfMPXAaIT8idEAEyTD6seOSIpR+56D/M24mQ05G5vZILyEqxnWGE3mSk9jaddL&#10;tm0AeXpgXNzCE6mZVe8pi8PDgqlgSRwmmBk75//W6zRnl38AAAD//wMAUEsDBBQABgAIAAAAIQAd&#10;x/Ru4AAAAAoBAAAPAAAAZHJzL2Rvd25yZXYueG1sTI9BT8MwDIXvSPyHyEjcWNIxxlaaThOCExJa&#10;Vw4c08ZrqzVOabKt/HvMCW7289Pz97LN5HpxxjF0njQkMwUCqfa2o0bDR/l6twIRoiFrek+o4RsD&#10;bPLrq8yk1l+owPM+NoJDKKRGQxvjkEoZ6hadCTM/IPHt4EdnIq9jI+1oLhzuejlXaimd6Yg/tGbA&#10;5xbr4/7kNGw/qXjpvt6rXXEourJcK3pbHrW+vZm2TyAiTvHPDL/4jA45M1X+RDaIXsPqnqtE1ufJ&#10;GgQbFskjDxUriwcFMs/k/wr5DwAAAP//AwBQSwECLQAUAAYACAAAACEAtoM4kv4AAADhAQAAEwAA&#10;AAAAAAAAAAAAAAAAAAAAW0NvbnRlbnRfVHlwZXNdLnhtbFBLAQItABQABgAIAAAAIQA4/SH/1gAA&#10;AJQBAAALAAAAAAAAAAAAAAAAAC8BAABfcmVscy8ucmVsc1BLAQItABQABgAIAAAAIQDTUQgltgIA&#10;AK8FAAAOAAAAAAAAAAAAAAAAAC4CAABkcnMvZTJvRG9jLnhtbFBLAQItABQABgAIAAAAIQAdx/Ru&#10;4AAAAAoBAAAPAAAAAAAAAAAAAAAAABAFAABkcnMvZG93bnJldi54bWxQSwUGAAAAAAQABADzAAAA&#10;HQYAAAAA&#10;" filled="f" stroked="f">
              <v:textbox inset="0,0,0,0">
                <w:txbxContent>
                  <w:p w:rsidR="005A22CE" w:rsidRPr="005E18B7" w:rsidRDefault="005A22CE" w:rsidP="005A22CE">
                    <w:pPr>
                      <w:spacing w:before="7"/>
                      <w:ind w:left="20" w:right="-49"/>
                      <w:rPr>
                        <w:rFonts w:ascii="Arial" w:eastAsia="Arial" w:hAnsi="Arial" w:cs="Arial"/>
                        <w:sz w:val="16"/>
                        <w:szCs w:val="16"/>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218B6"/>
    <w:multiLevelType w:val="hybridMultilevel"/>
    <w:tmpl w:val="5C0EE49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21267783"/>
    <w:multiLevelType w:val="hybridMultilevel"/>
    <w:tmpl w:val="57A027D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2B383BD4"/>
    <w:multiLevelType w:val="hybridMultilevel"/>
    <w:tmpl w:val="1220A4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DE85C7A"/>
    <w:multiLevelType w:val="hybridMultilevel"/>
    <w:tmpl w:val="1A384B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F1167E5"/>
    <w:multiLevelType w:val="hybridMultilevel"/>
    <w:tmpl w:val="2EB071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14F4FCA"/>
    <w:multiLevelType w:val="hybridMultilevel"/>
    <w:tmpl w:val="9E4EAD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54426BD"/>
    <w:multiLevelType w:val="hybridMultilevel"/>
    <w:tmpl w:val="9E56C5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976291B"/>
    <w:multiLevelType w:val="hybridMultilevel"/>
    <w:tmpl w:val="B832D6A0"/>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8">
    <w:nsid w:val="4B710376"/>
    <w:multiLevelType w:val="hybridMultilevel"/>
    <w:tmpl w:val="F3549A3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31864AD"/>
    <w:multiLevelType w:val="hybridMultilevel"/>
    <w:tmpl w:val="F96E98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55B22FA"/>
    <w:multiLevelType w:val="hybridMultilevel"/>
    <w:tmpl w:val="32F0A7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75F7727"/>
    <w:multiLevelType w:val="hybridMultilevel"/>
    <w:tmpl w:val="3BBC04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85423DC"/>
    <w:multiLevelType w:val="hybridMultilevel"/>
    <w:tmpl w:val="AA8C2C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3857708"/>
    <w:multiLevelType w:val="hybridMultilevel"/>
    <w:tmpl w:val="5BCC3A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82F04BA"/>
    <w:multiLevelType w:val="hybridMultilevel"/>
    <w:tmpl w:val="0330C1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3"/>
  </w:num>
  <w:num w:numId="4">
    <w:abstractNumId w:val="2"/>
  </w:num>
  <w:num w:numId="5">
    <w:abstractNumId w:val="7"/>
  </w:num>
  <w:num w:numId="6">
    <w:abstractNumId w:val="11"/>
  </w:num>
  <w:num w:numId="7">
    <w:abstractNumId w:val="8"/>
  </w:num>
  <w:num w:numId="8">
    <w:abstractNumId w:val="4"/>
  </w:num>
  <w:num w:numId="9">
    <w:abstractNumId w:val="0"/>
  </w:num>
  <w:num w:numId="10">
    <w:abstractNumId w:val="12"/>
  </w:num>
  <w:num w:numId="11">
    <w:abstractNumId w:val="1"/>
  </w:num>
  <w:num w:numId="12">
    <w:abstractNumId w:val="14"/>
  </w:num>
  <w:num w:numId="13">
    <w:abstractNumId w:val="9"/>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C71"/>
    <w:rsid w:val="00032810"/>
    <w:rsid w:val="00096F24"/>
    <w:rsid w:val="000B7675"/>
    <w:rsid w:val="000E3111"/>
    <w:rsid w:val="0016014D"/>
    <w:rsid w:val="00161709"/>
    <w:rsid w:val="00162DD0"/>
    <w:rsid w:val="0016312C"/>
    <w:rsid w:val="00207DDF"/>
    <w:rsid w:val="002B017F"/>
    <w:rsid w:val="002D2888"/>
    <w:rsid w:val="003E72A3"/>
    <w:rsid w:val="0041759C"/>
    <w:rsid w:val="00433294"/>
    <w:rsid w:val="00456FCF"/>
    <w:rsid w:val="004A7904"/>
    <w:rsid w:val="004D0114"/>
    <w:rsid w:val="004E416C"/>
    <w:rsid w:val="00521AA8"/>
    <w:rsid w:val="00550B69"/>
    <w:rsid w:val="005A22CE"/>
    <w:rsid w:val="00637AC5"/>
    <w:rsid w:val="006D2981"/>
    <w:rsid w:val="007113AD"/>
    <w:rsid w:val="007C6F39"/>
    <w:rsid w:val="008B3C71"/>
    <w:rsid w:val="008D1D61"/>
    <w:rsid w:val="00917116"/>
    <w:rsid w:val="009257CB"/>
    <w:rsid w:val="00977DBE"/>
    <w:rsid w:val="009F3FFB"/>
    <w:rsid w:val="00A17BA8"/>
    <w:rsid w:val="00A9691D"/>
    <w:rsid w:val="00B04000"/>
    <w:rsid w:val="00B15CEB"/>
    <w:rsid w:val="00B23979"/>
    <w:rsid w:val="00B36B67"/>
    <w:rsid w:val="00B955A3"/>
    <w:rsid w:val="00BB1373"/>
    <w:rsid w:val="00BB38E7"/>
    <w:rsid w:val="00BB68D1"/>
    <w:rsid w:val="00BB6EFB"/>
    <w:rsid w:val="00C175AB"/>
    <w:rsid w:val="00C77F31"/>
    <w:rsid w:val="00CB2D32"/>
    <w:rsid w:val="00CB7B69"/>
    <w:rsid w:val="00DF3658"/>
    <w:rsid w:val="00E1490E"/>
    <w:rsid w:val="00EA1E1D"/>
    <w:rsid w:val="00EA3D23"/>
    <w:rsid w:val="00EE0D1E"/>
    <w:rsid w:val="00EE71ED"/>
    <w:rsid w:val="00F25ED3"/>
    <w:rsid w:val="00F84B2B"/>
    <w:rsid w:val="00FE0F3D"/>
    <w:rsid w:val="00FE50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C71"/>
    <w:rPr>
      <w:rFonts w:ascii="Times New Roman" w:eastAsia="Times New Roman" w:hAnsi="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8B3C71"/>
    <w:pPr>
      <w:jc w:val="center"/>
    </w:pPr>
    <w:rPr>
      <w:b/>
      <w:bCs/>
      <w:sz w:val="32"/>
    </w:rPr>
  </w:style>
  <w:style w:type="character" w:customStyle="1" w:styleId="TitreCar">
    <w:name w:val="Titre Car"/>
    <w:basedOn w:val="Policepardfaut"/>
    <w:link w:val="Titre"/>
    <w:rsid w:val="008B3C71"/>
    <w:rPr>
      <w:rFonts w:ascii="Times New Roman" w:eastAsia="Times New Roman" w:hAnsi="Times New Roman" w:cs="Times New Roman"/>
      <w:b/>
      <w:bCs/>
      <w:sz w:val="32"/>
      <w:szCs w:val="24"/>
      <w:lang w:eastAsia="fr-FR"/>
    </w:rPr>
  </w:style>
  <w:style w:type="paragraph" w:styleId="Pieddepage">
    <w:name w:val="footer"/>
    <w:basedOn w:val="Normal"/>
    <w:link w:val="PieddepageCar"/>
    <w:rsid w:val="00917116"/>
    <w:pPr>
      <w:tabs>
        <w:tab w:val="center" w:pos="4536"/>
        <w:tab w:val="right" w:pos="9072"/>
      </w:tabs>
    </w:pPr>
  </w:style>
  <w:style w:type="character" w:customStyle="1" w:styleId="PieddepageCar">
    <w:name w:val="Pied de page Car"/>
    <w:basedOn w:val="Policepardfaut"/>
    <w:link w:val="Pieddepage"/>
    <w:rsid w:val="00917116"/>
    <w:rPr>
      <w:rFonts w:ascii="Times New Roman" w:eastAsia="Times New Roman" w:hAnsi="Times New Roman"/>
      <w:sz w:val="24"/>
      <w:szCs w:val="24"/>
    </w:rPr>
  </w:style>
  <w:style w:type="character" w:styleId="Numrodepage">
    <w:name w:val="page number"/>
    <w:basedOn w:val="Policepardfaut"/>
    <w:rsid w:val="00917116"/>
  </w:style>
  <w:style w:type="character" w:styleId="Lienhypertexte">
    <w:name w:val="Hyperlink"/>
    <w:basedOn w:val="Policepardfaut"/>
    <w:unhideWhenUsed/>
    <w:rsid w:val="00917116"/>
    <w:rPr>
      <w:color w:val="0000FF"/>
      <w:u w:val="single"/>
    </w:rPr>
  </w:style>
  <w:style w:type="paragraph" w:styleId="En-tte">
    <w:name w:val="header"/>
    <w:basedOn w:val="Normal"/>
    <w:link w:val="En-tteCar"/>
    <w:unhideWhenUsed/>
    <w:rsid w:val="005A22CE"/>
    <w:pPr>
      <w:tabs>
        <w:tab w:val="center" w:pos="4513"/>
        <w:tab w:val="right" w:pos="9026"/>
      </w:tabs>
    </w:pPr>
  </w:style>
  <w:style w:type="character" w:customStyle="1" w:styleId="En-tteCar">
    <w:name w:val="En-tête Car"/>
    <w:basedOn w:val="Policepardfaut"/>
    <w:link w:val="En-tte"/>
    <w:rsid w:val="005A22CE"/>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C71"/>
    <w:rPr>
      <w:rFonts w:ascii="Times New Roman" w:eastAsia="Times New Roman" w:hAnsi="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8B3C71"/>
    <w:pPr>
      <w:jc w:val="center"/>
    </w:pPr>
    <w:rPr>
      <w:b/>
      <w:bCs/>
      <w:sz w:val="32"/>
    </w:rPr>
  </w:style>
  <w:style w:type="character" w:customStyle="1" w:styleId="TitreCar">
    <w:name w:val="Titre Car"/>
    <w:basedOn w:val="Policepardfaut"/>
    <w:link w:val="Titre"/>
    <w:rsid w:val="008B3C71"/>
    <w:rPr>
      <w:rFonts w:ascii="Times New Roman" w:eastAsia="Times New Roman" w:hAnsi="Times New Roman" w:cs="Times New Roman"/>
      <w:b/>
      <w:bCs/>
      <w:sz w:val="32"/>
      <w:szCs w:val="24"/>
      <w:lang w:eastAsia="fr-FR"/>
    </w:rPr>
  </w:style>
  <w:style w:type="paragraph" w:styleId="Pieddepage">
    <w:name w:val="footer"/>
    <w:basedOn w:val="Normal"/>
    <w:link w:val="PieddepageCar"/>
    <w:rsid w:val="00917116"/>
    <w:pPr>
      <w:tabs>
        <w:tab w:val="center" w:pos="4536"/>
        <w:tab w:val="right" w:pos="9072"/>
      </w:tabs>
    </w:pPr>
  </w:style>
  <w:style w:type="character" w:customStyle="1" w:styleId="PieddepageCar">
    <w:name w:val="Pied de page Car"/>
    <w:basedOn w:val="Policepardfaut"/>
    <w:link w:val="Pieddepage"/>
    <w:rsid w:val="00917116"/>
    <w:rPr>
      <w:rFonts w:ascii="Times New Roman" w:eastAsia="Times New Roman" w:hAnsi="Times New Roman"/>
      <w:sz w:val="24"/>
      <w:szCs w:val="24"/>
    </w:rPr>
  </w:style>
  <w:style w:type="character" w:styleId="Numrodepage">
    <w:name w:val="page number"/>
    <w:basedOn w:val="Policepardfaut"/>
    <w:rsid w:val="00917116"/>
  </w:style>
  <w:style w:type="character" w:styleId="Lienhypertexte">
    <w:name w:val="Hyperlink"/>
    <w:basedOn w:val="Policepardfaut"/>
    <w:unhideWhenUsed/>
    <w:rsid w:val="00917116"/>
    <w:rPr>
      <w:color w:val="0000FF"/>
      <w:u w:val="single"/>
    </w:rPr>
  </w:style>
  <w:style w:type="paragraph" w:styleId="En-tte">
    <w:name w:val="header"/>
    <w:basedOn w:val="Normal"/>
    <w:link w:val="En-tteCar"/>
    <w:unhideWhenUsed/>
    <w:rsid w:val="005A22CE"/>
    <w:pPr>
      <w:tabs>
        <w:tab w:val="center" w:pos="4513"/>
        <w:tab w:val="right" w:pos="9026"/>
      </w:tabs>
    </w:pPr>
  </w:style>
  <w:style w:type="character" w:customStyle="1" w:styleId="En-tteCar">
    <w:name w:val="En-tête Car"/>
    <w:basedOn w:val="Policepardfaut"/>
    <w:link w:val="En-tte"/>
    <w:rsid w:val="005A22C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comptazine.fr"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1539</Words>
  <Characters>8468</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9988</CharactersWithSpaces>
  <SharedDoc>false</SharedDoc>
  <HLinks>
    <vt:vector size="24" baseType="variant">
      <vt:variant>
        <vt:i4>2883629</vt:i4>
      </vt:variant>
      <vt:variant>
        <vt:i4>12</vt:i4>
      </vt:variant>
      <vt:variant>
        <vt:i4>0</vt:i4>
      </vt:variant>
      <vt:variant>
        <vt:i4>5</vt:i4>
      </vt:variant>
      <vt:variant>
        <vt:lpwstr>http://crtg.ac-grenoble.fr/</vt:lpwstr>
      </vt:variant>
      <vt:variant>
        <vt:lpwstr/>
      </vt:variant>
      <vt:variant>
        <vt:i4>2883629</vt:i4>
      </vt:variant>
      <vt:variant>
        <vt:i4>9</vt:i4>
      </vt:variant>
      <vt:variant>
        <vt:i4>0</vt:i4>
      </vt:variant>
      <vt:variant>
        <vt:i4>5</vt:i4>
      </vt:variant>
      <vt:variant>
        <vt:lpwstr>http://crtg.ac-grenoble.fr/</vt:lpwstr>
      </vt:variant>
      <vt:variant>
        <vt:lpwstr/>
      </vt:variant>
      <vt:variant>
        <vt:i4>2883629</vt:i4>
      </vt:variant>
      <vt:variant>
        <vt:i4>6</vt:i4>
      </vt:variant>
      <vt:variant>
        <vt:i4>0</vt:i4>
      </vt:variant>
      <vt:variant>
        <vt:i4>5</vt:i4>
      </vt:variant>
      <vt:variant>
        <vt:lpwstr>http://crtg.ac-grenoble.fr/</vt:lpwstr>
      </vt:variant>
      <vt:variant>
        <vt:lpwstr/>
      </vt:variant>
      <vt:variant>
        <vt:i4>2883629</vt:i4>
      </vt:variant>
      <vt:variant>
        <vt:i4>0</vt:i4>
      </vt:variant>
      <vt:variant>
        <vt:i4>0</vt:i4>
      </vt:variant>
      <vt:variant>
        <vt:i4>5</vt:i4>
      </vt:variant>
      <vt:variant>
        <vt:lpwstr>http://crtg.ac-grenoble.fr/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Sebastien</cp:lastModifiedBy>
  <cp:revision>2</cp:revision>
  <dcterms:created xsi:type="dcterms:W3CDTF">2012-12-18T08:30:00Z</dcterms:created>
  <dcterms:modified xsi:type="dcterms:W3CDTF">2012-12-18T08:30:00Z</dcterms:modified>
</cp:coreProperties>
</file>