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1A4" w:rsidRPr="003D21A4" w:rsidRDefault="003D21A4" w:rsidP="003D21A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eastAsia="Times New Roman"/>
          <w:b/>
          <w:bCs/>
          <w:noProof/>
          <w:sz w:val="22"/>
          <w:lang w:eastAsia="fr-FR"/>
        </w:rPr>
      </w:pPr>
      <w:r>
        <w:rPr>
          <w:rFonts w:eastAsia="Times New Roman"/>
          <w:b/>
          <w:bCs/>
          <w:noProof/>
          <w:sz w:val="22"/>
          <w:lang w:eastAsia="fr-FR"/>
        </w:rPr>
        <w:t>DCG session 201</w:t>
      </w:r>
      <w:r w:rsidR="005776D0">
        <w:rPr>
          <w:rFonts w:eastAsia="Times New Roman"/>
          <w:b/>
          <w:bCs/>
          <w:noProof/>
          <w:sz w:val="22"/>
          <w:lang w:eastAsia="fr-FR"/>
        </w:rPr>
        <w:t>5</w:t>
      </w:r>
      <w:r>
        <w:rPr>
          <w:rFonts w:eastAsia="Times New Roman"/>
          <w:b/>
          <w:bCs/>
          <w:noProof/>
          <w:sz w:val="22"/>
          <w:lang w:eastAsia="fr-FR"/>
        </w:rPr>
        <w:tab/>
      </w:r>
      <w:r>
        <w:rPr>
          <w:rFonts w:eastAsia="Times New Roman"/>
          <w:b/>
          <w:bCs/>
          <w:noProof/>
          <w:sz w:val="22"/>
          <w:lang w:eastAsia="fr-FR"/>
        </w:rPr>
        <w:tab/>
        <w:t>UE1</w:t>
      </w:r>
      <w:r w:rsidRPr="003D21A4">
        <w:rPr>
          <w:rFonts w:eastAsia="Times New Roman"/>
          <w:b/>
          <w:bCs/>
          <w:noProof/>
          <w:sz w:val="22"/>
          <w:lang w:eastAsia="fr-FR"/>
        </w:rPr>
        <w:t xml:space="preserve"> </w:t>
      </w:r>
      <w:r>
        <w:rPr>
          <w:rFonts w:eastAsia="Times New Roman"/>
          <w:b/>
          <w:bCs/>
          <w:noProof/>
          <w:sz w:val="22"/>
          <w:lang w:eastAsia="fr-FR"/>
        </w:rPr>
        <w:t>Introduction au droit</w:t>
      </w:r>
      <w:r w:rsidRPr="003D21A4">
        <w:rPr>
          <w:rFonts w:eastAsia="Times New Roman"/>
          <w:b/>
          <w:bCs/>
          <w:noProof/>
          <w:sz w:val="22"/>
          <w:lang w:eastAsia="fr-FR"/>
        </w:rPr>
        <w:tab/>
      </w:r>
      <w:r w:rsidRPr="003D21A4">
        <w:rPr>
          <w:rFonts w:eastAsia="Times New Roman"/>
          <w:b/>
          <w:bCs/>
          <w:noProof/>
          <w:sz w:val="22"/>
          <w:lang w:eastAsia="fr-FR"/>
        </w:rPr>
        <w:tab/>
        <w:t>Corrigé indicatif</w:t>
      </w:r>
    </w:p>
    <w:p w:rsidR="00321D38" w:rsidRDefault="00321D38" w:rsidP="00D516BE">
      <w:pPr>
        <w:spacing w:after="0" w:line="240" w:lineRule="auto"/>
      </w:pPr>
    </w:p>
    <w:p w:rsidR="00031E18" w:rsidRDefault="00031E18" w:rsidP="00031E18">
      <w:pPr>
        <w:spacing w:after="0" w:line="240" w:lineRule="auto"/>
        <w:jc w:val="center"/>
        <w:rPr>
          <w:b/>
        </w:rPr>
      </w:pPr>
      <w:r w:rsidRPr="00E524B4">
        <w:rPr>
          <w:b/>
        </w:rPr>
        <w:t>DOSSIER 1 </w:t>
      </w:r>
      <w:r w:rsidR="00CA4392">
        <w:rPr>
          <w:b/>
        </w:rPr>
        <w:t>–</w:t>
      </w:r>
      <w:r w:rsidRPr="00E524B4">
        <w:rPr>
          <w:b/>
        </w:rPr>
        <w:t xml:space="preserve"> </w:t>
      </w:r>
      <w:r w:rsidR="00CA4392" w:rsidRPr="00CA4392">
        <w:rPr>
          <w:b/>
        </w:rPr>
        <w:t>SITUATIONS PRATIQUES</w:t>
      </w:r>
    </w:p>
    <w:p w:rsidR="00031E18" w:rsidRPr="00E524B4" w:rsidRDefault="00031E18" w:rsidP="00031E18">
      <w:pPr>
        <w:spacing w:after="0" w:line="240" w:lineRule="auto"/>
        <w:rPr>
          <w:b/>
        </w:rPr>
      </w:pPr>
    </w:p>
    <w:p w:rsidR="00222A39" w:rsidRDefault="00CA4392" w:rsidP="00CA4392">
      <w:pPr>
        <w:pStyle w:val="Paragraphedeliste"/>
        <w:numPr>
          <w:ilvl w:val="1"/>
          <w:numId w:val="33"/>
        </w:numPr>
        <w:spacing w:after="120" w:line="240" w:lineRule="auto"/>
        <w:jc w:val="both"/>
        <w:rPr>
          <w:rFonts w:eastAsia="Times New Roman"/>
          <w:b/>
          <w:bCs/>
          <w:szCs w:val="24"/>
        </w:rPr>
      </w:pPr>
      <w:r w:rsidRPr="00CA4392">
        <w:rPr>
          <w:rFonts w:eastAsia="Times New Roman"/>
          <w:b/>
          <w:bCs/>
          <w:szCs w:val="24"/>
        </w:rPr>
        <w:t>Suzanne HELDER peut-elle vendre la maison ?</w:t>
      </w:r>
    </w:p>
    <w:p w:rsidR="00007E3B" w:rsidRDefault="00CA4392" w:rsidP="00007E3B">
      <w:pPr>
        <w:spacing w:after="0" w:line="240" w:lineRule="auto"/>
        <w:jc w:val="both"/>
        <w:rPr>
          <w:rFonts w:eastAsia="Times New Roman"/>
          <w:b/>
          <w:bCs/>
          <w:szCs w:val="24"/>
        </w:rPr>
      </w:pPr>
      <w:r>
        <w:rPr>
          <w:rFonts w:eastAsia="Times New Roman"/>
          <w:b/>
          <w:bCs/>
          <w:szCs w:val="24"/>
        </w:rPr>
        <w:t>Règle de droit</w:t>
      </w:r>
      <w:r w:rsidR="00222A39" w:rsidRPr="00222A39">
        <w:rPr>
          <w:rFonts w:eastAsia="Times New Roman"/>
          <w:b/>
          <w:bCs/>
          <w:szCs w:val="24"/>
        </w:rPr>
        <w:t xml:space="preserve"> :</w:t>
      </w:r>
      <w:r w:rsidRPr="00CA4392">
        <w:t xml:space="preserve"> </w:t>
      </w:r>
      <w:r w:rsidRPr="00CA4392">
        <w:rPr>
          <w:rFonts w:eastAsia="Times New Roman"/>
          <w:bCs/>
          <w:szCs w:val="24"/>
        </w:rPr>
        <w:t>Le droit de propriété est composé de trois éléments : l’usus (droit d’utiliser la chose), le fructus (droit de percevoir les fruits de la chose) et l’abusus (d</w:t>
      </w:r>
      <w:r>
        <w:rPr>
          <w:rFonts w:eastAsia="Times New Roman"/>
          <w:bCs/>
          <w:szCs w:val="24"/>
        </w:rPr>
        <w:t xml:space="preserve">roit de disposer de la chose). </w:t>
      </w:r>
      <w:r w:rsidRPr="00CA4392">
        <w:rPr>
          <w:rFonts w:eastAsia="Times New Roman"/>
          <w:bCs/>
          <w:szCs w:val="24"/>
        </w:rPr>
        <w:t>Le droit de propriété peut être démembré. Dans le cas de l’usufruit, l’usufruitier a le droit de jouir de la chose et d’en percevoir les fruits. Le nu-propriétaire conserve le droit de disposer de la chose.</w:t>
      </w:r>
      <w:r w:rsidR="00222A39">
        <w:rPr>
          <w:rFonts w:eastAsia="Times New Roman"/>
          <w:b/>
          <w:bCs/>
          <w:szCs w:val="24"/>
        </w:rPr>
        <w:t xml:space="preserve"> </w:t>
      </w:r>
    </w:p>
    <w:p w:rsidR="000760BD" w:rsidRDefault="000760BD" w:rsidP="00007E3B">
      <w:pPr>
        <w:spacing w:after="0" w:line="240" w:lineRule="auto"/>
        <w:jc w:val="both"/>
        <w:rPr>
          <w:rFonts w:eastAsia="Times New Roman"/>
          <w:bCs/>
          <w:szCs w:val="24"/>
        </w:rPr>
      </w:pPr>
      <w:r w:rsidRPr="000760BD">
        <w:rPr>
          <w:rFonts w:eastAsia="Times New Roman"/>
          <w:b/>
          <w:bCs/>
          <w:szCs w:val="24"/>
        </w:rPr>
        <w:t xml:space="preserve">Application : </w:t>
      </w:r>
      <w:r w:rsidRPr="000760BD">
        <w:rPr>
          <w:rFonts w:eastAsia="Times New Roman"/>
          <w:bCs/>
          <w:szCs w:val="24"/>
        </w:rPr>
        <w:t>Suzanne HELDER a seulement l’usufruit de la maison. Elle ne peut donc pas en disposer, c’est-à-dire la vendre.</w:t>
      </w:r>
    </w:p>
    <w:p w:rsidR="009A2F24" w:rsidRPr="00007E3B" w:rsidRDefault="009A2F24" w:rsidP="00007E3B">
      <w:pPr>
        <w:spacing w:after="0" w:line="240" w:lineRule="auto"/>
        <w:jc w:val="both"/>
        <w:rPr>
          <w:rFonts w:eastAsia="Times New Roman"/>
          <w:b/>
          <w:bCs/>
          <w:szCs w:val="24"/>
        </w:rPr>
      </w:pPr>
    </w:p>
    <w:p w:rsidR="000760BD" w:rsidRDefault="000760BD" w:rsidP="000760BD">
      <w:pPr>
        <w:numPr>
          <w:ilvl w:val="1"/>
          <w:numId w:val="33"/>
        </w:numPr>
        <w:spacing w:after="0" w:line="240" w:lineRule="auto"/>
        <w:jc w:val="both"/>
        <w:rPr>
          <w:rFonts w:eastAsia="Times New Roman"/>
          <w:b/>
          <w:bCs/>
          <w:color w:val="000000"/>
          <w:szCs w:val="24"/>
        </w:rPr>
      </w:pPr>
      <w:r w:rsidRPr="000760BD">
        <w:rPr>
          <w:rFonts w:eastAsia="Times New Roman"/>
          <w:b/>
          <w:bCs/>
          <w:color w:val="000000"/>
          <w:szCs w:val="24"/>
        </w:rPr>
        <w:t>Jacques peut-il utiliser le fonds de commerce pour obtenir ce crédit ? A quelles conditions ?</w:t>
      </w:r>
    </w:p>
    <w:p w:rsidR="000760BD" w:rsidRPr="000760BD" w:rsidRDefault="000760BD" w:rsidP="000760BD">
      <w:pPr>
        <w:spacing w:after="0" w:line="240" w:lineRule="auto"/>
        <w:jc w:val="both"/>
        <w:rPr>
          <w:rFonts w:eastAsia="Times New Roman"/>
          <w:b/>
          <w:bCs/>
          <w:color w:val="000000"/>
          <w:szCs w:val="24"/>
        </w:rPr>
      </w:pPr>
    </w:p>
    <w:p w:rsidR="000760BD" w:rsidRPr="000760BD" w:rsidRDefault="000760BD" w:rsidP="000760BD">
      <w:pPr>
        <w:spacing w:after="0" w:line="240" w:lineRule="auto"/>
        <w:jc w:val="both"/>
        <w:rPr>
          <w:rFonts w:eastAsia="Times New Roman"/>
          <w:bCs/>
          <w:color w:val="000000"/>
          <w:szCs w:val="24"/>
        </w:rPr>
      </w:pPr>
      <w:r w:rsidRPr="000760BD">
        <w:rPr>
          <w:rFonts w:eastAsia="Times New Roman"/>
          <w:b/>
          <w:bCs/>
          <w:color w:val="000000"/>
          <w:szCs w:val="24"/>
        </w:rPr>
        <w:t xml:space="preserve">Règle de droit : </w:t>
      </w:r>
      <w:r w:rsidRPr="000760BD">
        <w:rPr>
          <w:rFonts w:eastAsia="Times New Roman"/>
          <w:bCs/>
          <w:color w:val="000000"/>
          <w:szCs w:val="24"/>
        </w:rPr>
        <w:t>Le fonds de commerce peut être donné en garantie par le biais du nantissement. Il s’agit d’une sûreté réelle constituée sur le fonds de commerce.</w:t>
      </w:r>
    </w:p>
    <w:p w:rsidR="000760BD" w:rsidRPr="000760BD" w:rsidRDefault="000760BD" w:rsidP="000760BD">
      <w:pPr>
        <w:spacing w:after="0" w:line="240" w:lineRule="auto"/>
        <w:jc w:val="both"/>
        <w:rPr>
          <w:rFonts w:eastAsia="Times New Roman"/>
          <w:bCs/>
          <w:color w:val="000000"/>
          <w:szCs w:val="24"/>
        </w:rPr>
      </w:pPr>
      <w:r w:rsidRPr="000760BD">
        <w:rPr>
          <w:rFonts w:eastAsia="Times New Roman"/>
          <w:bCs/>
          <w:color w:val="000000"/>
          <w:szCs w:val="24"/>
        </w:rPr>
        <w:t xml:space="preserve">L’assiette du nantissement inclut toujours la clientèle, le droit au bail, le nom commercial et l’enseigne. Elle peut inclure, par stipulation expresse dans l’acte, le matériel, les droits de propriété industrielle. Elle n’inclut jamais les marchandises. </w:t>
      </w:r>
    </w:p>
    <w:p w:rsidR="000760BD" w:rsidRPr="000760BD" w:rsidRDefault="000760BD" w:rsidP="000760BD">
      <w:pPr>
        <w:spacing w:after="0" w:line="240" w:lineRule="auto"/>
        <w:jc w:val="both"/>
        <w:rPr>
          <w:rFonts w:eastAsia="Times New Roman"/>
          <w:bCs/>
          <w:color w:val="000000"/>
          <w:szCs w:val="24"/>
        </w:rPr>
      </w:pPr>
      <w:r w:rsidRPr="000760BD">
        <w:rPr>
          <w:rFonts w:eastAsia="Times New Roman"/>
          <w:bCs/>
          <w:color w:val="000000"/>
          <w:szCs w:val="24"/>
        </w:rPr>
        <w:t>Le nantissement doit être constaté par écrit (acte authentique ou sous seing privé). Il doit être inscrit dans un registre spécial au greffe du tribunal de commerce dans la quinzaine de l’acte. Cette inscription est valable dix ans et peut être renouvelée.</w:t>
      </w:r>
    </w:p>
    <w:p w:rsidR="000760BD" w:rsidRDefault="000760BD" w:rsidP="000760BD">
      <w:pPr>
        <w:spacing w:after="0" w:line="240" w:lineRule="auto"/>
        <w:jc w:val="both"/>
        <w:rPr>
          <w:rFonts w:eastAsia="Times New Roman"/>
          <w:b/>
          <w:bCs/>
          <w:color w:val="000000"/>
          <w:szCs w:val="24"/>
        </w:rPr>
      </w:pPr>
      <w:r w:rsidRPr="000760BD">
        <w:rPr>
          <w:rFonts w:eastAsia="Times New Roman"/>
          <w:b/>
          <w:bCs/>
          <w:color w:val="000000"/>
          <w:szCs w:val="24"/>
        </w:rPr>
        <w:t xml:space="preserve">Application : </w:t>
      </w:r>
      <w:r w:rsidRPr="000760BD">
        <w:rPr>
          <w:rFonts w:eastAsia="Times New Roman"/>
          <w:bCs/>
          <w:color w:val="000000"/>
          <w:szCs w:val="24"/>
        </w:rPr>
        <w:t>Jacques peut nantir son fonds de commerce. Seule la clientèle et éventuellement le matériel seront pris en compte pour garantir au total une somme maximale de 125 000€.</w:t>
      </w:r>
      <w:r w:rsidRPr="000760BD">
        <w:rPr>
          <w:rFonts w:eastAsia="Times New Roman"/>
          <w:b/>
          <w:bCs/>
          <w:color w:val="000000"/>
          <w:szCs w:val="24"/>
        </w:rPr>
        <w:t xml:space="preserve"> </w:t>
      </w:r>
    </w:p>
    <w:p w:rsidR="000760BD" w:rsidRPr="000760BD" w:rsidRDefault="000760BD" w:rsidP="000760BD">
      <w:pPr>
        <w:spacing w:after="0" w:line="240" w:lineRule="auto"/>
        <w:jc w:val="both"/>
        <w:rPr>
          <w:rFonts w:eastAsia="Times New Roman"/>
          <w:b/>
          <w:bCs/>
          <w:color w:val="000000"/>
          <w:szCs w:val="24"/>
        </w:rPr>
      </w:pPr>
    </w:p>
    <w:p w:rsidR="000760BD" w:rsidRDefault="000760BD" w:rsidP="000760BD">
      <w:pPr>
        <w:numPr>
          <w:ilvl w:val="1"/>
          <w:numId w:val="33"/>
        </w:numPr>
        <w:spacing w:after="0" w:line="240" w:lineRule="auto"/>
        <w:jc w:val="both"/>
        <w:rPr>
          <w:rFonts w:eastAsia="Times New Roman"/>
          <w:b/>
          <w:bCs/>
          <w:color w:val="000000"/>
          <w:szCs w:val="24"/>
        </w:rPr>
      </w:pPr>
      <w:r w:rsidRPr="000760BD">
        <w:rPr>
          <w:rFonts w:eastAsia="Times New Roman"/>
          <w:b/>
          <w:bCs/>
          <w:color w:val="000000"/>
          <w:szCs w:val="24"/>
        </w:rPr>
        <w:t xml:space="preserve">Ce régime de protection vous paraît-il adapté à cette situation ? Justifiez votre réponse. </w:t>
      </w:r>
    </w:p>
    <w:p w:rsidR="000760BD" w:rsidRPr="000760BD" w:rsidRDefault="000760BD" w:rsidP="000760BD">
      <w:pPr>
        <w:spacing w:after="0" w:line="240" w:lineRule="auto"/>
        <w:ind w:left="420"/>
        <w:jc w:val="both"/>
        <w:rPr>
          <w:rFonts w:eastAsia="Times New Roman"/>
          <w:b/>
          <w:bCs/>
          <w:color w:val="000000"/>
          <w:szCs w:val="24"/>
        </w:rPr>
      </w:pPr>
    </w:p>
    <w:p w:rsidR="000760BD" w:rsidRDefault="000760BD" w:rsidP="000760BD">
      <w:pPr>
        <w:spacing w:after="0" w:line="240" w:lineRule="auto"/>
        <w:jc w:val="both"/>
        <w:rPr>
          <w:rFonts w:eastAsia="Times New Roman"/>
          <w:bCs/>
          <w:color w:val="000000"/>
          <w:szCs w:val="24"/>
        </w:rPr>
      </w:pPr>
      <w:r w:rsidRPr="000760BD">
        <w:rPr>
          <w:rFonts w:eastAsia="Times New Roman"/>
          <w:b/>
          <w:bCs/>
          <w:color w:val="000000"/>
          <w:szCs w:val="24"/>
        </w:rPr>
        <w:t xml:space="preserve">Règle de droit : </w:t>
      </w:r>
      <w:r w:rsidRPr="000760BD">
        <w:rPr>
          <w:rFonts w:eastAsia="Times New Roman"/>
          <w:bCs/>
          <w:color w:val="000000"/>
          <w:szCs w:val="24"/>
        </w:rPr>
        <w:t>Une personne majeure peut être placée sous un régime de protection lorsqu’est médicalement constatée une altération de ses facultés physiques ou mentales de nature à empêcher l’expression de sa volonté. Pour déterminer le régime le plus adapté, le juge applique trois principes :</w:t>
      </w:r>
    </w:p>
    <w:p w:rsidR="000760BD" w:rsidRPr="000760BD" w:rsidRDefault="000760BD" w:rsidP="000760BD">
      <w:pPr>
        <w:spacing w:after="0" w:line="240" w:lineRule="auto"/>
        <w:jc w:val="both"/>
        <w:rPr>
          <w:rFonts w:eastAsia="Times New Roman"/>
          <w:bCs/>
          <w:color w:val="000000"/>
          <w:szCs w:val="24"/>
        </w:rPr>
      </w:pPr>
    </w:p>
    <w:p w:rsidR="000760BD" w:rsidRPr="000760BD" w:rsidRDefault="000760BD" w:rsidP="000760BD">
      <w:pPr>
        <w:spacing w:after="0" w:line="240" w:lineRule="auto"/>
        <w:jc w:val="both"/>
        <w:rPr>
          <w:rFonts w:eastAsia="Times New Roman"/>
          <w:bCs/>
          <w:color w:val="000000"/>
          <w:szCs w:val="24"/>
        </w:rPr>
      </w:pPr>
      <w:r w:rsidRPr="000760BD">
        <w:rPr>
          <w:rFonts w:eastAsia="Times New Roman"/>
          <w:bCs/>
          <w:color w:val="000000"/>
          <w:szCs w:val="24"/>
        </w:rPr>
        <w:t>-</w:t>
      </w:r>
      <w:r w:rsidRPr="000760BD">
        <w:rPr>
          <w:rFonts w:eastAsia="Times New Roman"/>
          <w:bCs/>
          <w:color w:val="000000"/>
          <w:szCs w:val="24"/>
        </w:rPr>
        <w:tab/>
        <w:t xml:space="preserve">principe de nécessité : une personne ne peut être placée sous un régime de protection </w:t>
      </w:r>
      <w:r>
        <w:rPr>
          <w:rFonts w:eastAsia="Times New Roman"/>
          <w:bCs/>
          <w:color w:val="000000"/>
          <w:szCs w:val="24"/>
        </w:rPr>
        <w:t xml:space="preserve">    </w:t>
      </w:r>
      <w:r w:rsidRPr="000760BD">
        <w:rPr>
          <w:rFonts w:eastAsia="Times New Roman"/>
          <w:bCs/>
          <w:color w:val="000000"/>
          <w:szCs w:val="24"/>
        </w:rPr>
        <w:t>que si la personne est dans l’incapacité de pourvoir seule à ses intérêts ;</w:t>
      </w:r>
    </w:p>
    <w:p w:rsidR="000760BD" w:rsidRPr="000760BD" w:rsidRDefault="000760BD" w:rsidP="000760BD">
      <w:pPr>
        <w:spacing w:after="0" w:line="240" w:lineRule="auto"/>
        <w:jc w:val="both"/>
        <w:rPr>
          <w:rFonts w:eastAsia="Times New Roman"/>
          <w:bCs/>
          <w:color w:val="000000"/>
          <w:szCs w:val="24"/>
        </w:rPr>
      </w:pPr>
      <w:r w:rsidRPr="000760BD">
        <w:rPr>
          <w:rFonts w:eastAsia="Times New Roman"/>
          <w:bCs/>
          <w:color w:val="000000"/>
          <w:szCs w:val="24"/>
        </w:rPr>
        <w:t>-</w:t>
      </w:r>
      <w:r w:rsidRPr="000760BD">
        <w:rPr>
          <w:rFonts w:eastAsia="Times New Roman"/>
          <w:bCs/>
          <w:color w:val="000000"/>
          <w:szCs w:val="24"/>
        </w:rPr>
        <w:tab/>
        <w:t>principe de subsidiarité : est choisi le régime qui préserve le plus la liberté de la personne compte tenu de son état ;</w:t>
      </w:r>
    </w:p>
    <w:p w:rsidR="000760BD" w:rsidRDefault="000760BD" w:rsidP="000760BD">
      <w:pPr>
        <w:spacing w:after="0" w:line="240" w:lineRule="auto"/>
        <w:jc w:val="both"/>
        <w:rPr>
          <w:rFonts w:eastAsia="Times New Roman"/>
          <w:bCs/>
          <w:color w:val="000000"/>
          <w:szCs w:val="24"/>
        </w:rPr>
      </w:pPr>
      <w:r w:rsidRPr="000760BD">
        <w:rPr>
          <w:rFonts w:eastAsia="Times New Roman"/>
          <w:bCs/>
          <w:color w:val="000000"/>
          <w:szCs w:val="24"/>
        </w:rPr>
        <w:t>-</w:t>
      </w:r>
      <w:r w:rsidRPr="000760BD">
        <w:rPr>
          <w:rFonts w:eastAsia="Times New Roman"/>
          <w:bCs/>
          <w:color w:val="000000"/>
          <w:szCs w:val="24"/>
        </w:rPr>
        <w:tab/>
        <w:t>principe de proportionnalité : le régime choisi dépend de l’état de la personne et est toujours établi à titre temporaire.</w:t>
      </w:r>
    </w:p>
    <w:p w:rsidR="000760BD" w:rsidRPr="000760BD" w:rsidRDefault="000760BD" w:rsidP="000760BD">
      <w:pPr>
        <w:spacing w:after="0" w:line="240" w:lineRule="auto"/>
        <w:jc w:val="both"/>
        <w:rPr>
          <w:rFonts w:eastAsia="Times New Roman"/>
          <w:bCs/>
          <w:color w:val="000000"/>
          <w:szCs w:val="24"/>
        </w:rPr>
      </w:pPr>
    </w:p>
    <w:p w:rsidR="000760BD" w:rsidRPr="000760BD" w:rsidRDefault="000760BD" w:rsidP="000760BD">
      <w:pPr>
        <w:spacing w:after="0" w:line="240" w:lineRule="auto"/>
        <w:jc w:val="both"/>
        <w:rPr>
          <w:rFonts w:eastAsia="Times New Roman"/>
          <w:bCs/>
          <w:color w:val="000000"/>
          <w:szCs w:val="24"/>
        </w:rPr>
      </w:pPr>
      <w:r w:rsidRPr="009A2F24">
        <w:rPr>
          <w:rFonts w:eastAsia="Times New Roman"/>
          <w:b/>
          <w:bCs/>
          <w:color w:val="000000"/>
          <w:szCs w:val="24"/>
        </w:rPr>
        <w:t>Choix entre trois régimes de protection :</w:t>
      </w:r>
      <w:r w:rsidRPr="000760BD">
        <w:rPr>
          <w:rFonts w:eastAsia="Times New Roman"/>
          <w:bCs/>
          <w:color w:val="000000"/>
          <w:szCs w:val="24"/>
        </w:rPr>
        <w:t xml:space="preserve"> La tutelle est mise en place lorsque la personne doit être représentée pour tous les actes de la vie civile. La curatelle est un régime d’assistance de la personne incapable. La sauvegarde est une protection juridique temporaire dans laquelle la personne préserve ses droits. </w:t>
      </w:r>
    </w:p>
    <w:p w:rsidR="000760BD" w:rsidRPr="000760BD" w:rsidRDefault="000760BD" w:rsidP="000760BD">
      <w:pPr>
        <w:spacing w:after="0" w:line="240" w:lineRule="auto"/>
        <w:jc w:val="both"/>
        <w:rPr>
          <w:rFonts w:eastAsia="Times New Roman"/>
          <w:bCs/>
          <w:color w:val="000000"/>
          <w:szCs w:val="24"/>
        </w:rPr>
      </w:pPr>
      <w:r w:rsidRPr="000760BD">
        <w:rPr>
          <w:rFonts w:eastAsia="Times New Roman"/>
          <w:bCs/>
          <w:color w:val="000000"/>
          <w:szCs w:val="24"/>
        </w:rPr>
        <w:t xml:space="preserve">La tutelle est mise en place lorsque la sauvegarde de justice ou la curatelle est insuffisante. </w:t>
      </w:r>
      <w:bookmarkStart w:id="0" w:name="_GoBack"/>
      <w:r w:rsidRPr="009A2F24">
        <w:rPr>
          <w:rFonts w:eastAsia="Times New Roman"/>
          <w:b/>
          <w:bCs/>
          <w:color w:val="000000"/>
          <w:szCs w:val="24"/>
        </w:rPr>
        <w:t>Application :</w:t>
      </w:r>
      <w:bookmarkEnd w:id="0"/>
      <w:r w:rsidRPr="000760BD">
        <w:rPr>
          <w:rFonts w:eastAsia="Times New Roman"/>
          <w:bCs/>
          <w:color w:val="000000"/>
          <w:szCs w:val="24"/>
        </w:rPr>
        <w:t xml:space="preserve"> Suzanne HELDER souffre d’une diminution très importante de ses facultés mentales qui la prive de sa capacité de jugement. Elle doit être représentée de manière continue. La tutelle apparaît donc comme le régime le plus approprié.</w:t>
      </w:r>
    </w:p>
    <w:p w:rsidR="000760BD" w:rsidRPr="000760BD" w:rsidRDefault="000760BD" w:rsidP="000760BD">
      <w:pPr>
        <w:spacing w:after="0" w:line="240" w:lineRule="auto"/>
        <w:jc w:val="both"/>
        <w:rPr>
          <w:rFonts w:eastAsia="Times New Roman"/>
          <w:bCs/>
          <w:color w:val="000000"/>
          <w:szCs w:val="24"/>
        </w:rPr>
      </w:pPr>
    </w:p>
    <w:p w:rsidR="000760BD" w:rsidRDefault="000760BD" w:rsidP="000760BD">
      <w:pPr>
        <w:numPr>
          <w:ilvl w:val="1"/>
          <w:numId w:val="33"/>
        </w:numPr>
        <w:spacing w:after="0" w:line="240" w:lineRule="auto"/>
        <w:jc w:val="both"/>
        <w:rPr>
          <w:rFonts w:eastAsia="Times New Roman"/>
          <w:b/>
          <w:bCs/>
          <w:color w:val="000000"/>
          <w:szCs w:val="24"/>
        </w:rPr>
      </w:pPr>
      <w:r w:rsidRPr="000760BD">
        <w:rPr>
          <w:rFonts w:eastAsia="Times New Roman"/>
          <w:b/>
          <w:bCs/>
          <w:color w:val="000000"/>
          <w:szCs w:val="24"/>
        </w:rPr>
        <w:t>Cet achat peut-il être remis en cause ?</w:t>
      </w:r>
    </w:p>
    <w:p w:rsidR="000760BD" w:rsidRPr="000760BD" w:rsidRDefault="000760BD" w:rsidP="000760BD">
      <w:pPr>
        <w:spacing w:after="0" w:line="240" w:lineRule="auto"/>
        <w:ind w:left="420"/>
        <w:jc w:val="both"/>
        <w:rPr>
          <w:rFonts w:eastAsia="Times New Roman"/>
          <w:b/>
          <w:bCs/>
          <w:color w:val="000000"/>
          <w:szCs w:val="24"/>
        </w:rPr>
      </w:pPr>
    </w:p>
    <w:p w:rsidR="000760BD" w:rsidRPr="000760BD" w:rsidRDefault="000760BD" w:rsidP="000760BD">
      <w:pPr>
        <w:spacing w:after="0" w:line="240" w:lineRule="auto"/>
        <w:jc w:val="both"/>
        <w:rPr>
          <w:rFonts w:eastAsia="Times New Roman"/>
          <w:bCs/>
          <w:color w:val="000000"/>
          <w:szCs w:val="24"/>
        </w:rPr>
      </w:pPr>
      <w:r w:rsidRPr="000760BD">
        <w:rPr>
          <w:rFonts w:eastAsia="Times New Roman"/>
          <w:b/>
          <w:bCs/>
          <w:color w:val="000000"/>
          <w:szCs w:val="24"/>
        </w:rPr>
        <w:t xml:space="preserve">Règle de droit : </w:t>
      </w:r>
      <w:r w:rsidRPr="000760BD">
        <w:rPr>
          <w:rFonts w:eastAsia="Times New Roman"/>
          <w:bCs/>
          <w:color w:val="000000"/>
          <w:szCs w:val="24"/>
        </w:rPr>
        <w:t xml:space="preserve">Dans le régime de la tutelle, le majeur doit être représenté dans tous les actes de la vie civile. Le tuteur accomplit seul les actes conservatoires et d’administration. Il accomplit les actes de disposition après autorisation du conseil de famille ou, à défaut, du juge des tutelles. </w:t>
      </w:r>
    </w:p>
    <w:p w:rsidR="000760BD" w:rsidRPr="000760BD" w:rsidRDefault="000760BD" w:rsidP="000760BD">
      <w:pPr>
        <w:spacing w:after="0" w:line="240" w:lineRule="auto"/>
        <w:jc w:val="both"/>
        <w:rPr>
          <w:rFonts w:eastAsia="Times New Roman"/>
          <w:bCs/>
          <w:color w:val="000000"/>
          <w:szCs w:val="24"/>
        </w:rPr>
      </w:pPr>
      <w:r w:rsidRPr="000760BD">
        <w:rPr>
          <w:rFonts w:eastAsia="Times New Roman"/>
          <w:bCs/>
          <w:color w:val="000000"/>
          <w:szCs w:val="24"/>
        </w:rPr>
        <w:t>Si le majeur accomplit seul un acte pour lequel il aurait dû être représenté, l’acte est nul de plein droit.</w:t>
      </w:r>
    </w:p>
    <w:p w:rsidR="000760BD" w:rsidRPr="000760BD" w:rsidRDefault="000760BD" w:rsidP="000760BD">
      <w:pPr>
        <w:spacing w:after="0" w:line="240" w:lineRule="auto"/>
        <w:jc w:val="both"/>
        <w:rPr>
          <w:rFonts w:eastAsia="Times New Roman"/>
          <w:bCs/>
          <w:color w:val="000000"/>
          <w:szCs w:val="24"/>
        </w:rPr>
      </w:pPr>
      <w:r w:rsidRPr="000760BD">
        <w:rPr>
          <w:rFonts w:eastAsia="Times New Roman"/>
          <w:b/>
          <w:bCs/>
          <w:color w:val="000000"/>
          <w:szCs w:val="24"/>
        </w:rPr>
        <w:t xml:space="preserve">Application : </w:t>
      </w:r>
      <w:r w:rsidRPr="000760BD">
        <w:rPr>
          <w:rFonts w:eastAsia="Times New Roman"/>
          <w:bCs/>
          <w:color w:val="000000"/>
          <w:szCs w:val="24"/>
        </w:rPr>
        <w:t>L’achat des vêtements pour chiens incrustés de diamants constitue un acte de disposition. Il aurait dû être accompli par Jacques HELDER avec l’autorisation du juge des tutelles. L’acte ayant été accompli par Suzanne seule, il est nul de plein droit.</w:t>
      </w:r>
    </w:p>
    <w:p w:rsidR="000760BD" w:rsidRPr="000760BD" w:rsidRDefault="000760BD" w:rsidP="000760BD">
      <w:pPr>
        <w:spacing w:after="0" w:line="240" w:lineRule="auto"/>
        <w:jc w:val="both"/>
        <w:rPr>
          <w:rFonts w:eastAsia="Times New Roman"/>
          <w:bCs/>
          <w:color w:val="000000"/>
          <w:szCs w:val="24"/>
        </w:rPr>
      </w:pPr>
    </w:p>
    <w:p w:rsidR="000760BD" w:rsidRDefault="000760BD" w:rsidP="000760BD">
      <w:pPr>
        <w:numPr>
          <w:ilvl w:val="1"/>
          <w:numId w:val="33"/>
        </w:numPr>
        <w:spacing w:after="0" w:line="240" w:lineRule="auto"/>
        <w:jc w:val="both"/>
        <w:rPr>
          <w:rFonts w:eastAsia="Times New Roman"/>
          <w:b/>
          <w:bCs/>
          <w:color w:val="000000"/>
          <w:szCs w:val="24"/>
        </w:rPr>
      </w:pPr>
      <w:r w:rsidRPr="000760BD">
        <w:rPr>
          <w:rFonts w:eastAsia="Times New Roman"/>
          <w:b/>
          <w:bCs/>
          <w:color w:val="000000"/>
          <w:szCs w:val="24"/>
        </w:rPr>
        <w:t>Quelle action peut entreprendre Jacques HELDER ? Que peut-il demander ?</w:t>
      </w:r>
    </w:p>
    <w:p w:rsidR="000760BD" w:rsidRPr="000760BD" w:rsidRDefault="000760BD" w:rsidP="000760BD">
      <w:pPr>
        <w:spacing w:after="0" w:line="240" w:lineRule="auto"/>
        <w:ind w:left="420"/>
        <w:jc w:val="both"/>
        <w:rPr>
          <w:rFonts w:eastAsia="Times New Roman"/>
          <w:b/>
          <w:bCs/>
          <w:color w:val="000000"/>
          <w:szCs w:val="24"/>
        </w:rPr>
      </w:pPr>
    </w:p>
    <w:p w:rsidR="000760BD" w:rsidRPr="000760BD" w:rsidRDefault="000760BD" w:rsidP="000760BD">
      <w:pPr>
        <w:spacing w:after="0" w:line="240" w:lineRule="auto"/>
        <w:jc w:val="both"/>
        <w:rPr>
          <w:rFonts w:eastAsia="Times New Roman"/>
          <w:bCs/>
          <w:color w:val="000000"/>
          <w:szCs w:val="24"/>
        </w:rPr>
      </w:pPr>
      <w:r w:rsidRPr="000760BD">
        <w:rPr>
          <w:rFonts w:eastAsia="Times New Roman"/>
          <w:b/>
          <w:bCs/>
          <w:color w:val="000000"/>
          <w:szCs w:val="24"/>
        </w:rPr>
        <w:t xml:space="preserve">Règle de droit : </w:t>
      </w:r>
      <w:r w:rsidRPr="000760BD">
        <w:rPr>
          <w:rFonts w:eastAsia="Times New Roman"/>
          <w:bCs/>
          <w:color w:val="000000"/>
          <w:szCs w:val="24"/>
        </w:rPr>
        <w:t>Dans le contrat de vente, le vendeur doit garantir l’acheteur contre les vices cachés.</w:t>
      </w:r>
    </w:p>
    <w:p w:rsidR="000760BD" w:rsidRPr="000760BD" w:rsidRDefault="000760BD" w:rsidP="000760BD">
      <w:pPr>
        <w:spacing w:after="0" w:line="240" w:lineRule="auto"/>
        <w:jc w:val="both"/>
        <w:rPr>
          <w:rFonts w:eastAsia="Times New Roman"/>
          <w:bCs/>
          <w:color w:val="000000"/>
          <w:szCs w:val="24"/>
        </w:rPr>
      </w:pPr>
      <w:r w:rsidRPr="000760BD">
        <w:rPr>
          <w:rFonts w:eastAsia="Times New Roman"/>
          <w:bCs/>
          <w:color w:val="000000"/>
          <w:szCs w:val="24"/>
        </w:rPr>
        <w:t>Le vice caché est un vice qui affecte la chose au point de la rendre impropre à l’usage auquel on la destine ou qui en diminue tellement la valeur que l’acheteur ne l’aurait pas acquise ou à un prix moindre.</w:t>
      </w:r>
    </w:p>
    <w:p w:rsidR="000760BD" w:rsidRPr="000760BD" w:rsidRDefault="000760BD" w:rsidP="000760BD">
      <w:pPr>
        <w:spacing w:after="0" w:line="240" w:lineRule="auto"/>
        <w:jc w:val="both"/>
        <w:rPr>
          <w:rFonts w:eastAsia="Times New Roman"/>
          <w:bCs/>
          <w:color w:val="000000"/>
          <w:szCs w:val="24"/>
        </w:rPr>
      </w:pPr>
      <w:r w:rsidRPr="000760BD">
        <w:rPr>
          <w:rFonts w:eastAsia="Times New Roman"/>
          <w:bCs/>
          <w:color w:val="000000"/>
          <w:szCs w:val="24"/>
        </w:rPr>
        <w:t>Le vice doit être antérieur à la vente. Il ne doit pas résulter de l’utilisation du bien par l’acheteur. Le vice doit être non apparent et inconnu de l’acheteur au jour de la vente. L’action doit être intentée dans un délai de deux ans.</w:t>
      </w:r>
    </w:p>
    <w:p w:rsidR="000760BD" w:rsidRPr="000760BD" w:rsidRDefault="000760BD" w:rsidP="000760BD">
      <w:pPr>
        <w:spacing w:after="0" w:line="240" w:lineRule="auto"/>
        <w:jc w:val="both"/>
        <w:rPr>
          <w:rFonts w:eastAsia="Times New Roman"/>
          <w:bCs/>
          <w:color w:val="000000"/>
          <w:szCs w:val="24"/>
        </w:rPr>
      </w:pPr>
      <w:r w:rsidRPr="000760BD">
        <w:rPr>
          <w:rFonts w:eastAsia="Times New Roman"/>
          <w:bCs/>
          <w:color w:val="000000"/>
          <w:szCs w:val="24"/>
        </w:rPr>
        <w:t>L’acheteur peut demander une réduction du prix (action estimatoire) ou un remboursement du prix contre restitution de la chose (action rédhibitoire). Il peut également demander des dommages et intérêts.</w:t>
      </w:r>
    </w:p>
    <w:p w:rsidR="000760BD" w:rsidRDefault="000760BD" w:rsidP="000760BD">
      <w:pPr>
        <w:spacing w:after="0" w:line="240" w:lineRule="auto"/>
        <w:jc w:val="both"/>
        <w:rPr>
          <w:rFonts w:eastAsia="Times New Roman"/>
          <w:bCs/>
          <w:color w:val="000000"/>
          <w:szCs w:val="24"/>
        </w:rPr>
      </w:pPr>
      <w:r w:rsidRPr="000760BD">
        <w:rPr>
          <w:rFonts w:eastAsia="Times New Roman"/>
          <w:b/>
          <w:bCs/>
          <w:color w:val="000000"/>
          <w:szCs w:val="24"/>
        </w:rPr>
        <w:t xml:space="preserve">Application : </w:t>
      </w:r>
      <w:r w:rsidRPr="000760BD">
        <w:rPr>
          <w:rFonts w:eastAsia="Times New Roman"/>
          <w:bCs/>
          <w:color w:val="000000"/>
          <w:szCs w:val="24"/>
        </w:rPr>
        <w:t>La chambre froide est défectueuse au point d’être inutilisable. Si les défaillances ne résultent pas d’une mauvaise utilisation par Jacques HELDER, celui-ci pourra intenter une action en garantie des vices cachés pour obtenir le remboursement des sommes versées et l’indemnisation pour les marchandises détruites.</w:t>
      </w:r>
    </w:p>
    <w:p w:rsidR="000760BD" w:rsidRPr="000760BD" w:rsidRDefault="000760BD" w:rsidP="000760BD">
      <w:pPr>
        <w:spacing w:after="0" w:line="240" w:lineRule="auto"/>
        <w:jc w:val="both"/>
        <w:rPr>
          <w:rFonts w:eastAsia="Times New Roman"/>
          <w:bCs/>
          <w:color w:val="000000"/>
          <w:szCs w:val="24"/>
        </w:rPr>
      </w:pPr>
    </w:p>
    <w:p w:rsidR="000760BD" w:rsidRDefault="000760BD" w:rsidP="000760BD">
      <w:pPr>
        <w:numPr>
          <w:ilvl w:val="1"/>
          <w:numId w:val="33"/>
        </w:numPr>
        <w:spacing w:after="0" w:line="240" w:lineRule="auto"/>
        <w:jc w:val="both"/>
        <w:rPr>
          <w:rFonts w:eastAsia="Times New Roman"/>
          <w:b/>
          <w:bCs/>
          <w:color w:val="000000"/>
          <w:szCs w:val="24"/>
        </w:rPr>
      </w:pPr>
      <w:r w:rsidRPr="000760BD">
        <w:rPr>
          <w:rFonts w:eastAsia="Times New Roman"/>
          <w:b/>
          <w:bCs/>
          <w:color w:val="000000"/>
          <w:szCs w:val="24"/>
        </w:rPr>
        <w:t>Les conditions pour mettre ce fonds de commerce en location-gérance sont-elles remplies ?</w:t>
      </w:r>
    </w:p>
    <w:p w:rsidR="000760BD" w:rsidRPr="000760BD" w:rsidRDefault="000760BD" w:rsidP="000760BD">
      <w:pPr>
        <w:spacing w:after="0" w:line="240" w:lineRule="auto"/>
        <w:ind w:left="420"/>
        <w:jc w:val="both"/>
        <w:rPr>
          <w:rFonts w:eastAsia="Times New Roman"/>
          <w:b/>
          <w:bCs/>
          <w:color w:val="000000"/>
          <w:szCs w:val="24"/>
        </w:rPr>
      </w:pPr>
    </w:p>
    <w:p w:rsidR="000760BD" w:rsidRPr="000760BD" w:rsidRDefault="000760BD" w:rsidP="000760BD">
      <w:pPr>
        <w:spacing w:after="0" w:line="240" w:lineRule="auto"/>
        <w:jc w:val="both"/>
        <w:rPr>
          <w:rFonts w:eastAsia="Times New Roman"/>
          <w:bCs/>
          <w:color w:val="000000"/>
          <w:szCs w:val="24"/>
        </w:rPr>
      </w:pPr>
      <w:r w:rsidRPr="000760BD">
        <w:rPr>
          <w:rFonts w:eastAsia="Times New Roman"/>
          <w:b/>
          <w:bCs/>
          <w:color w:val="000000"/>
          <w:szCs w:val="24"/>
        </w:rPr>
        <w:t xml:space="preserve">Règle de droit : </w:t>
      </w:r>
      <w:r w:rsidRPr="000760BD">
        <w:rPr>
          <w:rFonts w:eastAsia="Times New Roman"/>
          <w:bCs/>
          <w:color w:val="000000"/>
          <w:szCs w:val="24"/>
        </w:rPr>
        <w:t>La location-gérance est un contrat par lequel le propriétaire d’un fonds de commerce va en confier l’exploitation à un gérant libre. Le locataire-gérant exploite le fonds à ses risques et périls.</w:t>
      </w:r>
    </w:p>
    <w:p w:rsidR="000760BD" w:rsidRPr="000760BD" w:rsidRDefault="000760BD" w:rsidP="000760BD">
      <w:pPr>
        <w:spacing w:after="0" w:line="240" w:lineRule="auto"/>
        <w:jc w:val="both"/>
        <w:rPr>
          <w:rFonts w:eastAsia="Times New Roman"/>
          <w:bCs/>
          <w:color w:val="000000"/>
          <w:szCs w:val="24"/>
        </w:rPr>
      </w:pPr>
      <w:r w:rsidRPr="000760BD">
        <w:rPr>
          <w:rFonts w:eastAsia="Times New Roman"/>
          <w:bCs/>
          <w:color w:val="000000"/>
          <w:szCs w:val="24"/>
        </w:rPr>
        <w:t xml:space="preserve">Le locataire-gérant doit avoir la qualité de commerçant. </w:t>
      </w:r>
    </w:p>
    <w:p w:rsidR="000760BD" w:rsidRPr="000760BD" w:rsidRDefault="000760BD" w:rsidP="000760BD">
      <w:pPr>
        <w:spacing w:after="0" w:line="240" w:lineRule="auto"/>
        <w:jc w:val="both"/>
        <w:rPr>
          <w:rFonts w:eastAsia="Times New Roman"/>
          <w:bCs/>
          <w:color w:val="000000"/>
          <w:szCs w:val="24"/>
        </w:rPr>
      </w:pPr>
      <w:r w:rsidRPr="000760BD">
        <w:rPr>
          <w:rFonts w:eastAsia="Times New Roman"/>
          <w:bCs/>
          <w:color w:val="000000"/>
          <w:szCs w:val="24"/>
        </w:rPr>
        <w:t>Le fonds doit avoir été exploité préalablement pendant au moins deux ans.</w:t>
      </w:r>
    </w:p>
    <w:p w:rsidR="000760BD" w:rsidRPr="000760BD" w:rsidRDefault="000760BD" w:rsidP="000760BD">
      <w:pPr>
        <w:spacing w:after="0" w:line="240" w:lineRule="auto"/>
        <w:jc w:val="both"/>
        <w:rPr>
          <w:rFonts w:eastAsia="Times New Roman"/>
          <w:bCs/>
          <w:color w:val="000000"/>
          <w:szCs w:val="24"/>
        </w:rPr>
      </w:pPr>
      <w:r w:rsidRPr="000760BD">
        <w:rPr>
          <w:rFonts w:eastAsia="Times New Roman"/>
          <w:bCs/>
          <w:color w:val="000000"/>
          <w:szCs w:val="24"/>
        </w:rPr>
        <w:t xml:space="preserve">Le contrat de location-gérance doit faire l’objet d’une publicité dans un journal d’annonces légales sous quinzaine et au BODACC. Le locataire-gérant doit être immatriculé au RCS et indiquer sa qualité sur tous les documents commerciaux. </w:t>
      </w:r>
    </w:p>
    <w:p w:rsidR="000760BD" w:rsidRDefault="000760BD" w:rsidP="000760BD">
      <w:pPr>
        <w:spacing w:after="0" w:line="240" w:lineRule="auto"/>
        <w:jc w:val="both"/>
        <w:rPr>
          <w:rFonts w:eastAsia="Times New Roman"/>
          <w:bCs/>
          <w:color w:val="000000"/>
          <w:szCs w:val="24"/>
        </w:rPr>
      </w:pPr>
      <w:r w:rsidRPr="00007E3B">
        <w:rPr>
          <w:rFonts w:eastAsia="Times New Roman"/>
          <w:b/>
          <w:bCs/>
          <w:color w:val="000000"/>
          <w:szCs w:val="24"/>
        </w:rPr>
        <w:t>Application :</w:t>
      </w:r>
      <w:r w:rsidRPr="000760BD">
        <w:rPr>
          <w:rFonts w:eastAsia="Times New Roman"/>
          <w:bCs/>
          <w:color w:val="000000"/>
          <w:szCs w:val="24"/>
        </w:rPr>
        <w:t xml:space="preserve"> Jacques HELDER est propriétaire de son fonds de commerce et l’a exploité pendant trois ans. Il peut donc le mettre en location-gérances. Armand DESSAY doit avoir la capacité commerciale et devra s’immatriculer au RCS.</w:t>
      </w:r>
    </w:p>
    <w:p w:rsidR="000760BD" w:rsidRPr="000760BD" w:rsidRDefault="000760BD" w:rsidP="000760BD">
      <w:pPr>
        <w:spacing w:after="0" w:line="240" w:lineRule="auto"/>
        <w:jc w:val="both"/>
        <w:rPr>
          <w:rFonts w:eastAsia="Times New Roman"/>
          <w:bCs/>
          <w:color w:val="000000"/>
          <w:szCs w:val="24"/>
        </w:rPr>
      </w:pPr>
    </w:p>
    <w:p w:rsidR="000760BD" w:rsidRDefault="000760BD" w:rsidP="000760BD">
      <w:pPr>
        <w:numPr>
          <w:ilvl w:val="1"/>
          <w:numId w:val="33"/>
        </w:numPr>
        <w:spacing w:after="0" w:line="240" w:lineRule="auto"/>
        <w:jc w:val="both"/>
        <w:rPr>
          <w:rFonts w:eastAsia="Times New Roman"/>
          <w:b/>
          <w:bCs/>
          <w:color w:val="000000"/>
          <w:szCs w:val="24"/>
        </w:rPr>
      </w:pPr>
      <w:r w:rsidRPr="000760BD">
        <w:rPr>
          <w:rFonts w:eastAsia="Times New Roman"/>
          <w:b/>
          <w:bCs/>
          <w:color w:val="000000"/>
          <w:szCs w:val="24"/>
        </w:rPr>
        <w:t>Armand DESSAY peut-il demander une indemnité au terme du contrat ?</w:t>
      </w:r>
    </w:p>
    <w:p w:rsidR="000760BD" w:rsidRPr="000760BD" w:rsidRDefault="000760BD" w:rsidP="000760BD">
      <w:pPr>
        <w:spacing w:after="0" w:line="240" w:lineRule="auto"/>
        <w:ind w:left="420"/>
        <w:jc w:val="both"/>
        <w:rPr>
          <w:rFonts w:eastAsia="Times New Roman"/>
          <w:b/>
          <w:bCs/>
          <w:color w:val="000000"/>
          <w:szCs w:val="24"/>
        </w:rPr>
      </w:pPr>
    </w:p>
    <w:p w:rsidR="000760BD" w:rsidRPr="000760BD" w:rsidRDefault="000760BD" w:rsidP="000760BD">
      <w:pPr>
        <w:spacing w:after="0" w:line="240" w:lineRule="auto"/>
        <w:jc w:val="both"/>
        <w:rPr>
          <w:rFonts w:eastAsia="Times New Roman"/>
          <w:bCs/>
          <w:color w:val="000000"/>
          <w:szCs w:val="24"/>
        </w:rPr>
      </w:pPr>
      <w:r w:rsidRPr="000760BD">
        <w:rPr>
          <w:rFonts w:eastAsia="Times New Roman"/>
          <w:b/>
          <w:bCs/>
          <w:color w:val="000000"/>
          <w:szCs w:val="24"/>
        </w:rPr>
        <w:t xml:space="preserve">Règle de droit : </w:t>
      </w:r>
      <w:r w:rsidRPr="000760BD">
        <w:rPr>
          <w:rFonts w:eastAsia="Times New Roman"/>
          <w:bCs/>
          <w:color w:val="000000"/>
          <w:szCs w:val="24"/>
        </w:rPr>
        <w:t>Au terme d’un contrat de location-gérance, le locataire-gérant n’a droit à aucune indemnité d’éviction ou compensant l’accroissement de la valeur du fonds.</w:t>
      </w:r>
    </w:p>
    <w:p w:rsidR="000760BD" w:rsidRPr="000760BD" w:rsidRDefault="000760BD" w:rsidP="000760BD">
      <w:pPr>
        <w:spacing w:after="0" w:line="240" w:lineRule="auto"/>
        <w:jc w:val="both"/>
        <w:rPr>
          <w:rFonts w:eastAsia="Times New Roman"/>
          <w:bCs/>
          <w:color w:val="000000"/>
          <w:szCs w:val="24"/>
        </w:rPr>
      </w:pPr>
      <w:r w:rsidRPr="00007E3B">
        <w:rPr>
          <w:rFonts w:eastAsia="Times New Roman"/>
          <w:b/>
          <w:bCs/>
          <w:color w:val="000000"/>
          <w:szCs w:val="24"/>
        </w:rPr>
        <w:t>Application au cas :</w:t>
      </w:r>
      <w:r w:rsidRPr="000760BD">
        <w:rPr>
          <w:rFonts w:eastAsia="Times New Roman"/>
          <w:bCs/>
          <w:color w:val="000000"/>
          <w:szCs w:val="24"/>
        </w:rPr>
        <w:t xml:space="preserve"> Armand DESSAY ne peut demander aucune indemnité au terme du contrat.</w:t>
      </w:r>
    </w:p>
    <w:p w:rsidR="000760BD" w:rsidRPr="000760BD" w:rsidRDefault="000760BD" w:rsidP="000760BD">
      <w:pPr>
        <w:spacing w:after="0" w:line="240" w:lineRule="auto"/>
        <w:jc w:val="both"/>
        <w:rPr>
          <w:rFonts w:eastAsia="Times New Roman"/>
          <w:b/>
          <w:bCs/>
          <w:color w:val="000000"/>
          <w:szCs w:val="24"/>
        </w:rPr>
      </w:pPr>
    </w:p>
    <w:p w:rsidR="000760BD" w:rsidRDefault="000760BD" w:rsidP="00007E3B">
      <w:pPr>
        <w:numPr>
          <w:ilvl w:val="1"/>
          <w:numId w:val="33"/>
        </w:numPr>
        <w:spacing w:after="0" w:line="240" w:lineRule="auto"/>
        <w:jc w:val="both"/>
        <w:rPr>
          <w:rFonts w:eastAsia="Times New Roman"/>
          <w:b/>
          <w:bCs/>
          <w:color w:val="000000"/>
          <w:szCs w:val="24"/>
        </w:rPr>
      </w:pPr>
      <w:r w:rsidRPr="000760BD">
        <w:rPr>
          <w:rFonts w:eastAsia="Times New Roman"/>
          <w:b/>
          <w:bCs/>
          <w:color w:val="000000"/>
          <w:szCs w:val="24"/>
        </w:rPr>
        <w:t>Quelle action peut entreprendre Jacques HELDER ? Que peut-il demander ?</w:t>
      </w:r>
    </w:p>
    <w:p w:rsidR="00007E3B" w:rsidRPr="000760BD" w:rsidRDefault="00007E3B" w:rsidP="00007E3B">
      <w:pPr>
        <w:spacing w:after="0" w:line="240" w:lineRule="auto"/>
        <w:ind w:left="420"/>
        <w:jc w:val="both"/>
        <w:rPr>
          <w:rFonts w:eastAsia="Times New Roman"/>
          <w:b/>
          <w:bCs/>
          <w:color w:val="000000"/>
          <w:szCs w:val="24"/>
        </w:rPr>
      </w:pPr>
    </w:p>
    <w:p w:rsidR="000760BD" w:rsidRPr="00007E3B" w:rsidRDefault="000760BD" w:rsidP="000760BD">
      <w:pPr>
        <w:spacing w:after="0" w:line="240" w:lineRule="auto"/>
        <w:jc w:val="both"/>
        <w:rPr>
          <w:rFonts w:eastAsia="Times New Roman"/>
          <w:bCs/>
          <w:color w:val="000000"/>
          <w:szCs w:val="24"/>
        </w:rPr>
      </w:pPr>
      <w:r w:rsidRPr="000760BD">
        <w:rPr>
          <w:rFonts w:eastAsia="Times New Roman"/>
          <w:b/>
          <w:bCs/>
          <w:color w:val="000000"/>
          <w:szCs w:val="24"/>
        </w:rPr>
        <w:t xml:space="preserve">Règle de droit : </w:t>
      </w:r>
      <w:r w:rsidRPr="00007E3B">
        <w:rPr>
          <w:rFonts w:eastAsia="Times New Roman"/>
          <w:bCs/>
          <w:color w:val="000000"/>
          <w:szCs w:val="24"/>
        </w:rPr>
        <w:t>Le dépôt d’une marque à l’INPI confère à son titulaire un monopole d’exploitation de la marque. L’utilisation par un tiers de la marque sans autorisation préalable constitue le délit de contrefaçon.</w:t>
      </w:r>
    </w:p>
    <w:p w:rsidR="000760BD" w:rsidRPr="00007E3B" w:rsidRDefault="000760BD" w:rsidP="000760BD">
      <w:pPr>
        <w:spacing w:after="0" w:line="240" w:lineRule="auto"/>
        <w:jc w:val="both"/>
        <w:rPr>
          <w:rFonts w:eastAsia="Times New Roman"/>
          <w:bCs/>
          <w:color w:val="000000"/>
          <w:szCs w:val="24"/>
        </w:rPr>
      </w:pPr>
      <w:r w:rsidRPr="00007E3B">
        <w:rPr>
          <w:rFonts w:eastAsia="Times New Roman"/>
          <w:bCs/>
          <w:color w:val="000000"/>
          <w:szCs w:val="24"/>
        </w:rPr>
        <w:t>Le titulaire de la marque peut demander en justice que le juge fasse cesser le trouble. Il peut également demander l’indemnisation du fait du préjudice subi.</w:t>
      </w:r>
    </w:p>
    <w:p w:rsidR="000760BD" w:rsidRPr="000760BD" w:rsidRDefault="000760BD" w:rsidP="000760BD">
      <w:pPr>
        <w:spacing w:after="0" w:line="240" w:lineRule="auto"/>
        <w:jc w:val="both"/>
        <w:rPr>
          <w:rFonts w:eastAsia="Times New Roman"/>
          <w:b/>
          <w:bCs/>
          <w:color w:val="000000"/>
          <w:szCs w:val="24"/>
        </w:rPr>
      </w:pPr>
      <w:r w:rsidRPr="000760BD">
        <w:rPr>
          <w:rFonts w:eastAsia="Times New Roman"/>
          <w:b/>
          <w:bCs/>
          <w:color w:val="000000"/>
          <w:szCs w:val="24"/>
        </w:rPr>
        <w:t xml:space="preserve">Application: </w:t>
      </w:r>
      <w:r w:rsidRPr="00007E3B">
        <w:rPr>
          <w:rFonts w:eastAsia="Times New Roman"/>
          <w:bCs/>
          <w:color w:val="000000"/>
          <w:szCs w:val="24"/>
        </w:rPr>
        <w:t>Jacques HELDER dispose du droit exclusif sur la marque « LILLE Ô SAVEURS ». Le concurrent en imitant la marque commet le délit de contrefaçon. Jacques HELDER peut demander au juge que le concurrent cesse d’utiliser l’enseigne « L’ILE AUX SAVEURS » et des dommages et intérêts.</w:t>
      </w:r>
    </w:p>
    <w:p w:rsidR="000760BD" w:rsidRPr="000760BD" w:rsidRDefault="000760BD" w:rsidP="000760BD">
      <w:pPr>
        <w:spacing w:after="0" w:line="240" w:lineRule="auto"/>
        <w:jc w:val="both"/>
        <w:rPr>
          <w:rFonts w:eastAsia="Times New Roman"/>
          <w:b/>
          <w:bCs/>
          <w:color w:val="000000"/>
          <w:szCs w:val="24"/>
        </w:rPr>
      </w:pPr>
    </w:p>
    <w:p w:rsidR="000760BD" w:rsidRDefault="000760BD" w:rsidP="00007E3B">
      <w:pPr>
        <w:numPr>
          <w:ilvl w:val="1"/>
          <w:numId w:val="33"/>
        </w:numPr>
        <w:spacing w:after="0" w:line="240" w:lineRule="auto"/>
        <w:jc w:val="both"/>
        <w:rPr>
          <w:rFonts w:eastAsia="Times New Roman"/>
          <w:b/>
          <w:bCs/>
          <w:color w:val="000000"/>
          <w:szCs w:val="24"/>
        </w:rPr>
      </w:pPr>
      <w:r w:rsidRPr="000760BD">
        <w:rPr>
          <w:rFonts w:eastAsia="Times New Roman"/>
          <w:b/>
          <w:bCs/>
          <w:color w:val="000000"/>
          <w:szCs w:val="24"/>
        </w:rPr>
        <w:t>Quelle est la clause la plus pertinente pour régler les éventuels litiges pouvant survenir concernant le contrat entre Jacques HELDER et la société ALTOR ?</w:t>
      </w:r>
    </w:p>
    <w:p w:rsidR="00007E3B" w:rsidRPr="000760BD" w:rsidRDefault="00007E3B" w:rsidP="00007E3B">
      <w:pPr>
        <w:spacing w:after="0" w:line="240" w:lineRule="auto"/>
        <w:ind w:left="420"/>
        <w:jc w:val="both"/>
        <w:rPr>
          <w:rFonts w:eastAsia="Times New Roman"/>
          <w:b/>
          <w:bCs/>
          <w:color w:val="000000"/>
          <w:szCs w:val="24"/>
        </w:rPr>
      </w:pPr>
    </w:p>
    <w:p w:rsidR="000760BD" w:rsidRPr="00007E3B" w:rsidRDefault="000760BD" w:rsidP="000760BD">
      <w:pPr>
        <w:spacing w:after="0" w:line="240" w:lineRule="auto"/>
        <w:jc w:val="both"/>
        <w:rPr>
          <w:rFonts w:eastAsia="Times New Roman"/>
          <w:bCs/>
          <w:color w:val="000000"/>
          <w:szCs w:val="24"/>
        </w:rPr>
      </w:pPr>
      <w:r w:rsidRPr="000760BD">
        <w:rPr>
          <w:rFonts w:eastAsia="Times New Roman"/>
          <w:b/>
          <w:bCs/>
          <w:color w:val="000000"/>
          <w:szCs w:val="24"/>
        </w:rPr>
        <w:t xml:space="preserve">Règle de droit : </w:t>
      </w:r>
      <w:r w:rsidRPr="00007E3B">
        <w:rPr>
          <w:rFonts w:eastAsia="Times New Roman"/>
          <w:bCs/>
          <w:color w:val="000000"/>
          <w:szCs w:val="24"/>
        </w:rPr>
        <w:t>La clause compromissoire est une clause contractuelle par laquelle les parties à un contrat conviennent de soumettre les litiges pouvant survenir à l’occasion de contrat à l’arbitrage.</w:t>
      </w:r>
    </w:p>
    <w:p w:rsidR="000760BD" w:rsidRPr="00007E3B" w:rsidRDefault="000760BD" w:rsidP="000760BD">
      <w:pPr>
        <w:spacing w:after="0" w:line="240" w:lineRule="auto"/>
        <w:jc w:val="both"/>
        <w:rPr>
          <w:rFonts w:eastAsia="Times New Roman"/>
          <w:bCs/>
          <w:color w:val="000000"/>
          <w:szCs w:val="24"/>
        </w:rPr>
      </w:pPr>
      <w:r w:rsidRPr="00007E3B">
        <w:rPr>
          <w:rFonts w:eastAsia="Times New Roman"/>
          <w:bCs/>
          <w:color w:val="000000"/>
          <w:szCs w:val="24"/>
        </w:rPr>
        <w:t>Cette clause ne peut être stipulée qu’entre deux professionnels. Elle doit être écrite. Elle doit désigner les arbitres ou prévoir les modalités de leur désignation.</w:t>
      </w:r>
    </w:p>
    <w:p w:rsidR="000760BD" w:rsidRPr="00007E3B" w:rsidRDefault="000760BD" w:rsidP="000760BD">
      <w:pPr>
        <w:spacing w:after="0" w:line="240" w:lineRule="auto"/>
        <w:jc w:val="both"/>
        <w:rPr>
          <w:rFonts w:eastAsia="Times New Roman"/>
          <w:bCs/>
          <w:color w:val="000000"/>
          <w:szCs w:val="24"/>
        </w:rPr>
      </w:pPr>
      <w:r w:rsidRPr="00007E3B">
        <w:rPr>
          <w:rFonts w:eastAsia="Times New Roman"/>
          <w:bCs/>
          <w:color w:val="000000"/>
          <w:szCs w:val="24"/>
        </w:rPr>
        <w:t>La clause compromissoire rend irrecevable une action devant les juridictions ordinaires.</w:t>
      </w:r>
    </w:p>
    <w:p w:rsidR="00222A39" w:rsidRPr="00007E3B" w:rsidRDefault="000760BD" w:rsidP="000760BD">
      <w:pPr>
        <w:spacing w:after="0" w:line="240" w:lineRule="auto"/>
        <w:jc w:val="both"/>
        <w:rPr>
          <w:rFonts w:eastAsia="Times New Roman"/>
          <w:bCs/>
          <w:color w:val="000000"/>
          <w:szCs w:val="24"/>
        </w:rPr>
      </w:pPr>
      <w:r w:rsidRPr="000760BD">
        <w:rPr>
          <w:rFonts w:eastAsia="Times New Roman"/>
          <w:b/>
          <w:bCs/>
          <w:color w:val="000000"/>
          <w:szCs w:val="24"/>
        </w:rPr>
        <w:t xml:space="preserve">Application : </w:t>
      </w:r>
      <w:r w:rsidRPr="00007E3B">
        <w:rPr>
          <w:rFonts w:eastAsia="Times New Roman"/>
          <w:bCs/>
          <w:color w:val="000000"/>
          <w:szCs w:val="24"/>
        </w:rPr>
        <w:t>Jacques HELDER et la société ALTOR sont deux professionnels. L’insertion d’une clause compromissoire dans le contrat qui les lie est donc valable et permet d’éviter le recours au juge.</w:t>
      </w:r>
    </w:p>
    <w:p w:rsidR="008C7897" w:rsidRDefault="008C7897" w:rsidP="00031E18">
      <w:pPr>
        <w:spacing w:after="0" w:line="240" w:lineRule="auto"/>
        <w:jc w:val="center"/>
        <w:rPr>
          <w:b/>
        </w:rPr>
      </w:pPr>
    </w:p>
    <w:p w:rsidR="00031E18" w:rsidRPr="00E524B4" w:rsidRDefault="00031E18" w:rsidP="00031E18">
      <w:pPr>
        <w:spacing w:after="0" w:line="240" w:lineRule="auto"/>
        <w:jc w:val="center"/>
        <w:rPr>
          <w:b/>
        </w:rPr>
      </w:pPr>
      <w:r w:rsidRPr="00E524B4">
        <w:rPr>
          <w:b/>
        </w:rPr>
        <w:t xml:space="preserve">DOSSIER </w:t>
      </w:r>
      <w:r>
        <w:rPr>
          <w:b/>
        </w:rPr>
        <w:t>2 </w:t>
      </w:r>
      <w:r w:rsidR="008C7897">
        <w:rPr>
          <w:b/>
        </w:rPr>
        <w:t>–</w:t>
      </w:r>
      <w:r w:rsidR="00007E3B">
        <w:rPr>
          <w:b/>
        </w:rPr>
        <w:t xml:space="preserve"> QUESTION</w:t>
      </w:r>
    </w:p>
    <w:p w:rsidR="00031E18" w:rsidRPr="00E524B4" w:rsidRDefault="00031E18" w:rsidP="00031E18">
      <w:pPr>
        <w:spacing w:after="0" w:line="240" w:lineRule="auto"/>
        <w:rPr>
          <w:b/>
        </w:rPr>
      </w:pPr>
    </w:p>
    <w:p w:rsidR="009A2F24" w:rsidRPr="009A2F24" w:rsidRDefault="009A2F24" w:rsidP="009A2F24">
      <w:pPr>
        <w:rPr>
          <w:b/>
          <w:bCs/>
        </w:rPr>
      </w:pPr>
      <w:r w:rsidRPr="009A2F24">
        <w:rPr>
          <w:b/>
          <w:bCs/>
        </w:rPr>
        <w:t>A quelles conditions la possession permet-elle d’acquérir la propriété d’un immeuble ?</w:t>
      </w:r>
    </w:p>
    <w:p w:rsidR="009A2F24" w:rsidRPr="009A2F24" w:rsidRDefault="009A2F24" w:rsidP="009A2F24">
      <w:pPr>
        <w:spacing w:after="0"/>
        <w:rPr>
          <w:bCs/>
        </w:rPr>
      </w:pPr>
      <w:r w:rsidRPr="009A2F24">
        <w:rPr>
          <w:bCs/>
        </w:rPr>
        <w:t>La possession est un fait juridique permettant d’acquérir la propriété d’un bien sous certaines conditions (prescription acquisitive).</w:t>
      </w:r>
    </w:p>
    <w:p w:rsidR="009A2F24" w:rsidRPr="009A2F24" w:rsidRDefault="009A2F24" w:rsidP="009A2F24">
      <w:pPr>
        <w:spacing w:after="0"/>
        <w:rPr>
          <w:bCs/>
        </w:rPr>
      </w:pPr>
      <w:r w:rsidRPr="009A2F24">
        <w:rPr>
          <w:bCs/>
        </w:rPr>
        <w:t>La possession est constituée de deux éléments :</w:t>
      </w:r>
    </w:p>
    <w:p w:rsidR="009A2F24" w:rsidRPr="009A2F24" w:rsidRDefault="009A2F24" w:rsidP="009A2F24">
      <w:pPr>
        <w:spacing w:after="0"/>
        <w:rPr>
          <w:bCs/>
        </w:rPr>
      </w:pPr>
      <w:r w:rsidRPr="009A2F24">
        <w:rPr>
          <w:bCs/>
        </w:rPr>
        <w:t>-</w:t>
      </w:r>
      <w:r w:rsidRPr="009A2F24">
        <w:rPr>
          <w:bCs/>
        </w:rPr>
        <w:tab/>
        <w:t xml:space="preserve">le corpus qui consiste à exercer des actes matériels sur la chose ; </w:t>
      </w:r>
    </w:p>
    <w:p w:rsidR="009A2F24" w:rsidRPr="009A2F24" w:rsidRDefault="009A2F24" w:rsidP="009A2F24">
      <w:pPr>
        <w:spacing w:after="0"/>
        <w:rPr>
          <w:bCs/>
        </w:rPr>
      </w:pPr>
      <w:r w:rsidRPr="009A2F24">
        <w:rPr>
          <w:bCs/>
        </w:rPr>
        <w:t>-</w:t>
      </w:r>
      <w:r w:rsidRPr="009A2F24">
        <w:rPr>
          <w:bCs/>
        </w:rPr>
        <w:tab/>
        <w:t>l’animus qui consiste à se comporter comme le véritable propriétaire de la chose.</w:t>
      </w:r>
    </w:p>
    <w:p w:rsidR="009A2F24" w:rsidRPr="009A2F24" w:rsidRDefault="009A2F24" w:rsidP="009A2F24">
      <w:pPr>
        <w:spacing w:after="0"/>
        <w:rPr>
          <w:bCs/>
        </w:rPr>
      </w:pPr>
      <w:r w:rsidRPr="009A2F24">
        <w:rPr>
          <w:bCs/>
        </w:rPr>
        <w:t>Pour produire ses effets, la possession doit être utile, c’est-à-dire être :</w:t>
      </w:r>
    </w:p>
    <w:p w:rsidR="009A2F24" w:rsidRPr="009A2F24" w:rsidRDefault="009A2F24" w:rsidP="009A2F24">
      <w:pPr>
        <w:spacing w:after="0"/>
        <w:rPr>
          <w:bCs/>
        </w:rPr>
      </w:pPr>
      <w:r w:rsidRPr="009A2F24">
        <w:rPr>
          <w:bCs/>
        </w:rPr>
        <w:t>-</w:t>
      </w:r>
      <w:r w:rsidRPr="009A2F24">
        <w:rPr>
          <w:bCs/>
        </w:rPr>
        <w:tab/>
        <w:t>paisible : elle ne doit avoir été obtenue et se maintenir par violence</w:t>
      </w:r>
    </w:p>
    <w:p w:rsidR="009A2F24" w:rsidRPr="009A2F24" w:rsidRDefault="009A2F24" w:rsidP="009A2F24">
      <w:pPr>
        <w:spacing w:after="0"/>
        <w:rPr>
          <w:bCs/>
        </w:rPr>
      </w:pPr>
      <w:r w:rsidRPr="009A2F24">
        <w:rPr>
          <w:bCs/>
        </w:rPr>
        <w:t>-</w:t>
      </w:r>
      <w:r w:rsidRPr="009A2F24">
        <w:rPr>
          <w:bCs/>
        </w:rPr>
        <w:tab/>
        <w:t>publique : elle doit s’exercer au vu et au su de tous ;</w:t>
      </w:r>
    </w:p>
    <w:p w:rsidR="009A2F24" w:rsidRPr="009A2F24" w:rsidRDefault="009A2F24" w:rsidP="009A2F24">
      <w:pPr>
        <w:spacing w:after="0"/>
        <w:rPr>
          <w:bCs/>
        </w:rPr>
      </w:pPr>
      <w:r w:rsidRPr="009A2F24">
        <w:rPr>
          <w:bCs/>
        </w:rPr>
        <w:t>-</w:t>
      </w:r>
      <w:r w:rsidRPr="009A2F24">
        <w:rPr>
          <w:bCs/>
        </w:rPr>
        <w:tab/>
        <w:t>continue : les actes matériels doivent être réguliers ;</w:t>
      </w:r>
    </w:p>
    <w:p w:rsidR="009A2F24" w:rsidRPr="009A2F24" w:rsidRDefault="009A2F24" w:rsidP="009A2F24">
      <w:pPr>
        <w:spacing w:after="0"/>
        <w:rPr>
          <w:bCs/>
        </w:rPr>
      </w:pPr>
      <w:r w:rsidRPr="009A2F24">
        <w:rPr>
          <w:bCs/>
        </w:rPr>
        <w:t>-</w:t>
      </w:r>
      <w:r w:rsidRPr="009A2F24">
        <w:rPr>
          <w:bCs/>
        </w:rPr>
        <w:tab/>
        <w:t>non équivoque : le possesseur doit se comporter comme s’il était propriétaire et non détenteur à titre précaire (locataire, dépositaire…).</w:t>
      </w:r>
    </w:p>
    <w:p w:rsidR="009A2F24" w:rsidRDefault="009A2F24" w:rsidP="009A2F24">
      <w:pPr>
        <w:spacing w:after="0"/>
        <w:rPr>
          <w:bCs/>
        </w:rPr>
      </w:pPr>
      <w:r w:rsidRPr="009A2F24">
        <w:rPr>
          <w:bCs/>
        </w:rPr>
        <w:t>-</w:t>
      </w:r>
      <w:r w:rsidRPr="009A2F24">
        <w:rPr>
          <w:bCs/>
        </w:rPr>
        <w:tab/>
        <w:t>Non précaire : temporaire</w:t>
      </w:r>
    </w:p>
    <w:p w:rsidR="009A2F24" w:rsidRPr="009A2F24" w:rsidRDefault="009A2F24" w:rsidP="009A2F24">
      <w:pPr>
        <w:spacing w:after="0"/>
        <w:rPr>
          <w:bCs/>
        </w:rPr>
      </w:pPr>
    </w:p>
    <w:p w:rsidR="009A2F24" w:rsidRPr="009A2F24" w:rsidRDefault="009A2F24" w:rsidP="009A2F24">
      <w:pPr>
        <w:spacing w:after="0"/>
        <w:rPr>
          <w:bCs/>
        </w:rPr>
      </w:pPr>
      <w:r w:rsidRPr="009A2F24">
        <w:rPr>
          <w:bCs/>
        </w:rPr>
        <w:t xml:space="preserve">En matière immobilière, la possession permet d’acquérir la propriété au terme d’un délai de 30 ans. </w:t>
      </w:r>
    </w:p>
    <w:p w:rsidR="00222A39" w:rsidRDefault="009A2F24" w:rsidP="009A2F24">
      <w:pPr>
        <w:spacing w:after="0"/>
        <w:rPr>
          <w:bCs/>
        </w:rPr>
      </w:pPr>
      <w:r w:rsidRPr="009A2F24">
        <w:rPr>
          <w:bCs/>
        </w:rPr>
        <w:t>Si le possesseur est de bonne foi, le délai est réduit à 10 ans. Est de bonne foi, le possesseur qui pense détenir un titre de propriété alors que celui-ci est vicié.</w:t>
      </w:r>
    </w:p>
    <w:p w:rsidR="009A2F24" w:rsidRDefault="009A2F24" w:rsidP="009A2F24">
      <w:pPr>
        <w:spacing w:after="0"/>
        <w:rPr>
          <w:bCs/>
        </w:rPr>
      </w:pPr>
    </w:p>
    <w:p w:rsidR="009A2F24" w:rsidRPr="009A2F24" w:rsidRDefault="009A2F24" w:rsidP="009A2F24">
      <w:pPr>
        <w:spacing w:after="0"/>
      </w:pPr>
    </w:p>
    <w:p w:rsidR="00031E18" w:rsidRPr="00E524B4" w:rsidRDefault="00031E18" w:rsidP="008C7897">
      <w:pPr>
        <w:spacing w:after="0" w:line="240" w:lineRule="auto"/>
        <w:jc w:val="center"/>
        <w:rPr>
          <w:b/>
        </w:rPr>
      </w:pPr>
    </w:p>
    <w:p w:rsidR="008C7897" w:rsidRPr="00E524B4" w:rsidRDefault="008C7897" w:rsidP="008C7897">
      <w:pPr>
        <w:spacing w:after="0" w:line="240" w:lineRule="auto"/>
        <w:jc w:val="center"/>
        <w:rPr>
          <w:b/>
        </w:rPr>
      </w:pPr>
      <w:r w:rsidRPr="00E524B4">
        <w:rPr>
          <w:b/>
        </w:rPr>
        <w:t>DOSSIER</w:t>
      </w:r>
      <w:r w:rsidR="009A2F24">
        <w:rPr>
          <w:b/>
        </w:rPr>
        <w:t xml:space="preserve"> 3 </w:t>
      </w:r>
      <w:r>
        <w:rPr>
          <w:b/>
        </w:rPr>
        <w:t xml:space="preserve">– </w:t>
      </w:r>
      <w:r w:rsidR="009A2F24" w:rsidRPr="009A2F24">
        <w:rPr>
          <w:b/>
        </w:rPr>
        <w:t>COMMENTAIRE DE DOCUMENT</w:t>
      </w:r>
    </w:p>
    <w:p w:rsidR="00031E18" w:rsidRDefault="00031E18" w:rsidP="00031E18">
      <w:pPr>
        <w:spacing w:after="0" w:line="240" w:lineRule="auto"/>
        <w:rPr>
          <w:b/>
          <w:u w:val="single"/>
        </w:rPr>
      </w:pPr>
    </w:p>
    <w:p w:rsidR="009A2F24" w:rsidRDefault="009A2F24" w:rsidP="009A2F24">
      <w:pPr>
        <w:spacing w:after="0" w:line="240" w:lineRule="auto"/>
        <w:ind w:right="-1"/>
        <w:jc w:val="both"/>
        <w:rPr>
          <w:b/>
          <w:szCs w:val="24"/>
        </w:rPr>
      </w:pPr>
      <w:r w:rsidRPr="009A2F24">
        <w:rPr>
          <w:b/>
          <w:szCs w:val="24"/>
        </w:rPr>
        <w:t>3.1. Identifiez les parties. Exposez les faits et la procédure.</w:t>
      </w:r>
    </w:p>
    <w:p w:rsidR="009A2F24" w:rsidRPr="009A2F24" w:rsidRDefault="009A2F24" w:rsidP="009A2F24">
      <w:pPr>
        <w:spacing w:after="0" w:line="240" w:lineRule="auto"/>
        <w:ind w:right="-1"/>
        <w:jc w:val="both"/>
        <w:rPr>
          <w:b/>
          <w:szCs w:val="24"/>
        </w:rPr>
      </w:pPr>
    </w:p>
    <w:p w:rsidR="009A2F24" w:rsidRPr="009A2F24" w:rsidRDefault="009A2F24" w:rsidP="009A2F24">
      <w:pPr>
        <w:spacing w:after="0"/>
        <w:ind w:right="-1"/>
        <w:jc w:val="both"/>
        <w:rPr>
          <w:szCs w:val="24"/>
        </w:rPr>
      </w:pPr>
      <w:r w:rsidRPr="009A2F24">
        <w:rPr>
          <w:b/>
          <w:szCs w:val="24"/>
        </w:rPr>
        <w:t>Parties :</w:t>
      </w:r>
      <w:r w:rsidRPr="009A2F24">
        <w:rPr>
          <w:szCs w:val="24"/>
        </w:rPr>
        <w:t xml:space="preserve"> Le demandeur est M. Roussel, liquidateur judiciaire. Le défendeur est M. C.</w:t>
      </w:r>
    </w:p>
    <w:p w:rsidR="009A2F24" w:rsidRDefault="009A2F24" w:rsidP="009A2F24">
      <w:pPr>
        <w:spacing w:after="0"/>
        <w:ind w:right="-1"/>
        <w:jc w:val="both"/>
        <w:rPr>
          <w:szCs w:val="24"/>
        </w:rPr>
      </w:pPr>
      <w:r w:rsidRPr="009A2F24">
        <w:rPr>
          <w:b/>
          <w:szCs w:val="24"/>
        </w:rPr>
        <w:t>Faits :</w:t>
      </w:r>
      <w:r w:rsidRPr="009A2F24">
        <w:rPr>
          <w:szCs w:val="24"/>
        </w:rPr>
        <w:t xml:space="preserve"> M. C dirigeait la société SERMAPACK. Celle-ci a été placée en liquidation judiciaire le 9 septembre 2009, M. Roussel étant désigné liquidateur. M. Roussel a assigné en justice </w:t>
      </w:r>
    </w:p>
    <w:p w:rsidR="009A2F24" w:rsidRPr="009A2F24" w:rsidRDefault="009A2F24" w:rsidP="009A2F24">
      <w:pPr>
        <w:spacing w:after="0"/>
        <w:ind w:right="-1"/>
        <w:jc w:val="both"/>
        <w:rPr>
          <w:szCs w:val="24"/>
        </w:rPr>
      </w:pPr>
      <w:r>
        <w:rPr>
          <w:szCs w:val="24"/>
        </w:rPr>
        <w:t xml:space="preserve">M. </w:t>
      </w:r>
      <w:r w:rsidRPr="009A2F24">
        <w:rPr>
          <w:szCs w:val="24"/>
        </w:rPr>
        <w:t>C en paiement de l’insuffisance d’actif.</w:t>
      </w:r>
    </w:p>
    <w:p w:rsidR="009A2F24" w:rsidRPr="009A2F24" w:rsidRDefault="009A2F24" w:rsidP="009A2F24">
      <w:pPr>
        <w:spacing w:after="0"/>
        <w:ind w:right="-1"/>
        <w:jc w:val="both"/>
        <w:rPr>
          <w:szCs w:val="24"/>
        </w:rPr>
      </w:pPr>
      <w:r w:rsidRPr="009A2F24">
        <w:rPr>
          <w:b/>
          <w:szCs w:val="24"/>
        </w:rPr>
        <w:t>Procédure :</w:t>
      </w:r>
      <w:r w:rsidRPr="009A2F24">
        <w:rPr>
          <w:szCs w:val="24"/>
        </w:rPr>
        <w:t xml:space="preserve"> Il n’y a pas d’information sur la juridiction saisie en première instance. Une des parties a fait appel. </w:t>
      </w:r>
    </w:p>
    <w:p w:rsidR="009A2F24" w:rsidRPr="009A2F24" w:rsidRDefault="009A2F24" w:rsidP="009A2F24">
      <w:pPr>
        <w:spacing w:after="0"/>
        <w:ind w:right="-1"/>
        <w:jc w:val="both"/>
        <w:rPr>
          <w:szCs w:val="24"/>
        </w:rPr>
      </w:pPr>
      <w:r w:rsidRPr="009A2F24">
        <w:rPr>
          <w:szCs w:val="24"/>
        </w:rPr>
        <w:t xml:space="preserve">On supposera qu’il s’agit du tribunal de commerce. </w:t>
      </w:r>
    </w:p>
    <w:p w:rsidR="009A2F24" w:rsidRPr="009A2F24" w:rsidRDefault="009A2F24" w:rsidP="009A2F24">
      <w:pPr>
        <w:spacing w:after="0"/>
        <w:ind w:right="-1"/>
        <w:jc w:val="both"/>
        <w:rPr>
          <w:szCs w:val="24"/>
        </w:rPr>
      </w:pPr>
      <w:r w:rsidRPr="009A2F24">
        <w:rPr>
          <w:b/>
          <w:szCs w:val="24"/>
        </w:rPr>
        <w:t>Demandeur :</w:t>
      </w:r>
      <w:r w:rsidRPr="009A2F24">
        <w:rPr>
          <w:szCs w:val="24"/>
        </w:rPr>
        <w:t xml:space="preserve"> Monsieur Roussel, le liquidateur </w:t>
      </w:r>
    </w:p>
    <w:p w:rsidR="009A2F24" w:rsidRPr="009A2F24" w:rsidRDefault="009A2F24" w:rsidP="009A2F24">
      <w:pPr>
        <w:spacing w:after="0"/>
        <w:ind w:right="-1"/>
        <w:jc w:val="both"/>
        <w:rPr>
          <w:szCs w:val="24"/>
        </w:rPr>
      </w:pPr>
      <w:r w:rsidRPr="009A2F24">
        <w:rPr>
          <w:b/>
          <w:szCs w:val="24"/>
        </w:rPr>
        <w:t>Défendeur :</w:t>
      </w:r>
      <w:r w:rsidRPr="009A2F24">
        <w:rPr>
          <w:szCs w:val="24"/>
        </w:rPr>
        <w:t xml:space="preserve"> Monsieur C, ancien dirigeant </w:t>
      </w:r>
    </w:p>
    <w:p w:rsidR="009A2F24" w:rsidRPr="009A2F24" w:rsidRDefault="009A2F24" w:rsidP="009A2F24">
      <w:pPr>
        <w:spacing w:after="0"/>
        <w:ind w:right="-1"/>
        <w:jc w:val="both"/>
        <w:rPr>
          <w:szCs w:val="24"/>
        </w:rPr>
      </w:pPr>
      <w:r w:rsidRPr="009A2F24">
        <w:rPr>
          <w:szCs w:val="24"/>
        </w:rPr>
        <w:t>La cour d’appel de Nîmes, dans un arrêt du 23 mai 2013 fait droit à la demande du liquidateur et condamne M. C à supporter les dettes de la société SERMAPACK à concurrence de 150000€.</w:t>
      </w:r>
    </w:p>
    <w:p w:rsidR="009A2F24" w:rsidRPr="009A2F24" w:rsidRDefault="009A2F24" w:rsidP="009A2F24">
      <w:pPr>
        <w:spacing w:after="0"/>
        <w:ind w:right="-1"/>
        <w:jc w:val="both"/>
        <w:rPr>
          <w:szCs w:val="24"/>
        </w:rPr>
      </w:pPr>
      <w:r w:rsidRPr="009A2F24">
        <w:rPr>
          <w:szCs w:val="24"/>
        </w:rPr>
        <w:t>M. C, demandeur, se pourvoit en cassation. La chambre commerciale de la Cour de cassation, dans son arrêt du 13 janvier 2015, casse et annule l’arrêt d’appel et renvoie l’affaire devant la cour d’appel de Montpellier.</w:t>
      </w:r>
    </w:p>
    <w:p w:rsidR="009A2F24" w:rsidRPr="009A2F24" w:rsidRDefault="009A2F24" w:rsidP="009A2F24">
      <w:pPr>
        <w:spacing w:after="0"/>
        <w:ind w:right="-1"/>
        <w:jc w:val="both"/>
        <w:rPr>
          <w:szCs w:val="24"/>
        </w:rPr>
      </w:pPr>
    </w:p>
    <w:p w:rsidR="009A2F24" w:rsidRDefault="009A2F24" w:rsidP="009A2F24">
      <w:pPr>
        <w:spacing w:after="0"/>
        <w:ind w:right="-1"/>
        <w:jc w:val="both"/>
        <w:rPr>
          <w:b/>
          <w:szCs w:val="24"/>
        </w:rPr>
      </w:pPr>
      <w:r w:rsidRPr="009A2F24">
        <w:rPr>
          <w:b/>
          <w:szCs w:val="24"/>
        </w:rPr>
        <w:t>3.2. Définissez la cessation des paiements. Quelle en est la conséquence ?</w:t>
      </w:r>
    </w:p>
    <w:p w:rsidR="009A2F24" w:rsidRPr="009A2F24" w:rsidRDefault="009A2F24" w:rsidP="009A2F24">
      <w:pPr>
        <w:spacing w:after="0"/>
        <w:ind w:right="-1"/>
        <w:jc w:val="both"/>
        <w:rPr>
          <w:b/>
          <w:szCs w:val="24"/>
        </w:rPr>
      </w:pPr>
    </w:p>
    <w:p w:rsidR="009A2F24" w:rsidRPr="009A2F24" w:rsidRDefault="009A2F24" w:rsidP="009A2F24">
      <w:pPr>
        <w:spacing w:after="0"/>
        <w:ind w:right="-1"/>
        <w:jc w:val="both"/>
        <w:rPr>
          <w:szCs w:val="24"/>
        </w:rPr>
      </w:pPr>
      <w:r w:rsidRPr="009A2F24">
        <w:rPr>
          <w:szCs w:val="24"/>
        </w:rPr>
        <w:t>La cessation des paiements correspond à la situation dans laquelle l’actif disponible ne permet pas de faire face au passif exigible. N’est pas en cessation des paiements le débiteur qui peut invoquer des réserves de crédits ou les délais dont il bénéficie de la part de ses créanciers.</w:t>
      </w:r>
    </w:p>
    <w:p w:rsidR="009A2F24" w:rsidRPr="009A2F24" w:rsidRDefault="009A2F24" w:rsidP="009A2F24">
      <w:pPr>
        <w:spacing w:after="0"/>
        <w:ind w:right="-1"/>
        <w:jc w:val="both"/>
        <w:rPr>
          <w:szCs w:val="24"/>
        </w:rPr>
      </w:pPr>
      <w:r w:rsidRPr="009A2F24">
        <w:rPr>
          <w:szCs w:val="24"/>
        </w:rPr>
        <w:t>Le dirigeant de l’entreprise en cessation des paiements doit déposer son bilan auprès du tribunal (tribunal de commerce ou des TGI selon la nature des activités ou des personnes morales) dans un délai de 45 jours. A défaut, il engage sa responsabilité personnelle.</w:t>
      </w:r>
    </w:p>
    <w:p w:rsidR="009A2F24" w:rsidRPr="009A2F24" w:rsidRDefault="009A2F24" w:rsidP="009A2F24">
      <w:pPr>
        <w:spacing w:after="0"/>
        <w:ind w:right="-1"/>
        <w:jc w:val="both"/>
        <w:rPr>
          <w:szCs w:val="24"/>
        </w:rPr>
      </w:pPr>
      <w:r w:rsidRPr="009A2F24">
        <w:rPr>
          <w:szCs w:val="24"/>
        </w:rPr>
        <w:t xml:space="preserve">La date de cessation de paiement permet de délimiter la période dite suspecte avec des remises en cause possibles de certains actes. Cela permet de déterminer la procédure de traitement des difficultés. Si la cessation des paiements date de moins de 45 jours, le débiteur peut demander à bénéficier de la procédure de conciliation ou de sauvegarde de justice. Si la date est dépassée, ne peuvent être engagées que les procédures de redressement ou de liquidation. </w:t>
      </w:r>
    </w:p>
    <w:p w:rsidR="009A2F24" w:rsidRPr="009A2F24" w:rsidRDefault="009A2F24" w:rsidP="009A2F24">
      <w:pPr>
        <w:spacing w:after="0"/>
        <w:ind w:right="-1"/>
        <w:jc w:val="both"/>
        <w:rPr>
          <w:szCs w:val="24"/>
        </w:rPr>
      </w:pPr>
    </w:p>
    <w:p w:rsidR="009A2F24" w:rsidRDefault="009A2F24" w:rsidP="009A2F24">
      <w:pPr>
        <w:spacing w:after="0"/>
        <w:ind w:right="-1"/>
        <w:jc w:val="both"/>
        <w:rPr>
          <w:b/>
          <w:szCs w:val="24"/>
        </w:rPr>
      </w:pPr>
      <w:r w:rsidRPr="009A2F24">
        <w:rPr>
          <w:b/>
          <w:szCs w:val="24"/>
        </w:rPr>
        <w:t>3.3. Pour quelle raison la Cour de cassation casse-t-elle l’arrêt d’appel ?</w:t>
      </w:r>
    </w:p>
    <w:p w:rsidR="009A2F24" w:rsidRPr="009A2F24" w:rsidRDefault="009A2F24" w:rsidP="009A2F24">
      <w:pPr>
        <w:spacing w:after="0"/>
        <w:ind w:right="-1"/>
        <w:jc w:val="both"/>
        <w:rPr>
          <w:b/>
          <w:szCs w:val="24"/>
        </w:rPr>
      </w:pPr>
    </w:p>
    <w:p w:rsidR="00283F71" w:rsidRPr="00DE6911" w:rsidRDefault="009A2F24" w:rsidP="009A2F24">
      <w:pPr>
        <w:spacing w:after="0"/>
        <w:ind w:right="-1"/>
        <w:jc w:val="both"/>
        <w:rPr>
          <w:szCs w:val="24"/>
        </w:rPr>
      </w:pPr>
      <w:r w:rsidRPr="009A2F24">
        <w:rPr>
          <w:szCs w:val="24"/>
        </w:rPr>
        <w:t>Un élément de la procédure légale n’a pas été respecté. La cour d’appel a condamné M. C en se fondant uniquement sur l’existence d’un passif exigible à la date qu’elle a retenue pour fixer la cessation des paiements. La Cour de cassation considère qu’il aurait fallu prendre en compte, à cette même date, l’état de l’actif disponible pour caractériser effectivement l’état de cessation des paiements.</w:t>
      </w:r>
    </w:p>
    <w:sectPr w:rsidR="00283F71" w:rsidRPr="00DE6911" w:rsidSect="005657D4">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F73" w:rsidRDefault="002B5F73" w:rsidP="00283F71">
      <w:pPr>
        <w:spacing w:after="0" w:line="240" w:lineRule="auto"/>
      </w:pPr>
      <w:r>
        <w:separator/>
      </w:r>
    </w:p>
  </w:endnote>
  <w:endnote w:type="continuationSeparator" w:id="0">
    <w:p w:rsidR="002B5F73" w:rsidRDefault="002B5F73" w:rsidP="0028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dsor">
    <w:altName w:val="Courier New"/>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17" w:rsidRDefault="0021621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1A4" w:rsidRPr="00216217" w:rsidRDefault="00216217" w:rsidP="00216217">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bCs/>
        <w:sz w:val="22"/>
      </w:rPr>
      <w:fldChar w:fldCharType="begin"/>
    </w:r>
    <w:r w:rsidRPr="005A1517">
      <w:rPr>
        <w:rStyle w:val="Numrodepage"/>
        <w:sz w:val="22"/>
      </w:rPr>
      <w:instrText xml:space="preserve"> PAGE </w:instrText>
    </w:r>
    <w:r w:rsidRPr="005A1517">
      <w:rPr>
        <w:rStyle w:val="Numrodepage"/>
        <w:bCs/>
        <w:sz w:val="22"/>
      </w:rPr>
      <w:fldChar w:fldCharType="separate"/>
    </w:r>
    <w:r w:rsidR="00DD1E9C">
      <w:rPr>
        <w:rStyle w:val="Numrodepage"/>
        <w:noProof/>
        <w:sz w:val="22"/>
      </w:rPr>
      <w:t>2</w:t>
    </w:r>
    <w:r w:rsidRPr="005A1517">
      <w:rPr>
        <w:rStyle w:val="Numrodepage"/>
        <w:bCs/>
        <w:sz w:val="22"/>
      </w:rPr>
      <w:fldChar w:fldCharType="end"/>
    </w:r>
    <w:r w:rsidRPr="005A1517">
      <w:rPr>
        <w:rStyle w:val="Numrodepage"/>
        <w:sz w:val="22"/>
      </w:rPr>
      <w:t>/</w:t>
    </w:r>
    <w:r w:rsidRPr="005A1517">
      <w:rPr>
        <w:rStyle w:val="Numrodepage"/>
        <w:bCs/>
        <w:sz w:val="22"/>
      </w:rPr>
      <w:fldChar w:fldCharType="begin"/>
    </w:r>
    <w:r w:rsidRPr="005A1517">
      <w:rPr>
        <w:rStyle w:val="Numrodepage"/>
        <w:sz w:val="22"/>
      </w:rPr>
      <w:instrText xml:space="preserve">  NUMPAGES</w:instrText>
    </w:r>
    <w:r w:rsidRPr="005A1517">
      <w:rPr>
        <w:rStyle w:val="Numrodepage"/>
        <w:bCs/>
        <w:sz w:val="22"/>
      </w:rPr>
      <w:fldChar w:fldCharType="separate"/>
    </w:r>
    <w:r w:rsidR="00DD1E9C">
      <w:rPr>
        <w:rStyle w:val="Numrodepage"/>
        <w:noProof/>
        <w:sz w:val="22"/>
      </w:rPr>
      <w:t>4</w:t>
    </w:r>
    <w:r w:rsidRPr="005A1517">
      <w:rPr>
        <w:rStyle w:val="Numrodepage"/>
        <w:bCs/>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17" w:rsidRDefault="002162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F73" w:rsidRDefault="002B5F73" w:rsidP="00283F71">
      <w:pPr>
        <w:spacing w:after="0" w:line="240" w:lineRule="auto"/>
      </w:pPr>
      <w:r>
        <w:separator/>
      </w:r>
    </w:p>
  </w:footnote>
  <w:footnote w:type="continuationSeparator" w:id="0">
    <w:p w:rsidR="002B5F73" w:rsidRDefault="002B5F73" w:rsidP="00283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17" w:rsidRDefault="0021621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17" w:rsidRPr="00216217" w:rsidRDefault="00DD1E9C" w:rsidP="00216217">
    <w:pPr>
      <w:pStyle w:val="En-tte"/>
      <w:tabs>
        <w:tab w:val="left" w:pos="555"/>
        <w:tab w:val="left" w:pos="3240"/>
        <w:tab w:val="right" w:pos="10580"/>
      </w:tabs>
    </w:pPr>
    <w:r>
      <w:rPr>
        <w:noProof/>
        <w:lang w:eastAsia="fr-FR"/>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6217">
      <w:tab/>
    </w:r>
    <w:r w:rsidR="00216217">
      <w:tab/>
    </w:r>
    <w:r w:rsidR="00216217">
      <w:tab/>
    </w:r>
    <w:r w:rsidR="00216217">
      <w:tab/>
    </w:r>
    <w:r w:rsidR="005474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772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216217" w:rsidRPr="001C2C1B">
        <w:rPr>
          <w:rStyle w:val="Lienhypertexte"/>
          <w:rFonts w:cs="Calibri"/>
          <w:color w:val="E36C0A"/>
        </w:rPr>
        <w:t>www.comptazine.fr</w:t>
      </w:r>
    </w:hyperlink>
    <w:r w:rsidR="00216217">
      <w:rPr>
        <w:rStyle w:val="Lienhypertexte"/>
        <w:rFonts w:cs="Calibri"/>
        <w:color w:val="E36C0A"/>
      </w:rPr>
      <w:t xml:space="preserve"> </w:t>
    </w:r>
    <w:r>
      <w:rPr>
        <w:noProof/>
        <w:lang w:eastAsia="fr-FR"/>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217" w:rsidRPr="005E18B7" w:rsidRDefault="00216217" w:rsidP="00216217">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216217" w:rsidRPr="005E18B7" w:rsidRDefault="00216217" w:rsidP="00216217">
                    <w:pPr>
                      <w:spacing w:before="7"/>
                      <w:ind w:left="20" w:right="-49"/>
                      <w:rPr>
                        <w:rFonts w:ascii="Arial" w:eastAsia="Arial" w:hAnsi="Arial" w:cs="Arial"/>
                        <w:sz w:val="16"/>
                        <w:szCs w:val="16"/>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17" w:rsidRDefault="002162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492A"/>
    <w:multiLevelType w:val="hybridMultilevel"/>
    <w:tmpl w:val="062C1744"/>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9150A09"/>
    <w:multiLevelType w:val="hybridMultilevel"/>
    <w:tmpl w:val="6A884514"/>
    <w:lvl w:ilvl="0" w:tplc="68DC3304">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AD34F4"/>
    <w:multiLevelType w:val="hybridMultilevel"/>
    <w:tmpl w:val="7122AE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B0911D4"/>
    <w:multiLevelType w:val="hybridMultilevel"/>
    <w:tmpl w:val="A4F85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190C75"/>
    <w:multiLevelType w:val="hybridMultilevel"/>
    <w:tmpl w:val="440E6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431DA6"/>
    <w:multiLevelType w:val="hybridMultilevel"/>
    <w:tmpl w:val="4B0ED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98077A"/>
    <w:multiLevelType w:val="hybridMultilevel"/>
    <w:tmpl w:val="02A6D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0D7512"/>
    <w:multiLevelType w:val="hybridMultilevel"/>
    <w:tmpl w:val="1DB06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AA4A8E"/>
    <w:multiLevelType w:val="hybridMultilevel"/>
    <w:tmpl w:val="C6123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C677A3"/>
    <w:multiLevelType w:val="hybridMultilevel"/>
    <w:tmpl w:val="F0A0E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341779"/>
    <w:multiLevelType w:val="hybridMultilevel"/>
    <w:tmpl w:val="5BEE0C94"/>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EF22D94"/>
    <w:multiLevelType w:val="hybridMultilevel"/>
    <w:tmpl w:val="A8A2D8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9F1DB6"/>
    <w:multiLevelType w:val="hybridMultilevel"/>
    <w:tmpl w:val="E654AB5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7A8687F"/>
    <w:multiLevelType w:val="hybridMultilevel"/>
    <w:tmpl w:val="D79AB3E8"/>
    <w:lvl w:ilvl="0" w:tplc="C0506544">
      <w:start w:val="1"/>
      <w:numFmt w:val="bullet"/>
      <w:lvlText w:val="-"/>
      <w:lvlJc w:val="left"/>
      <w:pPr>
        <w:ind w:left="754" w:hanging="360"/>
      </w:pPr>
      <w:rPr>
        <w:rFonts w:ascii="Windsor" w:hAnsi="Windsor"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4" w15:restartNumberingAfterBreak="0">
    <w:nsid w:val="3A3704EA"/>
    <w:multiLevelType w:val="hybridMultilevel"/>
    <w:tmpl w:val="839C7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8B2D35"/>
    <w:multiLevelType w:val="multilevel"/>
    <w:tmpl w:val="F5A426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A1669D"/>
    <w:multiLevelType w:val="hybridMultilevel"/>
    <w:tmpl w:val="2CCCEF40"/>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1E53DD"/>
    <w:multiLevelType w:val="multilevel"/>
    <w:tmpl w:val="FFC4A8B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BD31F5"/>
    <w:multiLevelType w:val="hybridMultilevel"/>
    <w:tmpl w:val="F37A47E4"/>
    <w:lvl w:ilvl="0" w:tplc="C0506544">
      <w:start w:val="1"/>
      <w:numFmt w:val="bullet"/>
      <w:lvlText w:val="-"/>
      <w:lvlJc w:val="left"/>
      <w:pPr>
        <w:ind w:left="754" w:hanging="360"/>
      </w:pPr>
      <w:rPr>
        <w:rFonts w:ascii="Windsor" w:hAnsi="Windsor"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9" w15:restartNumberingAfterBreak="0">
    <w:nsid w:val="449B3561"/>
    <w:multiLevelType w:val="hybridMultilevel"/>
    <w:tmpl w:val="0CB8426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67112F4"/>
    <w:multiLevelType w:val="hybridMultilevel"/>
    <w:tmpl w:val="878EDE0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6D64BD4"/>
    <w:multiLevelType w:val="hybridMultilevel"/>
    <w:tmpl w:val="73DA070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4C8E2EDE"/>
    <w:multiLevelType w:val="hybridMultilevel"/>
    <w:tmpl w:val="4DD2FBB8"/>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3" w15:restartNumberingAfterBreak="0">
    <w:nsid w:val="4CB74B0A"/>
    <w:multiLevelType w:val="hybridMultilevel"/>
    <w:tmpl w:val="47E0C5B8"/>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D2836C5"/>
    <w:multiLevelType w:val="hybridMultilevel"/>
    <w:tmpl w:val="02A01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106F50"/>
    <w:multiLevelType w:val="hybridMultilevel"/>
    <w:tmpl w:val="36966D16"/>
    <w:lvl w:ilvl="0" w:tplc="DC820380">
      <w:numFmt w:val="bullet"/>
      <w:lvlText w:val="-"/>
      <w:lvlJc w:val="left"/>
      <w:pPr>
        <w:ind w:left="644"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7461F4"/>
    <w:multiLevelType w:val="hybridMultilevel"/>
    <w:tmpl w:val="19BA4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0E3E7C"/>
    <w:multiLevelType w:val="hybridMultilevel"/>
    <w:tmpl w:val="C5167582"/>
    <w:lvl w:ilvl="0" w:tplc="040C0005">
      <w:start w:val="1"/>
      <w:numFmt w:val="bullet"/>
      <w:lvlText w:val=""/>
      <w:lvlJc w:val="left"/>
      <w:pPr>
        <w:ind w:left="1004" w:hanging="360"/>
      </w:pPr>
      <w:rPr>
        <w:rFonts w:ascii="Wingdings" w:hAnsi="Wingdings" w:hint="default"/>
      </w:rPr>
    </w:lvl>
    <w:lvl w:ilvl="1" w:tplc="040C0005">
      <w:start w:val="1"/>
      <w:numFmt w:val="bullet"/>
      <w:lvlText w:val=""/>
      <w:lvlJc w:val="left"/>
      <w:pPr>
        <w:ind w:left="1724" w:hanging="360"/>
      </w:pPr>
      <w:rPr>
        <w:rFonts w:ascii="Wingdings" w:hAnsi="Wingdings"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53517BE"/>
    <w:multiLevelType w:val="hybridMultilevel"/>
    <w:tmpl w:val="2E527B34"/>
    <w:lvl w:ilvl="0" w:tplc="23CC93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324788"/>
    <w:multiLevelType w:val="hybridMultilevel"/>
    <w:tmpl w:val="D15AF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0401D0"/>
    <w:multiLevelType w:val="hybridMultilevel"/>
    <w:tmpl w:val="79286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2712D8"/>
    <w:multiLevelType w:val="hybridMultilevel"/>
    <w:tmpl w:val="260A901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5F230B1C"/>
    <w:multiLevelType w:val="hybridMultilevel"/>
    <w:tmpl w:val="4A389444"/>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1751990"/>
    <w:multiLevelType w:val="hybridMultilevel"/>
    <w:tmpl w:val="E2DCD0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374C7A"/>
    <w:multiLevelType w:val="hybridMultilevel"/>
    <w:tmpl w:val="326E1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642F25"/>
    <w:multiLevelType w:val="hybridMultilevel"/>
    <w:tmpl w:val="973E9D3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66550F84"/>
    <w:multiLevelType w:val="hybridMultilevel"/>
    <w:tmpl w:val="E842C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127A1D"/>
    <w:multiLevelType w:val="hybridMultilevel"/>
    <w:tmpl w:val="F2623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72D6C1C"/>
    <w:multiLevelType w:val="hybridMultilevel"/>
    <w:tmpl w:val="A9D62066"/>
    <w:lvl w:ilvl="0" w:tplc="DC820380">
      <w:numFmt w:val="bullet"/>
      <w:lvlText w:val="-"/>
      <w:lvlJc w:val="left"/>
      <w:pPr>
        <w:ind w:left="644" w:hanging="360"/>
      </w:pPr>
      <w:rPr>
        <w:rFonts w:ascii="Times New Roman" w:eastAsia="Calibr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9" w15:restartNumberingAfterBreak="0">
    <w:nsid w:val="673C2D49"/>
    <w:multiLevelType w:val="hybridMultilevel"/>
    <w:tmpl w:val="EEE2FF9A"/>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FE1EC9"/>
    <w:multiLevelType w:val="hybridMultilevel"/>
    <w:tmpl w:val="87DE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3032D2"/>
    <w:multiLevelType w:val="hybridMultilevel"/>
    <w:tmpl w:val="ABB6F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0B4FF8"/>
    <w:multiLevelType w:val="hybridMultilevel"/>
    <w:tmpl w:val="330E2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31"/>
  </w:num>
  <w:num w:numId="4">
    <w:abstractNumId w:val="21"/>
  </w:num>
  <w:num w:numId="5">
    <w:abstractNumId w:val="35"/>
  </w:num>
  <w:num w:numId="6">
    <w:abstractNumId w:val="26"/>
  </w:num>
  <w:num w:numId="7">
    <w:abstractNumId w:val="37"/>
  </w:num>
  <w:num w:numId="8">
    <w:abstractNumId w:val="28"/>
  </w:num>
  <w:num w:numId="9">
    <w:abstractNumId w:val="5"/>
  </w:num>
  <w:num w:numId="10">
    <w:abstractNumId w:val="16"/>
  </w:num>
  <w:num w:numId="11">
    <w:abstractNumId w:val="3"/>
  </w:num>
  <w:num w:numId="12">
    <w:abstractNumId w:val="12"/>
  </w:num>
  <w:num w:numId="13">
    <w:abstractNumId w:val="4"/>
  </w:num>
  <w:num w:numId="14">
    <w:abstractNumId w:val="33"/>
  </w:num>
  <w:num w:numId="15">
    <w:abstractNumId w:val="6"/>
  </w:num>
  <w:num w:numId="16">
    <w:abstractNumId w:val="14"/>
  </w:num>
  <w:num w:numId="17">
    <w:abstractNumId w:val="41"/>
  </w:num>
  <w:num w:numId="18">
    <w:abstractNumId w:val="11"/>
  </w:num>
  <w:num w:numId="19">
    <w:abstractNumId w:val="40"/>
  </w:num>
  <w:num w:numId="20">
    <w:abstractNumId w:val="36"/>
  </w:num>
  <w:num w:numId="21">
    <w:abstractNumId w:val="22"/>
  </w:num>
  <w:num w:numId="22">
    <w:abstractNumId w:val="39"/>
  </w:num>
  <w:num w:numId="23">
    <w:abstractNumId w:val="34"/>
  </w:num>
  <w:num w:numId="24">
    <w:abstractNumId w:val="2"/>
  </w:num>
  <w:num w:numId="25">
    <w:abstractNumId w:val="29"/>
  </w:num>
  <w:num w:numId="26">
    <w:abstractNumId w:val="7"/>
  </w:num>
  <w:num w:numId="27">
    <w:abstractNumId w:val="42"/>
  </w:num>
  <w:num w:numId="28">
    <w:abstractNumId w:val="9"/>
  </w:num>
  <w:num w:numId="29">
    <w:abstractNumId w:val="8"/>
  </w:num>
  <w:num w:numId="30">
    <w:abstractNumId w:val="30"/>
  </w:num>
  <w:num w:numId="31">
    <w:abstractNumId w:val="18"/>
  </w:num>
  <w:num w:numId="32">
    <w:abstractNumId w:val="13"/>
  </w:num>
  <w:num w:numId="33">
    <w:abstractNumId w:val="15"/>
  </w:num>
  <w:num w:numId="34">
    <w:abstractNumId w:val="1"/>
  </w:num>
  <w:num w:numId="35">
    <w:abstractNumId w:val="38"/>
  </w:num>
  <w:num w:numId="36">
    <w:abstractNumId w:val="25"/>
  </w:num>
  <w:num w:numId="37">
    <w:abstractNumId w:val="32"/>
  </w:num>
  <w:num w:numId="38">
    <w:abstractNumId w:val="27"/>
  </w:num>
  <w:num w:numId="39">
    <w:abstractNumId w:val="20"/>
  </w:num>
  <w:num w:numId="40">
    <w:abstractNumId w:val="0"/>
  </w:num>
  <w:num w:numId="41">
    <w:abstractNumId w:val="10"/>
  </w:num>
  <w:num w:numId="42">
    <w:abstractNumId w:val="1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71"/>
    <w:rsid w:val="00007E3B"/>
    <w:rsid w:val="00015E1D"/>
    <w:rsid w:val="00031E18"/>
    <w:rsid w:val="0003220D"/>
    <w:rsid w:val="000356F4"/>
    <w:rsid w:val="0005645D"/>
    <w:rsid w:val="000605F6"/>
    <w:rsid w:val="000760BD"/>
    <w:rsid w:val="000B4387"/>
    <w:rsid w:val="000B43BD"/>
    <w:rsid w:val="000C1D38"/>
    <w:rsid w:val="000D1633"/>
    <w:rsid w:val="000D409B"/>
    <w:rsid w:val="000E60D0"/>
    <w:rsid w:val="000F1234"/>
    <w:rsid w:val="000F58A2"/>
    <w:rsid w:val="000F7950"/>
    <w:rsid w:val="00106119"/>
    <w:rsid w:val="0013628D"/>
    <w:rsid w:val="00141871"/>
    <w:rsid w:val="00143F51"/>
    <w:rsid w:val="00144CE9"/>
    <w:rsid w:val="001579B1"/>
    <w:rsid w:val="0017450B"/>
    <w:rsid w:val="0018765D"/>
    <w:rsid w:val="001B7142"/>
    <w:rsid w:val="001C7C2A"/>
    <w:rsid w:val="001E6BD3"/>
    <w:rsid w:val="001E7BE9"/>
    <w:rsid w:val="00200042"/>
    <w:rsid w:val="00216217"/>
    <w:rsid w:val="00222A39"/>
    <w:rsid w:val="00242486"/>
    <w:rsid w:val="00283F71"/>
    <w:rsid w:val="002B5F73"/>
    <w:rsid w:val="002C2B1E"/>
    <w:rsid w:val="002E3551"/>
    <w:rsid w:val="00302E7A"/>
    <w:rsid w:val="0030649E"/>
    <w:rsid w:val="00321D38"/>
    <w:rsid w:val="00341814"/>
    <w:rsid w:val="00350C72"/>
    <w:rsid w:val="003527D0"/>
    <w:rsid w:val="003748E3"/>
    <w:rsid w:val="00385D9E"/>
    <w:rsid w:val="0038754B"/>
    <w:rsid w:val="00395828"/>
    <w:rsid w:val="003960EE"/>
    <w:rsid w:val="003D21A4"/>
    <w:rsid w:val="003E2593"/>
    <w:rsid w:val="003E3DE2"/>
    <w:rsid w:val="003F5600"/>
    <w:rsid w:val="003F6975"/>
    <w:rsid w:val="00404CDA"/>
    <w:rsid w:val="0043555C"/>
    <w:rsid w:val="00447B77"/>
    <w:rsid w:val="004712BA"/>
    <w:rsid w:val="00473B5D"/>
    <w:rsid w:val="004B4CC3"/>
    <w:rsid w:val="004C37AD"/>
    <w:rsid w:val="004C5799"/>
    <w:rsid w:val="004C71A2"/>
    <w:rsid w:val="004E2DAE"/>
    <w:rsid w:val="004E4782"/>
    <w:rsid w:val="00506651"/>
    <w:rsid w:val="00511E46"/>
    <w:rsid w:val="0054744C"/>
    <w:rsid w:val="00551665"/>
    <w:rsid w:val="00552B60"/>
    <w:rsid w:val="00565171"/>
    <w:rsid w:val="005657D4"/>
    <w:rsid w:val="005776D0"/>
    <w:rsid w:val="00581FCA"/>
    <w:rsid w:val="00582E3F"/>
    <w:rsid w:val="005D0689"/>
    <w:rsid w:val="005E7D2F"/>
    <w:rsid w:val="005F5962"/>
    <w:rsid w:val="006007F5"/>
    <w:rsid w:val="00603F81"/>
    <w:rsid w:val="00633B8D"/>
    <w:rsid w:val="00634B8B"/>
    <w:rsid w:val="00635C24"/>
    <w:rsid w:val="00680795"/>
    <w:rsid w:val="00714A5A"/>
    <w:rsid w:val="00746AE3"/>
    <w:rsid w:val="00764BFB"/>
    <w:rsid w:val="007738F6"/>
    <w:rsid w:val="007935C2"/>
    <w:rsid w:val="0079747E"/>
    <w:rsid w:val="007B6022"/>
    <w:rsid w:val="007B6DC7"/>
    <w:rsid w:val="007C5FA6"/>
    <w:rsid w:val="007D7FBC"/>
    <w:rsid w:val="0080741E"/>
    <w:rsid w:val="008750A4"/>
    <w:rsid w:val="00892724"/>
    <w:rsid w:val="008B0FB7"/>
    <w:rsid w:val="008B23D5"/>
    <w:rsid w:val="008C7897"/>
    <w:rsid w:val="00906A49"/>
    <w:rsid w:val="0091106E"/>
    <w:rsid w:val="00914A7F"/>
    <w:rsid w:val="00921DCE"/>
    <w:rsid w:val="00944465"/>
    <w:rsid w:val="00965F63"/>
    <w:rsid w:val="00973C81"/>
    <w:rsid w:val="009A2F24"/>
    <w:rsid w:val="009A7498"/>
    <w:rsid w:val="009D1327"/>
    <w:rsid w:val="009E38B1"/>
    <w:rsid w:val="009F7936"/>
    <w:rsid w:val="00A467E2"/>
    <w:rsid w:val="00A83BCA"/>
    <w:rsid w:val="00A85D92"/>
    <w:rsid w:val="00AB477C"/>
    <w:rsid w:val="00AB73BD"/>
    <w:rsid w:val="00AC3BE0"/>
    <w:rsid w:val="00AC556B"/>
    <w:rsid w:val="00B03CDB"/>
    <w:rsid w:val="00B1122E"/>
    <w:rsid w:val="00B32D17"/>
    <w:rsid w:val="00B35ACC"/>
    <w:rsid w:val="00B97591"/>
    <w:rsid w:val="00BC33E4"/>
    <w:rsid w:val="00C51D7B"/>
    <w:rsid w:val="00CA3B76"/>
    <w:rsid w:val="00CA4392"/>
    <w:rsid w:val="00D01963"/>
    <w:rsid w:val="00D03C42"/>
    <w:rsid w:val="00D04782"/>
    <w:rsid w:val="00D34522"/>
    <w:rsid w:val="00D516BE"/>
    <w:rsid w:val="00DA4523"/>
    <w:rsid w:val="00DD1E9C"/>
    <w:rsid w:val="00DD2457"/>
    <w:rsid w:val="00DE6911"/>
    <w:rsid w:val="00DF2989"/>
    <w:rsid w:val="00DF4663"/>
    <w:rsid w:val="00E30ECD"/>
    <w:rsid w:val="00E47370"/>
    <w:rsid w:val="00E524B4"/>
    <w:rsid w:val="00E64596"/>
    <w:rsid w:val="00E70D38"/>
    <w:rsid w:val="00E71DE9"/>
    <w:rsid w:val="00F014AA"/>
    <w:rsid w:val="00F107A9"/>
    <w:rsid w:val="00F25768"/>
    <w:rsid w:val="00F70996"/>
    <w:rsid w:val="00FB05C0"/>
    <w:rsid w:val="00FC3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DAEB9FE-230F-43EB-A85F-3AE3F425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3F71"/>
    <w:pPr>
      <w:ind w:left="720"/>
      <w:contextualSpacing/>
    </w:pPr>
  </w:style>
  <w:style w:type="paragraph" w:styleId="En-tte">
    <w:name w:val="header"/>
    <w:basedOn w:val="Normal"/>
    <w:link w:val="En-tteCar"/>
    <w:unhideWhenUsed/>
    <w:rsid w:val="00283F71"/>
    <w:pPr>
      <w:tabs>
        <w:tab w:val="center" w:pos="4536"/>
        <w:tab w:val="right" w:pos="9072"/>
      </w:tabs>
      <w:spacing w:after="0" w:line="240" w:lineRule="auto"/>
    </w:pPr>
  </w:style>
  <w:style w:type="character" w:customStyle="1" w:styleId="En-tteCar">
    <w:name w:val="En-tête Car"/>
    <w:basedOn w:val="Policepardfaut"/>
    <w:link w:val="En-tte"/>
    <w:rsid w:val="00283F71"/>
  </w:style>
  <w:style w:type="paragraph" w:styleId="Pieddepage">
    <w:name w:val="footer"/>
    <w:basedOn w:val="Normal"/>
    <w:link w:val="PieddepageCar"/>
    <w:unhideWhenUsed/>
    <w:rsid w:val="00283F71"/>
    <w:pPr>
      <w:tabs>
        <w:tab w:val="center" w:pos="4536"/>
        <w:tab w:val="right" w:pos="9072"/>
      </w:tabs>
      <w:spacing w:after="0" w:line="240" w:lineRule="auto"/>
    </w:pPr>
  </w:style>
  <w:style w:type="character" w:customStyle="1" w:styleId="PieddepageCar">
    <w:name w:val="Pied de page Car"/>
    <w:basedOn w:val="Policepardfaut"/>
    <w:link w:val="Pieddepage"/>
    <w:rsid w:val="00283F71"/>
  </w:style>
  <w:style w:type="table" w:styleId="Grilledutableau">
    <w:name w:val="Table Grid"/>
    <w:basedOn w:val="TableauNormal"/>
    <w:uiPriority w:val="59"/>
    <w:rsid w:val="0028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83F71"/>
  </w:style>
  <w:style w:type="character" w:styleId="Lienhypertexte">
    <w:name w:val="Hyperlink"/>
    <w:uiPriority w:val="99"/>
    <w:semiHidden/>
    <w:unhideWhenUsed/>
    <w:rsid w:val="00283F71"/>
    <w:rPr>
      <w:color w:val="0000FF"/>
      <w:u w:val="single"/>
    </w:rPr>
  </w:style>
  <w:style w:type="paragraph" w:styleId="Textedebulles">
    <w:name w:val="Balloon Text"/>
    <w:basedOn w:val="Normal"/>
    <w:link w:val="TextedebullesCar"/>
    <w:uiPriority w:val="99"/>
    <w:semiHidden/>
    <w:unhideWhenUsed/>
    <w:rsid w:val="005657D4"/>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5657D4"/>
    <w:rPr>
      <w:rFonts w:ascii="Tahoma" w:hAnsi="Tahoma" w:cs="Tahoma"/>
      <w:sz w:val="16"/>
      <w:szCs w:val="16"/>
      <w:lang w:eastAsia="en-US"/>
    </w:rPr>
  </w:style>
  <w:style w:type="character" w:styleId="Numrodepage">
    <w:name w:val="page number"/>
    <w:basedOn w:val="Policepardfaut"/>
    <w:rsid w:val="00216217"/>
  </w:style>
  <w:style w:type="paragraph" w:styleId="Titre">
    <w:name w:val="Title"/>
    <w:basedOn w:val="Normal"/>
    <w:link w:val="TitreCar"/>
    <w:qFormat/>
    <w:rsid w:val="00222A39"/>
    <w:pPr>
      <w:spacing w:after="0" w:line="240" w:lineRule="auto"/>
      <w:jc w:val="center"/>
    </w:pPr>
    <w:rPr>
      <w:rFonts w:ascii="Arial" w:eastAsia="Times New Roman" w:hAnsi="Arial" w:cs="Arial"/>
      <w:b/>
      <w:bCs/>
      <w:szCs w:val="24"/>
      <w:lang w:eastAsia="fr-FR"/>
    </w:rPr>
  </w:style>
  <w:style w:type="character" w:customStyle="1" w:styleId="TitreCar">
    <w:name w:val="Titre Car"/>
    <w:link w:val="Titre"/>
    <w:rsid w:val="00222A39"/>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17977-80FF-4E57-8CA1-371698CA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1780</Words>
  <Characters>9795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11552</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Comptazine</dc:creator>
  <cp:keywords/>
  <dc:description/>
  <cp:lastModifiedBy>Mathilde</cp:lastModifiedBy>
  <cp:revision>2</cp:revision>
  <cp:lastPrinted>2016-07-30T14:17:00Z</cp:lastPrinted>
  <dcterms:created xsi:type="dcterms:W3CDTF">2016-07-30T14:20:00Z</dcterms:created>
  <dcterms:modified xsi:type="dcterms:W3CDTF">2016-07-30T14:20:00Z</dcterms:modified>
</cp:coreProperties>
</file>