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16" w:rsidRPr="00053465" w:rsidRDefault="008E7516" w:rsidP="008E7516">
      <w:pPr>
        <w:pBdr>
          <w:top w:val="single" w:sz="4" w:space="1" w:color="auto"/>
          <w:left w:val="single" w:sz="4" w:space="4" w:color="auto"/>
          <w:bottom w:val="single" w:sz="4" w:space="1" w:color="auto"/>
          <w:right w:val="single" w:sz="4" w:space="4" w:color="auto"/>
        </w:pBdr>
        <w:overflowPunct w:val="0"/>
        <w:autoSpaceDE w:val="0"/>
        <w:jc w:val="center"/>
        <w:rPr>
          <w:rFonts w:eastAsia="SimSun"/>
          <w:b/>
          <w:sz w:val="22"/>
          <w:szCs w:val="22"/>
        </w:rPr>
      </w:pPr>
      <w:r w:rsidRPr="00053465">
        <w:rPr>
          <w:rFonts w:eastAsia="SimSun"/>
          <w:b/>
          <w:sz w:val="22"/>
          <w:szCs w:val="22"/>
        </w:rPr>
        <w:t xml:space="preserve">Corrigé indicatif </w:t>
      </w:r>
      <w:r>
        <w:rPr>
          <w:rFonts w:eastAsia="SimSun"/>
          <w:b/>
          <w:sz w:val="22"/>
          <w:szCs w:val="22"/>
        </w:rPr>
        <w:t xml:space="preserve">DSCG </w:t>
      </w:r>
      <w:r w:rsidRPr="00053465">
        <w:rPr>
          <w:rFonts w:eastAsia="SimSun"/>
          <w:b/>
          <w:sz w:val="22"/>
          <w:szCs w:val="22"/>
        </w:rPr>
        <w:t xml:space="preserve">UE </w:t>
      </w:r>
      <w:r w:rsidR="00CB664C">
        <w:rPr>
          <w:rFonts w:eastAsia="SimSun"/>
          <w:b/>
          <w:sz w:val="22"/>
          <w:szCs w:val="22"/>
        </w:rPr>
        <w:t>2</w:t>
      </w:r>
      <w:r w:rsidRPr="00053465">
        <w:rPr>
          <w:rFonts w:eastAsia="SimSun"/>
          <w:b/>
          <w:sz w:val="22"/>
          <w:szCs w:val="22"/>
        </w:rPr>
        <w:t xml:space="preserve"> </w:t>
      </w:r>
      <w:r w:rsidR="00131DA9">
        <w:rPr>
          <w:rFonts w:eastAsia="SimSun"/>
          <w:b/>
          <w:sz w:val="22"/>
          <w:szCs w:val="22"/>
        </w:rPr>
        <w:t>F</w:t>
      </w:r>
      <w:r w:rsidR="00CB664C">
        <w:rPr>
          <w:rFonts w:eastAsia="SimSun"/>
          <w:b/>
          <w:sz w:val="22"/>
          <w:szCs w:val="22"/>
        </w:rPr>
        <w:t>inance</w:t>
      </w:r>
    </w:p>
    <w:p w:rsidR="008B36C7" w:rsidRDefault="008B36C7">
      <w:pPr>
        <w:rPr>
          <w:rFonts w:ascii="Arial" w:hAnsi="Arial" w:cs="Arial"/>
        </w:rPr>
      </w:pPr>
    </w:p>
    <w:p w:rsid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p>
    <w:p w:rsid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b/>
          <w:bCs/>
        </w:rPr>
      </w:pPr>
      <w:r w:rsidRPr="008B36C7">
        <w:rPr>
          <w:b/>
          <w:bCs/>
          <w:color w:val="000000"/>
        </w:rPr>
        <w:t xml:space="preserve">DOSSIER 1 </w:t>
      </w:r>
      <w:r>
        <w:rPr>
          <w:b/>
          <w:bCs/>
          <w:color w:val="000000"/>
        </w:rPr>
        <w:t>–</w:t>
      </w:r>
      <w:r w:rsidRPr="008B36C7">
        <w:rPr>
          <w:b/>
          <w:bCs/>
          <w:color w:val="000000"/>
        </w:rPr>
        <w:t xml:space="preserve"> </w:t>
      </w:r>
      <w:r w:rsidRPr="008B36C7">
        <w:rPr>
          <w:b/>
          <w:bCs/>
        </w:rPr>
        <w:t>É</w:t>
      </w:r>
      <w:r>
        <w:rPr>
          <w:b/>
          <w:bCs/>
        </w:rPr>
        <w:t>TUDE DE CAS</w:t>
      </w:r>
    </w:p>
    <w:p w:rsid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rFonts w:ascii="Arial" w:hAnsi="Arial" w:cs="Arial"/>
        </w:rPr>
      </w:pPr>
      <w:r w:rsidRPr="008B36C7">
        <w:rPr>
          <w:color w:val="000000"/>
        </w:rPr>
        <w:t xml:space="preserve"> </w:t>
      </w:r>
    </w:p>
    <w:p w:rsidR="008B36C7" w:rsidRDefault="008B36C7">
      <w:pPr>
        <w:rPr>
          <w:rFonts w:ascii="Arial" w:hAnsi="Arial" w:cs="Arial"/>
        </w:rPr>
      </w:pPr>
    </w:p>
    <w:p w:rsidR="008B36C7" w:rsidRDefault="008B36C7">
      <w:pPr>
        <w:rPr>
          <w:rFonts w:ascii="Arial" w:hAnsi="Arial" w:cs="Arial"/>
        </w:rPr>
      </w:pPr>
    </w:p>
    <w:p w:rsidR="00326133" w:rsidRDefault="00326133">
      <w:pPr>
        <w:widowControl w:val="0"/>
        <w:autoSpaceDE w:val="0"/>
        <w:autoSpaceDN w:val="0"/>
        <w:adjustRightInd w:val="0"/>
        <w:rPr>
          <w:szCs w:val="23"/>
        </w:rPr>
      </w:pPr>
      <w:r>
        <w:rPr>
          <w:b/>
          <w:bCs/>
          <w:szCs w:val="23"/>
        </w:rPr>
        <w:t>1. Calcul de la performance de Peletier</w:t>
      </w:r>
      <w:r>
        <w:rPr>
          <w:szCs w:val="23"/>
        </w:rPr>
        <w:t xml:space="preserve"> (annexe 1)</w:t>
      </w:r>
    </w:p>
    <w:p w:rsidR="008E7516" w:rsidRDefault="008E7516">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Rentabilité économique des capitaux employés = résultat économique après impôt / capitaux employés</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Cette rentabilité économique peut s’estimer selon deux méthodes, selon que le raisonnement porte sur l’endettement brut ou l’endettement net. Le résultat économique doit être estimé en cohérence avec la méthode retenue pour le calcul des capitaux employés.</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b/>
          <w:bCs/>
          <w:szCs w:val="23"/>
        </w:rPr>
        <w:t>Solution 1</w:t>
      </w:r>
      <w:r>
        <w:rPr>
          <w:szCs w:val="23"/>
        </w:rPr>
        <w:t xml:space="preserve"> (dettes financières brutes) : </w:t>
      </w:r>
    </w:p>
    <w:p w:rsidR="00326133" w:rsidRDefault="00326133">
      <w:pPr>
        <w:widowControl w:val="0"/>
        <w:numPr>
          <w:ilvl w:val="0"/>
          <w:numId w:val="1"/>
        </w:numPr>
        <w:autoSpaceDE w:val="0"/>
        <w:autoSpaceDN w:val="0"/>
        <w:adjustRightInd w:val="0"/>
        <w:jc w:val="both"/>
        <w:rPr>
          <w:szCs w:val="23"/>
        </w:rPr>
      </w:pPr>
      <w:r>
        <w:rPr>
          <w:szCs w:val="23"/>
        </w:rPr>
        <w:t xml:space="preserve">Capitaux employés = capitaux propres + dettes financières (à court et long termes) + provisions pour retraites </w:t>
      </w:r>
    </w:p>
    <w:p w:rsidR="00326133" w:rsidRDefault="00326133">
      <w:pPr>
        <w:widowControl w:val="0"/>
        <w:numPr>
          <w:ilvl w:val="0"/>
          <w:numId w:val="1"/>
        </w:numPr>
        <w:autoSpaceDE w:val="0"/>
        <w:autoSpaceDN w:val="0"/>
        <w:adjustRightInd w:val="0"/>
        <w:jc w:val="both"/>
        <w:rPr>
          <w:szCs w:val="23"/>
        </w:rPr>
      </w:pPr>
      <w:r>
        <w:rPr>
          <w:szCs w:val="23"/>
        </w:rPr>
        <w:t>Résultat économique = [résultat opérationnel + produits de trésorerie + autres produits et charges financiers</w:t>
      </w:r>
      <w:proofErr w:type="gramStart"/>
      <w:r>
        <w:rPr>
          <w:szCs w:val="23"/>
        </w:rPr>
        <w:t>]×</w:t>
      </w:r>
      <w:proofErr w:type="gramEnd"/>
      <w:r>
        <w:rPr>
          <w:szCs w:val="23"/>
        </w:rPr>
        <w:t>2/3</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b/>
          <w:bCs/>
          <w:szCs w:val="23"/>
        </w:rPr>
        <w:t>Solution 2 (</w:t>
      </w:r>
      <w:r>
        <w:rPr>
          <w:szCs w:val="23"/>
        </w:rPr>
        <w:t xml:space="preserve">dettes financières nettes) : </w:t>
      </w:r>
    </w:p>
    <w:p w:rsidR="00326133" w:rsidRDefault="00326133">
      <w:pPr>
        <w:widowControl w:val="0"/>
        <w:numPr>
          <w:ilvl w:val="0"/>
          <w:numId w:val="2"/>
        </w:numPr>
        <w:autoSpaceDE w:val="0"/>
        <w:autoSpaceDN w:val="0"/>
        <w:adjustRightInd w:val="0"/>
        <w:jc w:val="both"/>
        <w:rPr>
          <w:szCs w:val="23"/>
        </w:rPr>
      </w:pPr>
      <w:r>
        <w:rPr>
          <w:szCs w:val="23"/>
        </w:rPr>
        <w:t xml:space="preserve">Capitaux employés = capitaux propres + dettes financières (à court et long termes) – disponibilités + provisions pour retraites </w:t>
      </w:r>
    </w:p>
    <w:p w:rsidR="00326133" w:rsidRDefault="00326133">
      <w:pPr>
        <w:widowControl w:val="0"/>
        <w:numPr>
          <w:ilvl w:val="0"/>
          <w:numId w:val="2"/>
        </w:numPr>
        <w:autoSpaceDE w:val="0"/>
        <w:autoSpaceDN w:val="0"/>
        <w:adjustRightInd w:val="0"/>
        <w:jc w:val="both"/>
        <w:rPr>
          <w:szCs w:val="23"/>
        </w:rPr>
      </w:pPr>
      <w:r>
        <w:rPr>
          <w:szCs w:val="23"/>
        </w:rPr>
        <w:t>Résultat économique = [résultat opérationnel + autres produits et charges financiers</w:t>
      </w:r>
      <w:proofErr w:type="gramStart"/>
      <w:r>
        <w:rPr>
          <w:szCs w:val="23"/>
        </w:rPr>
        <w:t>]×</w:t>
      </w:r>
      <w:proofErr w:type="gramEnd"/>
      <w:r>
        <w:rPr>
          <w:szCs w:val="23"/>
        </w:rPr>
        <w:t>2/3</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Rentabilité des capitaux propres Groupe = résultat net part du Groupe / Capitaux propres Groupe</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 xml:space="preserve">Taux de marge opérationnelle = résultat opérationnel / CA </w:t>
      </w:r>
    </w:p>
    <w:p w:rsidR="00326133" w:rsidRDefault="00326133">
      <w:pPr>
        <w:widowControl w:val="0"/>
        <w:autoSpaceDE w:val="0"/>
        <w:autoSpaceDN w:val="0"/>
        <w:adjustRightInd w:val="0"/>
        <w:jc w:val="both"/>
        <w:rPr>
          <w:sz w:val="23"/>
          <w:szCs w:val="23"/>
        </w:rPr>
      </w:pPr>
    </w:p>
    <w:tbl>
      <w:tblPr>
        <w:tblW w:w="9940" w:type="dxa"/>
        <w:tblInd w:w="52" w:type="dxa"/>
        <w:tblCellMar>
          <w:left w:w="70" w:type="dxa"/>
          <w:right w:w="70" w:type="dxa"/>
        </w:tblCellMar>
        <w:tblLook w:val="0000" w:firstRow="0" w:lastRow="0" w:firstColumn="0" w:lastColumn="0" w:noHBand="0" w:noVBand="0"/>
      </w:tblPr>
      <w:tblGrid>
        <w:gridCol w:w="4960"/>
        <w:gridCol w:w="1660"/>
        <w:gridCol w:w="1660"/>
        <w:gridCol w:w="1660"/>
      </w:tblGrid>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nil"/>
            </w:tcBorders>
            <w:noWrap/>
            <w:vAlign w:val="bottom"/>
          </w:tcPr>
          <w:p w:rsidR="00326133" w:rsidRDefault="00326133">
            <w:pPr>
              <w:jc w:val="center"/>
              <w:rPr>
                <w:rFonts w:ascii="Arial" w:hAnsi="Arial" w:cs="Arial"/>
                <w:b/>
                <w:bCs/>
                <w:sz w:val="20"/>
                <w:szCs w:val="20"/>
              </w:rPr>
            </w:pPr>
            <w:r>
              <w:rPr>
                <w:rFonts w:ascii="Arial" w:hAnsi="Arial" w:cs="Arial"/>
                <w:b/>
                <w:bCs/>
                <w:sz w:val="20"/>
                <w:szCs w:val="20"/>
              </w:rPr>
              <w:t>N</w:t>
            </w:r>
          </w:p>
        </w:tc>
        <w:tc>
          <w:tcPr>
            <w:tcW w:w="1660" w:type="dxa"/>
            <w:tcBorders>
              <w:top w:val="nil"/>
              <w:left w:val="nil"/>
              <w:bottom w:val="single" w:sz="4" w:space="0" w:color="auto"/>
              <w:right w:val="nil"/>
            </w:tcBorders>
            <w:noWrap/>
            <w:vAlign w:val="bottom"/>
          </w:tcPr>
          <w:p w:rsidR="00326133" w:rsidRDefault="00326133">
            <w:pPr>
              <w:jc w:val="center"/>
              <w:rPr>
                <w:rFonts w:ascii="Arial" w:hAnsi="Arial" w:cs="Arial"/>
                <w:b/>
                <w:bCs/>
                <w:sz w:val="20"/>
                <w:szCs w:val="20"/>
              </w:rPr>
            </w:pPr>
            <w:r>
              <w:rPr>
                <w:rFonts w:ascii="Arial" w:hAnsi="Arial" w:cs="Arial"/>
                <w:b/>
                <w:bCs/>
                <w:sz w:val="20"/>
                <w:szCs w:val="20"/>
              </w:rPr>
              <w:t>N-1</w:t>
            </w:r>
          </w:p>
        </w:tc>
        <w:tc>
          <w:tcPr>
            <w:tcW w:w="1660" w:type="dxa"/>
            <w:tcBorders>
              <w:top w:val="nil"/>
              <w:left w:val="nil"/>
              <w:bottom w:val="single" w:sz="4" w:space="0" w:color="auto"/>
              <w:right w:val="nil"/>
            </w:tcBorders>
            <w:noWrap/>
            <w:vAlign w:val="bottom"/>
          </w:tcPr>
          <w:p w:rsidR="00326133" w:rsidRDefault="00326133">
            <w:pPr>
              <w:jc w:val="center"/>
              <w:rPr>
                <w:rFonts w:ascii="Arial" w:hAnsi="Arial" w:cs="Arial"/>
                <w:b/>
                <w:bCs/>
                <w:sz w:val="20"/>
                <w:szCs w:val="20"/>
              </w:rPr>
            </w:pPr>
            <w:r>
              <w:rPr>
                <w:rFonts w:ascii="Arial" w:hAnsi="Arial" w:cs="Arial"/>
                <w:b/>
                <w:bCs/>
                <w:sz w:val="20"/>
                <w:szCs w:val="20"/>
              </w:rPr>
              <w:t>N-2</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Capitaux propres du Groupe</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14 160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11 990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10 630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Intérêts minoritaires</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320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330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240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Dettes financières</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9 880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11 310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5 630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Partie court terme des dettes financières</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990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920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1 340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Emprunts à moins d'un an et banques créditrices</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2 200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2 690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2 150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Provisions pour retraites et avantages au personnel</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2 200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3 430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2 760   </w:t>
            </w:r>
          </w:p>
        </w:tc>
      </w:tr>
      <w:tr w:rsidR="00326133">
        <w:trPr>
          <w:trHeight w:val="255"/>
        </w:trPr>
        <w:tc>
          <w:tcPr>
            <w:tcW w:w="49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 xml:space="preserve">Total capitaux employés (approche 1) :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29 750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30 670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22 750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Disponibilités et équivalents de trésorerie</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1 470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2 080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2 900   </w:t>
            </w:r>
          </w:p>
        </w:tc>
      </w:tr>
      <w:tr w:rsidR="00326133">
        <w:trPr>
          <w:trHeight w:val="255"/>
        </w:trPr>
        <w:tc>
          <w:tcPr>
            <w:tcW w:w="49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 xml:space="preserve">Total capitaux employés (approche 2) :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28 280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28 590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19 850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p>
        </w:tc>
        <w:tc>
          <w:tcPr>
            <w:tcW w:w="1660" w:type="dxa"/>
            <w:tcBorders>
              <w:top w:val="nil"/>
              <w:left w:val="nil"/>
              <w:bottom w:val="nil"/>
              <w:right w:val="nil"/>
            </w:tcBorders>
            <w:noWrap/>
            <w:vAlign w:val="bottom"/>
          </w:tcPr>
          <w:p w:rsidR="00326133" w:rsidRDefault="00326133">
            <w:pPr>
              <w:rPr>
                <w:rFonts w:ascii="Arial" w:hAnsi="Arial" w:cs="Arial"/>
                <w:sz w:val="20"/>
                <w:szCs w:val="20"/>
              </w:rPr>
            </w:pPr>
          </w:p>
        </w:tc>
        <w:tc>
          <w:tcPr>
            <w:tcW w:w="1660" w:type="dxa"/>
            <w:tcBorders>
              <w:top w:val="nil"/>
              <w:left w:val="nil"/>
              <w:bottom w:val="nil"/>
              <w:right w:val="nil"/>
            </w:tcBorders>
            <w:noWrap/>
            <w:vAlign w:val="bottom"/>
          </w:tcPr>
          <w:p w:rsidR="00326133" w:rsidRDefault="00326133">
            <w:pPr>
              <w:rPr>
                <w:rFonts w:ascii="Arial" w:hAnsi="Arial" w:cs="Arial"/>
                <w:sz w:val="20"/>
                <w:szCs w:val="20"/>
              </w:rPr>
            </w:pPr>
          </w:p>
        </w:tc>
        <w:tc>
          <w:tcPr>
            <w:tcW w:w="1660" w:type="dxa"/>
            <w:tcBorders>
              <w:top w:val="nil"/>
              <w:left w:val="nil"/>
              <w:bottom w:val="nil"/>
              <w:right w:val="nil"/>
            </w:tcBorders>
            <w:noWrap/>
            <w:vAlign w:val="bottom"/>
          </w:tcPr>
          <w:p w:rsidR="00326133" w:rsidRDefault="00326133">
            <w:pPr>
              <w:rPr>
                <w:rFonts w:ascii="Arial" w:hAnsi="Arial" w:cs="Arial"/>
                <w:sz w:val="20"/>
                <w:szCs w:val="20"/>
              </w:rPr>
            </w:pP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Résultat opérationnel</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3 330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2 550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2 420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Produits de trésorerie</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50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50   </w:t>
            </w:r>
          </w:p>
        </w:tc>
        <w:tc>
          <w:tcPr>
            <w:tcW w:w="1660" w:type="dxa"/>
            <w:tcBorders>
              <w:top w:val="nil"/>
              <w:left w:val="nil"/>
              <w:bottom w:val="nil"/>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60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Autres produits et charges financiers</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120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160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150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Résultat économique avant impôt</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3 260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2 440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2 330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Impôt (taux normatif)</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1 087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813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777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Résultat économique après impôt (approche 1)</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2 173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1 627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1 553   </w:t>
            </w:r>
          </w:p>
        </w:tc>
      </w:tr>
      <w:tr w:rsidR="008B36C7" w:rsidTr="00E51DFE">
        <w:trPr>
          <w:trHeight w:val="255"/>
        </w:trPr>
        <w:tc>
          <w:tcPr>
            <w:tcW w:w="4960" w:type="dxa"/>
            <w:tcBorders>
              <w:top w:val="nil"/>
              <w:left w:val="nil"/>
              <w:bottom w:val="single" w:sz="4" w:space="0" w:color="auto"/>
              <w:right w:val="nil"/>
            </w:tcBorders>
            <w:noWrap/>
            <w:vAlign w:val="bottom"/>
          </w:tcPr>
          <w:p w:rsidR="008B36C7" w:rsidRDefault="008B36C7" w:rsidP="00E51DFE">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nil"/>
            </w:tcBorders>
            <w:noWrap/>
            <w:vAlign w:val="bottom"/>
          </w:tcPr>
          <w:p w:rsidR="008B36C7" w:rsidRDefault="008B36C7" w:rsidP="00E51DFE">
            <w:pPr>
              <w:jc w:val="center"/>
              <w:rPr>
                <w:rFonts w:ascii="Arial" w:hAnsi="Arial" w:cs="Arial"/>
                <w:b/>
                <w:bCs/>
                <w:sz w:val="20"/>
                <w:szCs w:val="20"/>
              </w:rPr>
            </w:pPr>
            <w:r>
              <w:rPr>
                <w:rFonts w:ascii="Arial" w:hAnsi="Arial" w:cs="Arial"/>
                <w:b/>
                <w:bCs/>
                <w:sz w:val="20"/>
                <w:szCs w:val="20"/>
              </w:rPr>
              <w:t>N</w:t>
            </w:r>
          </w:p>
        </w:tc>
        <w:tc>
          <w:tcPr>
            <w:tcW w:w="1660" w:type="dxa"/>
            <w:tcBorders>
              <w:top w:val="nil"/>
              <w:left w:val="nil"/>
              <w:bottom w:val="single" w:sz="4" w:space="0" w:color="auto"/>
              <w:right w:val="nil"/>
            </w:tcBorders>
            <w:noWrap/>
            <w:vAlign w:val="bottom"/>
          </w:tcPr>
          <w:p w:rsidR="008B36C7" w:rsidRDefault="008B36C7" w:rsidP="00E51DFE">
            <w:pPr>
              <w:jc w:val="center"/>
              <w:rPr>
                <w:rFonts w:ascii="Arial" w:hAnsi="Arial" w:cs="Arial"/>
                <w:b/>
                <w:bCs/>
                <w:sz w:val="20"/>
                <w:szCs w:val="20"/>
              </w:rPr>
            </w:pPr>
            <w:r>
              <w:rPr>
                <w:rFonts w:ascii="Arial" w:hAnsi="Arial" w:cs="Arial"/>
                <w:b/>
                <w:bCs/>
                <w:sz w:val="20"/>
                <w:szCs w:val="20"/>
              </w:rPr>
              <w:t>N-1</w:t>
            </w:r>
          </w:p>
        </w:tc>
        <w:tc>
          <w:tcPr>
            <w:tcW w:w="1660" w:type="dxa"/>
            <w:tcBorders>
              <w:top w:val="nil"/>
              <w:left w:val="nil"/>
              <w:bottom w:val="single" w:sz="4" w:space="0" w:color="auto"/>
              <w:right w:val="nil"/>
            </w:tcBorders>
            <w:noWrap/>
            <w:vAlign w:val="bottom"/>
          </w:tcPr>
          <w:p w:rsidR="008B36C7" w:rsidRDefault="008B36C7" w:rsidP="00E51DFE">
            <w:pPr>
              <w:jc w:val="center"/>
              <w:rPr>
                <w:rFonts w:ascii="Arial" w:hAnsi="Arial" w:cs="Arial"/>
                <w:b/>
                <w:bCs/>
                <w:sz w:val="20"/>
                <w:szCs w:val="20"/>
              </w:rPr>
            </w:pPr>
            <w:r>
              <w:rPr>
                <w:rFonts w:ascii="Arial" w:hAnsi="Arial" w:cs="Arial"/>
                <w:b/>
                <w:bCs/>
                <w:sz w:val="20"/>
                <w:szCs w:val="20"/>
              </w:rPr>
              <w:t>N-2</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lastRenderedPageBreak/>
              <w:t>Résultat opérationnel</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3 330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2 550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2 420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Autres produits et charges financiers</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120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160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150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Résultat économique avant impôt</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3 210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2 390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2 270   </w:t>
            </w:r>
          </w:p>
        </w:tc>
      </w:tr>
      <w:tr w:rsidR="00326133">
        <w:trPr>
          <w:trHeight w:val="255"/>
        </w:trPr>
        <w:tc>
          <w:tcPr>
            <w:tcW w:w="49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Impôt (taux normatif)</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1 070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797   </w:t>
            </w:r>
          </w:p>
        </w:tc>
        <w:tc>
          <w:tcPr>
            <w:tcW w:w="1660" w:type="dxa"/>
            <w:tcBorders>
              <w:top w:val="nil"/>
              <w:left w:val="nil"/>
              <w:bottom w:val="single" w:sz="4" w:space="0" w:color="auto"/>
              <w:right w:val="nil"/>
            </w:tcBorders>
            <w:noWrap/>
            <w:vAlign w:val="bottom"/>
          </w:tcPr>
          <w:p w:rsidR="00326133" w:rsidRDefault="00326133">
            <w:pPr>
              <w:rPr>
                <w:rFonts w:ascii="Arial" w:hAnsi="Arial" w:cs="Arial"/>
                <w:sz w:val="20"/>
                <w:szCs w:val="20"/>
              </w:rPr>
            </w:pPr>
            <w:r>
              <w:rPr>
                <w:rFonts w:ascii="Arial" w:hAnsi="Arial" w:cs="Arial"/>
                <w:sz w:val="20"/>
                <w:szCs w:val="20"/>
              </w:rPr>
              <w:t xml:space="preserve">-                 757   </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Résultat économique après impôt (approche 2)</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2 140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1 593   </w:t>
            </w:r>
          </w:p>
        </w:tc>
        <w:tc>
          <w:tcPr>
            <w:tcW w:w="16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 xml:space="preserve">               1 513   </w:t>
            </w:r>
          </w:p>
        </w:tc>
      </w:tr>
    </w:tbl>
    <w:p w:rsidR="00326133" w:rsidRDefault="00326133">
      <w:pPr>
        <w:tabs>
          <w:tab w:val="left" w:pos="5012"/>
          <w:tab w:val="left" w:pos="6672"/>
          <w:tab w:val="left" w:pos="8332"/>
        </w:tabs>
        <w:ind w:left="52"/>
        <w:rPr>
          <w:rFonts w:ascii="Arial" w:hAnsi="Arial" w:cs="Arial"/>
          <w:sz w:val="20"/>
          <w:szCs w:val="20"/>
        </w:rPr>
      </w:pPr>
    </w:p>
    <w:p w:rsidR="00326133" w:rsidRDefault="00326133">
      <w:pPr>
        <w:tabs>
          <w:tab w:val="left" w:pos="5012"/>
          <w:tab w:val="left" w:pos="6672"/>
          <w:tab w:val="left" w:pos="8332"/>
        </w:tabs>
        <w:ind w:left="5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tbl>
      <w:tblPr>
        <w:tblW w:w="9940" w:type="dxa"/>
        <w:tblInd w:w="52" w:type="dxa"/>
        <w:tblCellMar>
          <w:left w:w="70" w:type="dxa"/>
          <w:right w:w="70" w:type="dxa"/>
        </w:tblCellMar>
        <w:tblLook w:val="0000" w:firstRow="0" w:lastRow="0" w:firstColumn="0" w:lastColumn="0" w:noHBand="0" w:noVBand="0"/>
      </w:tblPr>
      <w:tblGrid>
        <w:gridCol w:w="4960"/>
        <w:gridCol w:w="1660"/>
        <w:gridCol w:w="1660"/>
        <w:gridCol w:w="1660"/>
      </w:tblGrid>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Rentabilité économique (approche 1)</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7,31%</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5,30%</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6,83%</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Rentabilité économique (approche 2)</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7,57%</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5,57%</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7,62%</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Rentabilité des capitaux propres Groupe</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11,58%</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10,51%</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11,67%</w:t>
            </w:r>
          </w:p>
        </w:tc>
      </w:tr>
      <w:tr w:rsidR="00326133">
        <w:trPr>
          <w:trHeight w:val="255"/>
        </w:trPr>
        <w:tc>
          <w:tcPr>
            <w:tcW w:w="4960" w:type="dxa"/>
            <w:tcBorders>
              <w:top w:val="nil"/>
              <w:left w:val="nil"/>
              <w:bottom w:val="nil"/>
              <w:right w:val="nil"/>
            </w:tcBorders>
            <w:noWrap/>
            <w:vAlign w:val="bottom"/>
          </w:tcPr>
          <w:p w:rsidR="00326133" w:rsidRDefault="00326133">
            <w:pPr>
              <w:rPr>
                <w:rFonts w:ascii="Arial" w:hAnsi="Arial" w:cs="Arial"/>
                <w:b/>
                <w:bCs/>
                <w:sz w:val="20"/>
                <w:szCs w:val="20"/>
              </w:rPr>
            </w:pPr>
            <w:r>
              <w:rPr>
                <w:rFonts w:ascii="Arial" w:hAnsi="Arial" w:cs="Arial"/>
                <w:b/>
                <w:bCs/>
                <w:sz w:val="20"/>
                <w:szCs w:val="20"/>
              </w:rPr>
              <w:t>Taux de marge opérationnelle</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8,00%</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7,26%</w:t>
            </w:r>
          </w:p>
        </w:tc>
        <w:tc>
          <w:tcPr>
            <w:tcW w:w="1660" w:type="dxa"/>
            <w:tcBorders>
              <w:top w:val="nil"/>
              <w:left w:val="nil"/>
              <w:bottom w:val="nil"/>
              <w:right w:val="nil"/>
            </w:tcBorders>
            <w:noWrap/>
            <w:vAlign w:val="bottom"/>
          </w:tcPr>
          <w:p w:rsidR="00326133" w:rsidRDefault="00326133">
            <w:pPr>
              <w:jc w:val="right"/>
              <w:rPr>
                <w:rFonts w:ascii="Arial" w:hAnsi="Arial" w:cs="Arial"/>
                <w:b/>
                <w:bCs/>
                <w:sz w:val="20"/>
                <w:szCs w:val="20"/>
              </w:rPr>
            </w:pPr>
            <w:r>
              <w:rPr>
                <w:rFonts w:ascii="Arial" w:hAnsi="Arial" w:cs="Arial"/>
                <w:b/>
                <w:bCs/>
                <w:sz w:val="20"/>
                <w:szCs w:val="20"/>
              </w:rPr>
              <w:t>7,52%</w:t>
            </w:r>
          </w:p>
        </w:tc>
      </w:tr>
    </w:tbl>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rPr>
          <w:sz w:val="23"/>
          <w:szCs w:val="23"/>
        </w:rPr>
      </w:pPr>
      <w:r>
        <w:rPr>
          <w:b/>
          <w:bCs/>
          <w:sz w:val="23"/>
          <w:szCs w:val="23"/>
        </w:rPr>
        <w:t>2. Coût moyen pondéré du capital de la société de Peletier</w:t>
      </w:r>
      <w:r>
        <w:rPr>
          <w:sz w:val="23"/>
          <w:szCs w:val="23"/>
        </w:rPr>
        <w:t xml:space="preserve"> (annexe 2)</w:t>
      </w:r>
    </w:p>
    <w:p w:rsidR="008B36C7" w:rsidRDefault="008B36C7">
      <w:pPr>
        <w:widowControl w:val="0"/>
        <w:autoSpaceDE w:val="0"/>
        <w:autoSpaceDN w:val="0"/>
        <w:adjustRightInd w:val="0"/>
        <w:rPr>
          <w:sz w:val="23"/>
          <w:szCs w:val="23"/>
        </w:rPr>
      </w:pPr>
    </w:p>
    <w:p w:rsidR="00326133" w:rsidRDefault="00326133">
      <w:pPr>
        <w:widowControl w:val="0"/>
        <w:autoSpaceDE w:val="0"/>
        <w:autoSpaceDN w:val="0"/>
        <w:adjustRightInd w:val="0"/>
        <w:jc w:val="both"/>
        <w:rPr>
          <w:sz w:val="23"/>
          <w:szCs w:val="23"/>
        </w:rPr>
      </w:pPr>
      <w:r>
        <w:rPr>
          <w:position w:val="-24"/>
          <w:sz w:val="23"/>
          <w:szCs w:val="23"/>
        </w:rPr>
        <w:object w:dxaOrig="2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v:imagedata r:id="rId8" o:title=""/>
          </v:shape>
          <o:OLEObject Type="Embed" ProgID="Equation.DSMT4" ShapeID="_x0000_i1025" DrawAspect="Content" ObjectID="_1458246660" r:id="rId9"/>
        </w:object>
      </w:r>
      <w:r>
        <w:rPr>
          <w:sz w:val="23"/>
          <w:szCs w:val="23"/>
        </w:rPr>
        <w:t xml:space="preserve"> , d’où : </w:t>
      </w:r>
      <w:r>
        <w:rPr>
          <w:position w:val="-54"/>
          <w:sz w:val="23"/>
          <w:szCs w:val="23"/>
        </w:rPr>
        <w:object w:dxaOrig="2140" w:dyaOrig="1260">
          <v:shape id="_x0000_i1026" type="#_x0000_t75" style="width:107.25pt;height:63pt" o:ole="">
            <v:imagedata r:id="rId10" o:title=""/>
          </v:shape>
          <o:OLEObject Type="Embed" ProgID="Equation.DSMT4" ShapeID="_x0000_i1026" DrawAspect="Content" ObjectID="_1458246661" r:id="rId11"/>
        </w:object>
      </w:r>
    </w:p>
    <w:p w:rsidR="00326133" w:rsidRDefault="00326133">
      <w:pPr>
        <w:widowControl w:val="0"/>
        <w:autoSpaceDE w:val="0"/>
        <w:autoSpaceDN w:val="0"/>
        <w:adjustRightInd w:val="0"/>
        <w:jc w:val="both"/>
        <w:rPr>
          <w:sz w:val="23"/>
          <w:szCs w:val="23"/>
        </w:rPr>
      </w:pPr>
      <w:r>
        <w:rPr>
          <w:position w:val="-54"/>
          <w:sz w:val="23"/>
          <w:szCs w:val="23"/>
        </w:rPr>
        <w:object w:dxaOrig="3140" w:dyaOrig="1260">
          <v:shape id="_x0000_i1027" type="#_x0000_t75" style="width:156.75pt;height:63pt" o:ole="">
            <v:imagedata r:id="rId12" o:title=""/>
          </v:shape>
          <o:OLEObject Type="Embed" ProgID="Equation.DSMT4" ShapeID="_x0000_i1027" DrawAspect="Content" ObjectID="_1458246662" r:id="rId13"/>
        </w:objec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 w:val="23"/>
          <w:szCs w:val="23"/>
        </w:rPr>
      </w:pPr>
      <w:r>
        <w:rPr>
          <w:position w:val="-54"/>
          <w:sz w:val="23"/>
          <w:szCs w:val="23"/>
        </w:rPr>
        <w:object w:dxaOrig="3140" w:dyaOrig="1260">
          <v:shape id="_x0000_i1028" type="#_x0000_t75" style="width:156.75pt;height:63pt" o:ole="">
            <v:imagedata r:id="rId14" o:title=""/>
          </v:shape>
          <o:OLEObject Type="Embed" ProgID="Equation.DSMT4" ShapeID="_x0000_i1028" DrawAspect="Content" ObjectID="_1458246663" r:id="rId15"/>
        </w:objec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 w:val="23"/>
          <w:szCs w:val="23"/>
        </w:rPr>
      </w:pPr>
      <w:r>
        <w:rPr>
          <w:position w:val="-54"/>
          <w:sz w:val="23"/>
          <w:szCs w:val="23"/>
        </w:rPr>
        <w:object w:dxaOrig="3180" w:dyaOrig="1260">
          <v:shape id="_x0000_i1029" type="#_x0000_t75" style="width:159pt;height:63pt" o:ole="">
            <v:imagedata r:id="rId16" o:title=""/>
          </v:shape>
          <o:OLEObject Type="Embed" ProgID="Equation.DSMT4" ShapeID="_x0000_i1029" DrawAspect="Content" ObjectID="_1458246664" r:id="rId17"/>
        </w:objec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Cs w:val="23"/>
        </w:rPr>
      </w:pPr>
      <w:r>
        <w:rPr>
          <w:szCs w:val="23"/>
        </w:rPr>
        <w:t>Le bêta de l’activité du secteur peut donc être estimé à 0,8.</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 w:val="23"/>
          <w:szCs w:val="23"/>
        </w:rPr>
      </w:pPr>
      <w:r>
        <w:rPr>
          <w:szCs w:val="23"/>
        </w:rPr>
        <w:t>On en déduit alors le bêta de l’action de la société non cotée :</w:t>
      </w:r>
      <w:r>
        <w:rPr>
          <w:sz w:val="23"/>
          <w:szCs w:val="23"/>
        </w:rPr>
        <w:t xml:space="preserve"> </w:t>
      </w:r>
    </w:p>
    <w:p w:rsidR="00326133" w:rsidRDefault="00326133">
      <w:pPr>
        <w:widowControl w:val="0"/>
        <w:autoSpaceDE w:val="0"/>
        <w:autoSpaceDN w:val="0"/>
        <w:adjustRightInd w:val="0"/>
        <w:jc w:val="both"/>
        <w:rPr>
          <w:sz w:val="23"/>
          <w:szCs w:val="23"/>
        </w:rPr>
      </w:pPr>
      <w:r>
        <w:rPr>
          <w:position w:val="-24"/>
          <w:sz w:val="23"/>
          <w:szCs w:val="23"/>
        </w:rPr>
        <w:object w:dxaOrig="5440" w:dyaOrig="620">
          <v:shape id="_x0000_i1030" type="#_x0000_t75" style="width:272.25pt;height:30.75pt" o:ole="">
            <v:imagedata r:id="rId18" o:title=""/>
          </v:shape>
          <o:OLEObject Type="Embed" ProgID="Equation.DSMT4" ShapeID="_x0000_i1030" DrawAspect="Content" ObjectID="_1458246665" r:id="rId19"/>
        </w:object>
      </w:r>
    </w:p>
    <w:p w:rsidR="00326133" w:rsidRDefault="00326133">
      <w:pPr>
        <w:widowControl w:val="0"/>
        <w:autoSpaceDE w:val="0"/>
        <w:autoSpaceDN w:val="0"/>
        <w:adjustRightInd w:val="0"/>
        <w:jc w:val="both"/>
        <w:rPr>
          <w:sz w:val="23"/>
          <w:szCs w:val="23"/>
        </w:rPr>
      </w:pPr>
    </w:p>
    <w:p w:rsidR="00326133" w:rsidRDefault="00326133">
      <w:pPr>
        <w:pStyle w:val="Corpsdetexte"/>
        <w:widowControl w:val="0"/>
        <w:autoSpaceDE w:val="0"/>
        <w:autoSpaceDN w:val="0"/>
        <w:adjustRightInd w:val="0"/>
        <w:spacing w:line="240" w:lineRule="auto"/>
        <w:rPr>
          <w:szCs w:val="23"/>
        </w:rPr>
      </w:pPr>
      <w:r>
        <w:rPr>
          <w:szCs w:val="23"/>
        </w:rPr>
        <w:t>Coût des fonds propres (MEDAF) = taux sans risque + bêta de l’action × prime de risque du marché</w:t>
      </w:r>
    </w:p>
    <w:p w:rsidR="00326133" w:rsidRDefault="00326133">
      <w:pPr>
        <w:widowControl w:val="0"/>
        <w:autoSpaceDE w:val="0"/>
        <w:autoSpaceDN w:val="0"/>
        <w:adjustRightInd w:val="0"/>
        <w:jc w:val="both"/>
        <w:rPr>
          <w:szCs w:val="23"/>
        </w:rPr>
      </w:pPr>
      <w:r>
        <w:rPr>
          <w:szCs w:val="23"/>
        </w:rPr>
        <w:t>R</w:t>
      </w:r>
      <w:r>
        <w:rPr>
          <w:szCs w:val="23"/>
          <w:vertAlign w:val="subscript"/>
        </w:rPr>
        <w:t>c</w:t>
      </w:r>
      <w:r>
        <w:rPr>
          <w:szCs w:val="23"/>
        </w:rPr>
        <w:t xml:space="preserve"> = 4 % + 1,22×6 % = 11,32 %</w: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 w:val="23"/>
          <w:szCs w:val="23"/>
        </w:rPr>
      </w:pPr>
      <w:r>
        <w:rPr>
          <w:szCs w:val="23"/>
        </w:rPr>
        <w:t>Coût des fonds propres majoré de la prime d’</w:t>
      </w:r>
      <w:proofErr w:type="spellStart"/>
      <w:r>
        <w:rPr>
          <w:szCs w:val="23"/>
        </w:rPr>
        <w:t>illiquidité</w:t>
      </w:r>
      <w:proofErr w:type="spellEnd"/>
      <w:r>
        <w:rPr>
          <w:sz w:val="23"/>
          <w:szCs w:val="23"/>
        </w:rPr>
        <w:t> : R</w:t>
      </w:r>
      <w:r>
        <w:rPr>
          <w:sz w:val="23"/>
          <w:szCs w:val="23"/>
          <w:vertAlign w:val="subscript"/>
        </w:rPr>
        <w:t>c</w:t>
      </w:r>
      <w:r>
        <w:rPr>
          <w:sz w:val="23"/>
          <w:szCs w:val="23"/>
        </w:rPr>
        <w:t xml:space="preserve"> = 11,32 % + 4 % = 15,32 %</w: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 w:val="23"/>
          <w:szCs w:val="23"/>
        </w:rPr>
      </w:pPr>
      <w:r>
        <w:rPr>
          <w:szCs w:val="23"/>
        </w:rPr>
        <w:t>Coût moyen pondéré du capital</w:t>
      </w:r>
      <w:r>
        <w:rPr>
          <w:sz w:val="23"/>
          <w:szCs w:val="23"/>
        </w:rPr>
        <w:t xml:space="preserve"> : </w:t>
      </w:r>
      <w:r>
        <w:rPr>
          <w:position w:val="-24"/>
          <w:sz w:val="23"/>
          <w:szCs w:val="23"/>
        </w:rPr>
        <w:object w:dxaOrig="4239" w:dyaOrig="620">
          <v:shape id="_x0000_i1031" type="#_x0000_t75" style="width:212.25pt;height:30.75pt" o:ole="">
            <v:imagedata r:id="rId20" o:title=""/>
          </v:shape>
          <o:OLEObject Type="Embed" ProgID="Equation.DSMT4" ShapeID="_x0000_i1031" DrawAspect="Content" ObjectID="_1458246666" r:id="rId21"/>
        </w:objec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Cs w:val="23"/>
        </w:rPr>
      </w:pPr>
      <w:r>
        <w:rPr>
          <w:szCs w:val="23"/>
        </w:rPr>
        <w:t>D’après l’énoncé, VDF/VCP = 0,7. Or, par définition, VCP + VDF = 1</w:t>
      </w:r>
    </w:p>
    <w:p w:rsidR="00326133" w:rsidRDefault="00326133">
      <w:pPr>
        <w:widowControl w:val="0"/>
        <w:autoSpaceDE w:val="0"/>
        <w:autoSpaceDN w:val="0"/>
        <w:adjustRightInd w:val="0"/>
        <w:jc w:val="both"/>
        <w:rPr>
          <w:szCs w:val="23"/>
        </w:rPr>
      </w:pPr>
      <w:r>
        <w:rPr>
          <w:szCs w:val="23"/>
        </w:rPr>
        <w:lastRenderedPageBreak/>
        <w:t>D’où : VCP + 0,7×VCP = 1 → VCP = 1/1,7 = 0,59 ≈ 60 %</w: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Cs w:val="23"/>
        </w:rPr>
      </w:pPr>
      <w:r>
        <w:rPr>
          <w:szCs w:val="23"/>
        </w:rPr>
        <w:t xml:space="preserve">Soit un coût moyen pondéré du capital de : </w:t>
      </w:r>
    </w:p>
    <w:p w:rsidR="00326133" w:rsidRDefault="00326133">
      <w:pPr>
        <w:widowControl w:val="0"/>
        <w:autoSpaceDE w:val="0"/>
        <w:autoSpaceDN w:val="0"/>
        <w:adjustRightInd w:val="0"/>
        <w:jc w:val="both"/>
        <w:rPr>
          <w:szCs w:val="23"/>
        </w:rPr>
      </w:pPr>
      <w:r>
        <w:rPr>
          <w:szCs w:val="23"/>
        </w:rPr>
        <w:t>CMPC = 16 % × 60 % + 8 % × 2/3 × 40 % = 11,73 %.</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i/>
          <w:szCs w:val="23"/>
        </w:rPr>
      </w:pPr>
      <w:r>
        <w:rPr>
          <w:i/>
          <w:szCs w:val="23"/>
        </w:rPr>
        <w:t xml:space="preserve">Pour le candidat n’ayant pas retenu un coût des fonds propres de 16%, le résultat est : </w:t>
      </w:r>
    </w:p>
    <w:p w:rsidR="00326133" w:rsidRDefault="00326133">
      <w:pPr>
        <w:widowControl w:val="0"/>
        <w:autoSpaceDE w:val="0"/>
        <w:autoSpaceDN w:val="0"/>
        <w:adjustRightInd w:val="0"/>
        <w:jc w:val="both"/>
        <w:rPr>
          <w:i/>
          <w:szCs w:val="23"/>
        </w:rPr>
      </w:pPr>
      <w:r>
        <w:rPr>
          <w:i/>
          <w:szCs w:val="23"/>
        </w:rPr>
        <w:t>CMPC = 15,32 % × 60 % + 8 % × 2/3 × 40 % = 11,32 %.</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rPr>
          <w:szCs w:val="23"/>
        </w:rPr>
      </w:pPr>
      <w:r>
        <w:rPr>
          <w:b/>
          <w:bCs/>
          <w:szCs w:val="23"/>
        </w:rPr>
        <w:t>3. Construction du plan d’affaires (</w:t>
      </w:r>
      <w:r>
        <w:rPr>
          <w:b/>
          <w:bCs/>
          <w:i/>
          <w:iCs/>
          <w:szCs w:val="23"/>
        </w:rPr>
        <w:t>business plan</w:t>
      </w:r>
      <w:r>
        <w:rPr>
          <w:b/>
          <w:bCs/>
          <w:szCs w:val="23"/>
        </w:rPr>
        <w:t>) de Peletier</w:t>
      </w:r>
      <w:r>
        <w:rPr>
          <w:szCs w:val="23"/>
        </w:rPr>
        <w:t xml:space="preserve"> (annexe 3)</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Variation du BFR en N+1 = BFR N+1 – BFR N</w:t>
      </w:r>
    </w:p>
    <w:p w:rsidR="00326133" w:rsidRDefault="00326133">
      <w:pPr>
        <w:widowControl w:val="0"/>
        <w:autoSpaceDE w:val="0"/>
        <w:autoSpaceDN w:val="0"/>
        <w:adjustRightInd w:val="0"/>
        <w:jc w:val="both"/>
        <w:rPr>
          <w:szCs w:val="23"/>
        </w:rPr>
      </w:pPr>
      <w:r>
        <w:rPr>
          <w:szCs w:val="23"/>
        </w:rPr>
        <w:t>BFR en N = [5 630 + 6 300 + 2 000] – [470 + 5 520 + 3 780] = 4 160</w:t>
      </w:r>
    </w:p>
    <w:p w:rsidR="00326133" w:rsidRDefault="00326133">
      <w:pPr>
        <w:widowControl w:val="0"/>
        <w:autoSpaceDE w:val="0"/>
        <w:autoSpaceDN w:val="0"/>
        <w:adjustRightInd w:val="0"/>
        <w:jc w:val="both"/>
        <w:rPr>
          <w:sz w:val="23"/>
          <w:szCs w:val="23"/>
        </w:rPr>
      </w:pPr>
    </w:p>
    <w:tbl>
      <w:tblPr>
        <w:tblW w:w="8560" w:type="dxa"/>
        <w:tblCellMar>
          <w:left w:w="0" w:type="dxa"/>
          <w:right w:w="0" w:type="dxa"/>
        </w:tblCellMar>
        <w:tblLook w:val="0000" w:firstRow="0" w:lastRow="0" w:firstColumn="0" w:lastColumn="0" w:noHBand="0" w:noVBand="0"/>
      </w:tblPr>
      <w:tblGrid>
        <w:gridCol w:w="2297"/>
        <w:gridCol w:w="1300"/>
        <w:gridCol w:w="1280"/>
        <w:gridCol w:w="1260"/>
        <w:gridCol w:w="1260"/>
        <w:gridCol w:w="1260"/>
      </w:tblGrid>
      <w:tr w:rsidR="00326133">
        <w:trPr>
          <w:trHeight w:val="255"/>
        </w:trPr>
        <w:tc>
          <w:tcPr>
            <w:tcW w:w="220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 </w:t>
            </w:r>
          </w:p>
        </w:tc>
        <w:tc>
          <w:tcPr>
            <w:tcW w:w="130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N+1</w:t>
            </w:r>
          </w:p>
        </w:tc>
        <w:tc>
          <w:tcPr>
            <w:tcW w:w="128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N+2</w:t>
            </w:r>
          </w:p>
        </w:tc>
        <w:tc>
          <w:tcPr>
            <w:tcW w:w="126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N+3</w:t>
            </w:r>
          </w:p>
        </w:tc>
        <w:tc>
          <w:tcPr>
            <w:tcW w:w="126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N+4</w:t>
            </w:r>
          </w:p>
        </w:tc>
        <w:tc>
          <w:tcPr>
            <w:tcW w:w="1260" w:type="dxa"/>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N+5</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Chiffre d'affaires</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44 000,00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50 600,00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55 660,00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58 443,00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59 611,86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Croissance</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right"/>
              <w:rPr>
                <w:sz w:val="23"/>
                <w:szCs w:val="23"/>
              </w:rPr>
            </w:pPr>
            <w:r>
              <w:rPr>
                <w:sz w:val="23"/>
                <w:szCs w:val="23"/>
              </w:rPr>
              <w:t>15%</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right"/>
              <w:rPr>
                <w:sz w:val="23"/>
                <w:szCs w:val="23"/>
              </w:rPr>
            </w:pPr>
            <w:r>
              <w:rPr>
                <w:sz w:val="23"/>
                <w:szCs w:val="23"/>
              </w:rPr>
              <w:t>10%</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right"/>
              <w:rPr>
                <w:sz w:val="23"/>
                <w:szCs w:val="23"/>
              </w:rPr>
            </w:pPr>
            <w:r>
              <w:rPr>
                <w:sz w:val="23"/>
                <w:szCs w:val="23"/>
              </w:rPr>
              <w:t>5%</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right"/>
              <w:rPr>
                <w:sz w:val="23"/>
                <w:szCs w:val="23"/>
              </w:rPr>
            </w:pPr>
            <w:r>
              <w:rPr>
                <w:sz w:val="23"/>
                <w:szCs w:val="23"/>
              </w:rPr>
              <w:t>2%</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BFR (10% du CA)</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4 400,00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5 060,00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5 566,00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5 844,30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5 961,19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Δ BFR</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240,00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660,00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506,00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278,30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116,89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Tx marge opérationnelle</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8%</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9%</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10%</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10%</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10%</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Résultat opérationnel</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3 520,00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4 554,00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5 566,00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5 844,30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5 961,19   </w:t>
            </w:r>
          </w:p>
        </w:tc>
      </w:tr>
      <w:tr w:rsidR="00326133">
        <w:trPr>
          <w:trHeight w:val="255"/>
        </w:trPr>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Impôts (33 1/3%)</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1 173,33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1 518,00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1 855,33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1 948,10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1 987,06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Résultat après impôt</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2 346,67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3 036,00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3 710,67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3 896,20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3 974,12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Δ BFR</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240,00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660,00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506,00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278,30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116,89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Dotation </w:t>
            </w:r>
            <w:proofErr w:type="gramStart"/>
            <w:r>
              <w:rPr>
                <w:sz w:val="23"/>
                <w:szCs w:val="23"/>
              </w:rPr>
              <w:t xml:space="preserve">aux </w:t>
            </w:r>
            <w:proofErr w:type="spellStart"/>
            <w:r>
              <w:rPr>
                <w:sz w:val="23"/>
                <w:szCs w:val="23"/>
              </w:rPr>
              <w:t>amort</w:t>
            </w:r>
            <w:proofErr w:type="spellEnd"/>
            <w:proofErr w:type="gramEnd"/>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1 760,00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2 024,00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2 226,40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2 337,72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2 384,47   </w:t>
            </w:r>
          </w:p>
        </w:tc>
      </w:tr>
      <w:tr w:rsidR="00326133">
        <w:trPr>
          <w:trHeight w:val="255"/>
        </w:trPr>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Investissements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1 760,00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2 024,00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2 226,40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2 337,72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rPr>
                <w:sz w:val="23"/>
                <w:szCs w:val="23"/>
              </w:rPr>
            </w:pPr>
            <w:r>
              <w:rPr>
                <w:sz w:val="23"/>
                <w:szCs w:val="23"/>
              </w:rPr>
              <w:t xml:space="preserve">-   2 384,47   </w:t>
            </w:r>
          </w:p>
        </w:tc>
      </w:tr>
      <w:tr w:rsidR="00326133">
        <w:trPr>
          <w:trHeight w:val="255"/>
        </w:trPr>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Flux trésorerie dispo.</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2 106,67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2 376,00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3 204,67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3 617,90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b/>
                <w:bCs/>
                <w:sz w:val="23"/>
                <w:szCs w:val="23"/>
              </w:rPr>
            </w:pPr>
            <w:r>
              <w:rPr>
                <w:b/>
                <w:bCs/>
                <w:sz w:val="23"/>
                <w:szCs w:val="23"/>
              </w:rPr>
              <w:t xml:space="preserve">    3 857,24   </w:t>
            </w:r>
          </w:p>
        </w:tc>
      </w:tr>
    </w:tbl>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rPr>
          <w:szCs w:val="23"/>
        </w:rPr>
      </w:pPr>
      <w:r>
        <w:rPr>
          <w:b/>
          <w:bCs/>
          <w:szCs w:val="23"/>
        </w:rPr>
        <w:t>4. Évaluation par actualisation des flux de trésorerie disponibles de Peletier</w:t>
      </w:r>
      <w:r>
        <w:rPr>
          <w:szCs w:val="23"/>
        </w:rPr>
        <w:t xml:space="preserve"> (annexe 4)</w:t>
      </w:r>
    </w:p>
    <w:p w:rsidR="008B36C7" w:rsidRDefault="008B36C7">
      <w:pPr>
        <w:widowControl w:val="0"/>
        <w:autoSpaceDE w:val="0"/>
        <w:autoSpaceDN w:val="0"/>
        <w:adjustRightInd w:val="0"/>
        <w:rPr>
          <w:szCs w:val="23"/>
        </w:rPr>
      </w:pPr>
    </w:p>
    <w:p w:rsidR="00326133" w:rsidRDefault="00326133">
      <w:pPr>
        <w:widowControl w:val="0"/>
        <w:autoSpaceDE w:val="0"/>
        <w:autoSpaceDN w:val="0"/>
        <w:adjustRightInd w:val="0"/>
        <w:jc w:val="both"/>
        <w:rPr>
          <w:sz w:val="23"/>
          <w:szCs w:val="23"/>
        </w:rPr>
      </w:pPr>
      <w:r>
        <w:rPr>
          <w:position w:val="-36"/>
          <w:sz w:val="23"/>
          <w:szCs w:val="23"/>
        </w:rPr>
        <w:object w:dxaOrig="9260" w:dyaOrig="760">
          <v:shape id="_x0000_i1032" type="#_x0000_t75" style="width:462.75pt;height:38.25pt" o:ole="">
            <v:imagedata r:id="rId22" o:title=""/>
          </v:shape>
          <o:OLEObject Type="Embed" ProgID="Equation.DSMT4" ShapeID="_x0000_i1032" DrawAspect="Content" ObjectID="_1458246667" r:id="rId23"/>
        </w:object>
      </w:r>
    </w:p>
    <w:p w:rsidR="00326133" w:rsidRDefault="00326133">
      <w:pPr>
        <w:widowControl w:val="0"/>
        <w:autoSpaceDE w:val="0"/>
        <w:autoSpaceDN w:val="0"/>
        <w:adjustRightInd w:val="0"/>
        <w:jc w:val="both"/>
        <w:rPr>
          <w:sz w:val="23"/>
          <w:szCs w:val="23"/>
        </w:rPr>
      </w:pPr>
      <w:r>
        <w:rPr>
          <w:szCs w:val="23"/>
        </w:rPr>
        <w:t>Estimation de la valeur terminale</w:t>
      </w:r>
      <w:r>
        <w:rPr>
          <w:sz w:val="23"/>
          <w:szCs w:val="23"/>
        </w:rPr>
        <w:t xml:space="preserve"> (VT</w:t>
      </w:r>
      <w:r>
        <w:rPr>
          <w:sz w:val="23"/>
          <w:szCs w:val="23"/>
          <w:vertAlign w:val="subscript"/>
        </w:rPr>
        <w:t>5</w:t>
      </w:r>
      <w:r>
        <w:rPr>
          <w:sz w:val="23"/>
          <w:szCs w:val="23"/>
        </w:rPr>
        <w:t xml:space="preserve">) : </w:t>
      </w:r>
      <w:r>
        <w:rPr>
          <w:position w:val="-28"/>
          <w:sz w:val="23"/>
          <w:szCs w:val="23"/>
        </w:rPr>
        <w:object w:dxaOrig="4040" w:dyaOrig="660">
          <v:shape id="_x0000_i1033" type="#_x0000_t75" style="width:201.75pt;height:33pt" o:ole="">
            <v:imagedata r:id="rId24" o:title=""/>
          </v:shape>
          <o:OLEObject Type="Embed" ProgID="Equation.DSMT4" ShapeID="_x0000_i1033" DrawAspect="Content" ObjectID="_1458246668" r:id="rId25"/>
        </w:objec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 w:val="23"/>
          <w:szCs w:val="23"/>
        </w:rPr>
      </w:pPr>
      <w:r>
        <w:rPr>
          <w:szCs w:val="23"/>
        </w:rPr>
        <w:t>Actualisation des flux de trésorerie sur les 5 premières années :</w:t>
      </w:r>
      <w:r>
        <w:rPr>
          <w:sz w:val="23"/>
          <w:szCs w:val="23"/>
        </w:rPr>
        <w:t xml:space="preserve"> </w:t>
      </w:r>
    </w:p>
    <w:p w:rsidR="00326133" w:rsidRDefault="00326133">
      <w:pPr>
        <w:widowControl w:val="0"/>
        <w:autoSpaceDE w:val="0"/>
        <w:autoSpaceDN w:val="0"/>
        <w:adjustRightInd w:val="0"/>
        <w:jc w:val="both"/>
        <w:rPr>
          <w:sz w:val="23"/>
          <w:szCs w:val="23"/>
        </w:rPr>
      </w:pPr>
      <w:r>
        <w:rPr>
          <w:position w:val="-36"/>
          <w:sz w:val="23"/>
          <w:szCs w:val="23"/>
        </w:rPr>
        <w:object w:dxaOrig="6160" w:dyaOrig="760">
          <v:shape id="_x0000_i1034" type="#_x0000_t75" style="width:308.25pt;height:38.25pt" o:ole="">
            <v:imagedata r:id="rId26" o:title=""/>
          </v:shape>
          <o:OLEObject Type="Embed" ProgID="Equation.DSMT4" ShapeID="_x0000_i1034" DrawAspect="Content" ObjectID="_1458246669" r:id="rId27"/>
        </w:objec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Cs w:val="23"/>
        </w:rPr>
      </w:pPr>
      <w:r>
        <w:rPr>
          <w:szCs w:val="23"/>
        </w:rPr>
        <w:t>VCP = 10.858 + 38.760×(1,12)</w:t>
      </w:r>
      <w:r>
        <w:rPr>
          <w:szCs w:val="23"/>
          <w:vertAlign w:val="superscript"/>
        </w:rPr>
        <w:t>–5</w:t>
      </w:r>
      <w:r>
        <w:rPr>
          <w:szCs w:val="23"/>
        </w:rPr>
        <w:t xml:space="preserve"> – 320 – 9 880 –2 200 – 990 – 2 200 = 17.261 K€</w:t>
      </w: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rPr>
          <w:szCs w:val="23"/>
        </w:rPr>
      </w:pPr>
      <w:r>
        <w:rPr>
          <w:b/>
          <w:bCs/>
          <w:sz w:val="23"/>
          <w:szCs w:val="23"/>
        </w:rPr>
        <w:br w:type="page"/>
      </w:r>
      <w:r>
        <w:rPr>
          <w:b/>
          <w:bCs/>
          <w:szCs w:val="23"/>
        </w:rPr>
        <w:lastRenderedPageBreak/>
        <w:t>5. Évaluation par comparaison</w:t>
      </w:r>
      <w:r>
        <w:rPr>
          <w:szCs w:val="23"/>
        </w:rPr>
        <w:t xml:space="preserve"> (annexe 5)</w:t>
      </w:r>
    </w:p>
    <w:p w:rsidR="00326133" w:rsidRDefault="00326133">
      <w:pPr>
        <w:widowControl w:val="0"/>
        <w:autoSpaceDE w:val="0"/>
        <w:autoSpaceDN w:val="0"/>
        <w:adjustRightInd w:val="0"/>
        <w:jc w:val="both"/>
        <w:rPr>
          <w:sz w:val="23"/>
          <w:szCs w:val="23"/>
        </w:rPr>
      </w:pPr>
    </w:p>
    <w:tbl>
      <w:tblPr>
        <w:tblW w:w="8140" w:type="dxa"/>
        <w:tblCellMar>
          <w:left w:w="0" w:type="dxa"/>
          <w:right w:w="0" w:type="dxa"/>
        </w:tblCellMar>
        <w:tblLook w:val="0000" w:firstRow="0" w:lastRow="0" w:firstColumn="0" w:lastColumn="0" w:noHBand="0" w:noVBand="0"/>
      </w:tblPr>
      <w:tblGrid>
        <w:gridCol w:w="3340"/>
        <w:gridCol w:w="1200"/>
        <w:gridCol w:w="1200"/>
        <w:gridCol w:w="1200"/>
        <w:gridCol w:w="1200"/>
      </w:tblGrid>
      <w:tr w:rsidR="00326133">
        <w:trPr>
          <w:trHeight w:val="255"/>
        </w:trPr>
        <w:tc>
          <w:tcPr>
            <w:tcW w:w="334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b/>
                <w:bCs/>
                <w:sz w:val="23"/>
                <w:szCs w:val="23"/>
              </w:rPr>
            </w:pPr>
            <w:r>
              <w:rPr>
                <w:b/>
                <w:bCs/>
                <w:sz w:val="23"/>
                <w:szCs w:val="23"/>
              </w:rPr>
              <w:t> </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b/>
                <w:bCs/>
                <w:sz w:val="23"/>
                <w:szCs w:val="23"/>
              </w:rPr>
            </w:pPr>
            <w:r>
              <w:rPr>
                <w:b/>
                <w:bCs/>
                <w:sz w:val="23"/>
                <w:szCs w:val="23"/>
              </w:rPr>
              <w:t>Société A</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b/>
                <w:bCs/>
                <w:sz w:val="23"/>
                <w:szCs w:val="23"/>
              </w:rPr>
            </w:pPr>
            <w:r>
              <w:rPr>
                <w:b/>
                <w:bCs/>
                <w:sz w:val="23"/>
                <w:szCs w:val="23"/>
              </w:rPr>
              <w:t>Société B</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b/>
                <w:bCs/>
                <w:sz w:val="23"/>
                <w:szCs w:val="23"/>
              </w:rPr>
            </w:pPr>
            <w:r>
              <w:rPr>
                <w:b/>
                <w:bCs/>
                <w:sz w:val="23"/>
                <w:szCs w:val="23"/>
              </w:rPr>
              <w:t>Société C</w:t>
            </w:r>
          </w:p>
        </w:tc>
        <w:tc>
          <w:tcPr>
            <w:tcW w:w="1200" w:type="dxa"/>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nil"/>
              <w:right w:val="nil"/>
            </w:tcBorders>
            <w:tcMar>
              <w:top w:w="18" w:type="dxa"/>
              <w:left w:w="18" w:type="dxa"/>
              <w:bottom w:w="0" w:type="dxa"/>
              <w:right w:w="18" w:type="dxa"/>
            </w:tcMar>
          </w:tcPr>
          <w:p w:rsidR="00326133" w:rsidRDefault="00326133">
            <w:pPr>
              <w:jc w:val="both"/>
              <w:rPr>
                <w:sz w:val="23"/>
                <w:szCs w:val="23"/>
              </w:rPr>
            </w:pPr>
            <w:r>
              <w:rPr>
                <w:sz w:val="23"/>
                <w:szCs w:val="23"/>
              </w:rPr>
              <w:t>Résultat opérationnel (ROP)</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60,00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70,00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80,00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nil"/>
              <w:right w:val="nil"/>
            </w:tcBorders>
            <w:tcMar>
              <w:top w:w="18" w:type="dxa"/>
              <w:left w:w="18" w:type="dxa"/>
              <w:bottom w:w="0" w:type="dxa"/>
              <w:right w:w="18" w:type="dxa"/>
            </w:tcMar>
          </w:tcPr>
          <w:p w:rsidR="00326133" w:rsidRDefault="00326133">
            <w:pPr>
              <w:jc w:val="both"/>
              <w:rPr>
                <w:sz w:val="23"/>
                <w:szCs w:val="23"/>
              </w:rPr>
            </w:pPr>
            <w:r>
              <w:rPr>
                <w:sz w:val="23"/>
                <w:szCs w:val="23"/>
              </w:rPr>
              <w:t>Résultat net part du Groupe (RNPG)</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50,00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64,00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45,00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nil"/>
              <w:right w:val="nil"/>
            </w:tcBorders>
            <w:tcMar>
              <w:top w:w="18" w:type="dxa"/>
              <w:left w:w="18" w:type="dxa"/>
              <w:bottom w:w="0" w:type="dxa"/>
              <w:right w:w="18" w:type="dxa"/>
            </w:tcMar>
          </w:tcPr>
          <w:p w:rsidR="00326133" w:rsidRDefault="00326133">
            <w:pPr>
              <w:jc w:val="both"/>
              <w:rPr>
                <w:sz w:val="23"/>
                <w:szCs w:val="23"/>
              </w:rPr>
            </w:pP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nil"/>
              <w:right w:val="nil"/>
            </w:tcBorders>
            <w:tcMar>
              <w:top w:w="18" w:type="dxa"/>
              <w:left w:w="18" w:type="dxa"/>
              <w:bottom w:w="0" w:type="dxa"/>
              <w:right w:w="18" w:type="dxa"/>
            </w:tcMar>
          </w:tcPr>
          <w:p w:rsidR="00326133" w:rsidRDefault="00326133">
            <w:pPr>
              <w:jc w:val="both"/>
              <w:rPr>
                <w:sz w:val="23"/>
                <w:szCs w:val="23"/>
              </w:rPr>
            </w:pPr>
            <w:r>
              <w:rPr>
                <w:sz w:val="23"/>
                <w:szCs w:val="23"/>
              </w:rPr>
              <w:t>VDF (M€)</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200,00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300,00 </w:t>
            </w:r>
          </w:p>
        </w:tc>
        <w:tc>
          <w:tcPr>
            <w:tcW w:w="1200" w:type="dxa"/>
            <w:tcBorders>
              <w:top w:val="nil"/>
              <w:left w:val="nil"/>
              <w:bottom w:val="nil"/>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400,00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single" w:sz="4" w:space="0" w:color="auto"/>
              <w:right w:val="nil"/>
            </w:tcBorders>
            <w:tcMar>
              <w:top w:w="18" w:type="dxa"/>
              <w:left w:w="18" w:type="dxa"/>
              <w:bottom w:w="0" w:type="dxa"/>
              <w:right w:w="18" w:type="dxa"/>
            </w:tcMar>
          </w:tcPr>
          <w:p w:rsidR="00326133" w:rsidRDefault="00326133">
            <w:pPr>
              <w:jc w:val="both"/>
              <w:rPr>
                <w:sz w:val="23"/>
                <w:szCs w:val="23"/>
              </w:rPr>
            </w:pPr>
            <w:r>
              <w:rPr>
                <w:sz w:val="23"/>
                <w:szCs w:val="23"/>
              </w:rPr>
              <w:t>VCP (M€)</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400,00 </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500,00 </w:t>
            </w:r>
          </w:p>
        </w:tc>
        <w:tc>
          <w:tcPr>
            <w:tcW w:w="1200" w:type="dxa"/>
            <w:tcBorders>
              <w:top w:val="nil"/>
              <w:left w:val="nil"/>
              <w:bottom w:val="single" w:sz="4" w:space="0" w:color="auto"/>
              <w:right w:val="nil"/>
            </w:tcBorders>
            <w:tcMar>
              <w:top w:w="18" w:type="dxa"/>
              <w:left w:w="18" w:type="dxa"/>
              <w:bottom w:w="0" w:type="dxa"/>
              <w:right w:w="18" w:type="dxa"/>
            </w:tcMar>
          </w:tcPr>
          <w:p w:rsidR="00326133" w:rsidRDefault="00326133">
            <w:pPr>
              <w:jc w:val="center"/>
              <w:rPr>
                <w:sz w:val="23"/>
                <w:szCs w:val="23"/>
              </w:rPr>
            </w:pPr>
            <w:r>
              <w:rPr>
                <w:sz w:val="23"/>
                <w:szCs w:val="23"/>
              </w:rPr>
              <w:t xml:space="preserve">400,00 </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rPr>
                <w:sz w:val="23"/>
                <w:szCs w:val="23"/>
              </w:rPr>
            </w:pPr>
          </w:p>
        </w:tc>
      </w:tr>
      <w:tr w:rsidR="00326133">
        <w:trPr>
          <w:trHeight w:val="255"/>
        </w:trPr>
        <w:tc>
          <w:tcPr>
            <w:tcW w:w="3340" w:type="dxa"/>
            <w:tcBorders>
              <w:top w:val="nil"/>
              <w:left w:val="nil"/>
              <w:bottom w:val="single" w:sz="4" w:space="0" w:color="auto"/>
              <w:right w:val="nil"/>
            </w:tcBorders>
            <w:tcMar>
              <w:top w:w="18" w:type="dxa"/>
              <w:left w:w="18" w:type="dxa"/>
              <w:bottom w:w="0" w:type="dxa"/>
              <w:right w:w="18" w:type="dxa"/>
            </w:tcMar>
          </w:tcPr>
          <w:p w:rsidR="00326133" w:rsidRDefault="00326133">
            <w:pPr>
              <w:jc w:val="both"/>
              <w:rPr>
                <w:sz w:val="23"/>
                <w:szCs w:val="23"/>
              </w:rPr>
            </w:pPr>
            <w:r>
              <w:rPr>
                <w:sz w:val="23"/>
                <w:szCs w:val="23"/>
              </w:rPr>
              <w:t>Valeur de l'entreprise (VE)</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 xml:space="preserve">600,00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 xml:space="preserve">800,00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 xml:space="preserve">800,00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Moyenne</w:t>
            </w:r>
          </w:p>
        </w:tc>
      </w:tr>
      <w:tr w:rsidR="00326133">
        <w:trPr>
          <w:trHeight w:val="255"/>
        </w:trPr>
        <w:tc>
          <w:tcPr>
            <w:tcW w:w="3340" w:type="dxa"/>
            <w:tcBorders>
              <w:top w:val="single" w:sz="4" w:space="0" w:color="auto"/>
              <w:left w:val="nil"/>
              <w:bottom w:val="nil"/>
              <w:right w:val="nil"/>
            </w:tcBorders>
            <w:tcMar>
              <w:top w:w="18" w:type="dxa"/>
              <w:left w:w="18" w:type="dxa"/>
              <w:bottom w:w="0" w:type="dxa"/>
              <w:right w:w="18" w:type="dxa"/>
            </w:tcMar>
          </w:tcPr>
          <w:p w:rsidR="00326133" w:rsidRDefault="00326133">
            <w:pPr>
              <w:jc w:val="both"/>
              <w:rPr>
                <w:sz w:val="23"/>
                <w:szCs w:val="23"/>
              </w:rPr>
            </w:pPr>
            <w:r>
              <w:rPr>
                <w:sz w:val="23"/>
                <w:szCs w:val="23"/>
              </w:rPr>
              <w:t>VE / ROP</w:t>
            </w:r>
          </w:p>
        </w:tc>
        <w:tc>
          <w:tcPr>
            <w:tcW w:w="0" w:type="auto"/>
            <w:tcBorders>
              <w:top w:val="single" w:sz="4" w:space="0" w:color="auto"/>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10,00</w:t>
            </w:r>
          </w:p>
        </w:tc>
        <w:tc>
          <w:tcPr>
            <w:tcW w:w="0" w:type="auto"/>
            <w:tcBorders>
              <w:top w:val="single" w:sz="4" w:space="0" w:color="auto"/>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11,43</w:t>
            </w:r>
          </w:p>
        </w:tc>
        <w:tc>
          <w:tcPr>
            <w:tcW w:w="0" w:type="auto"/>
            <w:tcBorders>
              <w:top w:val="single" w:sz="4" w:space="0" w:color="auto"/>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10,00</w:t>
            </w:r>
          </w:p>
        </w:tc>
        <w:tc>
          <w:tcPr>
            <w:tcW w:w="0" w:type="auto"/>
            <w:tcBorders>
              <w:top w:val="single" w:sz="4" w:space="0" w:color="auto"/>
              <w:left w:val="nil"/>
              <w:bottom w:val="nil"/>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 xml:space="preserve">10,48 </w:t>
            </w:r>
          </w:p>
        </w:tc>
      </w:tr>
      <w:tr w:rsidR="00326133">
        <w:trPr>
          <w:trHeight w:val="255"/>
        </w:trPr>
        <w:tc>
          <w:tcPr>
            <w:tcW w:w="3340" w:type="dxa"/>
            <w:tcBorders>
              <w:top w:val="nil"/>
              <w:left w:val="nil"/>
              <w:bottom w:val="nil"/>
              <w:right w:val="nil"/>
            </w:tcBorders>
            <w:tcMar>
              <w:top w:w="18" w:type="dxa"/>
              <w:left w:w="18" w:type="dxa"/>
              <w:bottom w:w="0" w:type="dxa"/>
              <w:right w:w="18" w:type="dxa"/>
            </w:tcMar>
          </w:tcPr>
          <w:p w:rsidR="00326133" w:rsidRDefault="00326133">
            <w:pPr>
              <w:jc w:val="both"/>
              <w:rPr>
                <w:sz w:val="23"/>
                <w:szCs w:val="23"/>
              </w:rPr>
            </w:pPr>
            <w:r>
              <w:rPr>
                <w:sz w:val="23"/>
                <w:szCs w:val="23"/>
              </w:rPr>
              <w:t>VCP / RNPG</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8,00</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7,81</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center"/>
              <w:rPr>
                <w:sz w:val="23"/>
                <w:szCs w:val="23"/>
              </w:rPr>
            </w:pPr>
            <w:r>
              <w:rPr>
                <w:sz w:val="23"/>
                <w:szCs w:val="23"/>
              </w:rPr>
              <w:t>8,89</w:t>
            </w:r>
          </w:p>
        </w:tc>
        <w:tc>
          <w:tcPr>
            <w:tcW w:w="0" w:type="auto"/>
            <w:tcBorders>
              <w:top w:val="nil"/>
              <w:left w:val="nil"/>
              <w:bottom w:val="nil"/>
              <w:right w:val="nil"/>
            </w:tcBorders>
            <w:noWrap/>
            <w:tcMar>
              <w:top w:w="18" w:type="dxa"/>
              <w:left w:w="18" w:type="dxa"/>
              <w:bottom w:w="0" w:type="dxa"/>
              <w:right w:w="18" w:type="dxa"/>
            </w:tcMar>
            <w:vAlign w:val="bottom"/>
          </w:tcPr>
          <w:p w:rsidR="00326133" w:rsidRDefault="00326133">
            <w:pPr>
              <w:jc w:val="center"/>
              <w:rPr>
                <w:b/>
                <w:bCs/>
                <w:sz w:val="23"/>
                <w:szCs w:val="23"/>
              </w:rPr>
            </w:pPr>
            <w:r>
              <w:rPr>
                <w:b/>
                <w:bCs/>
                <w:sz w:val="23"/>
                <w:szCs w:val="23"/>
              </w:rPr>
              <w:t xml:space="preserve">8,23 </w:t>
            </w:r>
          </w:p>
        </w:tc>
      </w:tr>
    </w:tbl>
    <w:p w:rsidR="00326133" w:rsidRDefault="00326133">
      <w:pPr>
        <w:widowControl w:val="0"/>
        <w:autoSpaceDE w:val="0"/>
        <w:autoSpaceDN w:val="0"/>
        <w:adjustRightInd w:val="0"/>
        <w:jc w:val="both"/>
        <w:rPr>
          <w:sz w:val="23"/>
          <w:szCs w:val="23"/>
        </w:rPr>
      </w:pPr>
    </w:p>
    <w:p w:rsidR="00326133" w:rsidRDefault="00326133">
      <w:pPr>
        <w:widowControl w:val="0"/>
        <w:autoSpaceDE w:val="0"/>
        <w:autoSpaceDN w:val="0"/>
        <w:adjustRightInd w:val="0"/>
        <w:jc w:val="both"/>
        <w:rPr>
          <w:szCs w:val="23"/>
        </w:rPr>
      </w:pPr>
      <w:r>
        <w:rPr>
          <w:szCs w:val="23"/>
        </w:rPr>
        <w:t>Comparaison sur la base du multiple de résultat opérationnel :</w:t>
      </w:r>
    </w:p>
    <w:p w:rsidR="00326133" w:rsidRDefault="00326133">
      <w:pPr>
        <w:widowControl w:val="0"/>
        <w:autoSpaceDE w:val="0"/>
        <w:autoSpaceDN w:val="0"/>
        <w:adjustRightInd w:val="0"/>
        <w:jc w:val="both"/>
        <w:rPr>
          <w:szCs w:val="23"/>
        </w:rPr>
      </w:pPr>
      <w:r>
        <w:rPr>
          <w:szCs w:val="23"/>
        </w:rPr>
        <w:t>VE (Peletier) = 10,48 × 3 500 = 36 680 K€</w:t>
      </w:r>
    </w:p>
    <w:p w:rsidR="00326133" w:rsidRDefault="00326133">
      <w:pPr>
        <w:widowControl w:val="0"/>
        <w:autoSpaceDE w:val="0"/>
        <w:autoSpaceDN w:val="0"/>
        <w:adjustRightInd w:val="0"/>
        <w:jc w:val="both"/>
        <w:rPr>
          <w:szCs w:val="23"/>
        </w:rPr>
      </w:pPr>
      <w:r>
        <w:rPr>
          <w:szCs w:val="23"/>
        </w:rPr>
        <w:t>VCP (Peletier) = 36 680 – 320 – 9 880 –2 200 – 990 – 2 200 = 21 090 K€</w:t>
      </w:r>
    </w:p>
    <w:p w:rsidR="00326133" w:rsidRDefault="00326133">
      <w:pPr>
        <w:widowControl w:val="0"/>
        <w:autoSpaceDE w:val="0"/>
        <w:autoSpaceDN w:val="0"/>
        <w:adjustRightInd w:val="0"/>
        <w:jc w:val="both"/>
        <w:rPr>
          <w:szCs w:val="23"/>
        </w:rPr>
      </w:pPr>
    </w:p>
    <w:p w:rsidR="00326133" w:rsidRDefault="00326133">
      <w:pPr>
        <w:widowControl w:val="0"/>
        <w:autoSpaceDE w:val="0"/>
        <w:autoSpaceDN w:val="0"/>
        <w:adjustRightInd w:val="0"/>
        <w:jc w:val="both"/>
        <w:rPr>
          <w:szCs w:val="23"/>
        </w:rPr>
      </w:pPr>
      <w:r>
        <w:rPr>
          <w:szCs w:val="23"/>
        </w:rPr>
        <w:t>Comparaison sur la base du multiple de résultat net part du Groupe :</w:t>
      </w:r>
    </w:p>
    <w:p w:rsidR="00326133" w:rsidRDefault="00326133">
      <w:pPr>
        <w:widowControl w:val="0"/>
        <w:autoSpaceDE w:val="0"/>
        <w:autoSpaceDN w:val="0"/>
        <w:adjustRightInd w:val="0"/>
        <w:jc w:val="both"/>
        <w:rPr>
          <w:szCs w:val="23"/>
        </w:rPr>
      </w:pPr>
      <w:r>
        <w:rPr>
          <w:szCs w:val="23"/>
        </w:rPr>
        <w:t>VCP (Peletier) = 8,23 × 2 300 = 18 929 K€</w:t>
      </w:r>
    </w:p>
    <w:p w:rsidR="00326133" w:rsidRDefault="00326133">
      <w:pPr>
        <w:widowControl w:val="0"/>
        <w:autoSpaceDE w:val="0"/>
        <w:autoSpaceDN w:val="0"/>
        <w:adjustRightInd w:val="0"/>
        <w:jc w:val="both"/>
        <w:rPr>
          <w:szCs w:val="23"/>
        </w:rPr>
      </w:pPr>
    </w:p>
    <w:p w:rsidR="00326133" w:rsidRDefault="00326133">
      <w:pPr>
        <w:rPr>
          <w:bCs/>
          <w:szCs w:val="23"/>
        </w:rPr>
      </w:pPr>
      <w:r>
        <w:rPr>
          <w:b/>
          <w:szCs w:val="23"/>
        </w:rPr>
        <w:t>6. Financement de l’opération</w:t>
      </w:r>
      <w:r>
        <w:rPr>
          <w:bCs/>
          <w:szCs w:val="23"/>
        </w:rPr>
        <w:t xml:space="preserve"> (Annexe 6)</w:t>
      </w:r>
    </w:p>
    <w:p w:rsidR="008B36C7" w:rsidRDefault="008B36C7">
      <w:pPr>
        <w:rPr>
          <w:b/>
          <w:szCs w:val="23"/>
        </w:rPr>
      </w:pPr>
    </w:p>
    <w:p w:rsidR="00326133" w:rsidRDefault="00326133">
      <w:pPr>
        <w:jc w:val="both"/>
        <w:rPr>
          <w:szCs w:val="23"/>
        </w:rPr>
      </w:pPr>
      <w:r>
        <w:rPr>
          <w:szCs w:val="23"/>
        </w:rPr>
        <w:t xml:space="preserve">L’entreprise craint une hausse des taux d’intérêt au cours des deux prochains mois. Elle va contracter avec sa banque une opération de terme contre terme emprunt. La banque prend l’engagement de prêter à l’entreprise 15 millions d’euros dans deux mois pour huit mois à un taux fixé dès la signature du </w:t>
      </w:r>
      <w:proofErr w:type="spellStart"/>
      <w:r>
        <w:rPr>
          <w:i/>
          <w:szCs w:val="23"/>
        </w:rPr>
        <w:t>forward-forward</w:t>
      </w:r>
      <w:proofErr w:type="spellEnd"/>
      <w:r>
        <w:rPr>
          <w:i/>
          <w:szCs w:val="23"/>
        </w:rPr>
        <w:t xml:space="preserve"> </w:t>
      </w:r>
      <w:r>
        <w:rPr>
          <w:iCs/>
          <w:szCs w:val="23"/>
        </w:rPr>
        <w:t>emprunteur</w:t>
      </w:r>
      <w:r>
        <w:rPr>
          <w:i/>
          <w:szCs w:val="23"/>
        </w:rPr>
        <w:t>.</w:t>
      </w:r>
    </w:p>
    <w:p w:rsidR="00326133" w:rsidRDefault="00326133">
      <w:pPr>
        <w:jc w:val="both"/>
        <w:rPr>
          <w:szCs w:val="23"/>
        </w:rPr>
      </w:pPr>
    </w:p>
    <w:p w:rsidR="00326133" w:rsidRDefault="00326133">
      <w:pPr>
        <w:jc w:val="both"/>
        <w:rPr>
          <w:szCs w:val="23"/>
        </w:rPr>
      </w:pPr>
      <w:r>
        <w:rPr>
          <w:szCs w:val="23"/>
        </w:rPr>
        <w:t>Pour se couvrir, la banque va, à la signature du contrat, emprunter un certain montant sur le marché monétaire pour une durée de dix mois. Pendant les deux premiers mois, elle va placer ces fonds sur le marché monétaire. A l’échéance de ce placement, elle récupérera les fruits de son investissement pour les prêter à son client.</w:t>
      </w:r>
    </w:p>
    <w:p w:rsidR="00326133" w:rsidRDefault="002C3068">
      <w:pPr>
        <w:jc w:val="both"/>
        <w:rPr>
          <w:sz w:val="23"/>
          <w:szCs w:val="23"/>
        </w:rPr>
      </w:pPr>
      <w:r>
        <w:rPr>
          <w:noProof/>
          <w:sz w:val="23"/>
          <w:szCs w:val="23"/>
        </w:rPr>
        <mc:AlternateContent>
          <mc:Choice Requires="wpc">
            <w:drawing>
              <wp:inline distT="0" distB="0" distL="0" distR="0">
                <wp:extent cx="4191000" cy="1191260"/>
                <wp:effectExtent l="0" t="1270" r="635" b="0"/>
                <wp:docPr id="9"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5"/>
                        <wps:cNvSpPr txBox="1">
                          <a:spLocks noChangeArrowheads="1"/>
                        </wps:cNvSpPr>
                        <wps:spPr bwMode="auto">
                          <a:xfrm>
                            <a:off x="228845" y="114259"/>
                            <a:ext cx="3657207" cy="229048"/>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Emprunt de la banque (5 % sur 10 mois)</w:t>
                              </w:r>
                            </w:p>
                          </w:txbxContent>
                        </wps:txbx>
                        <wps:bodyPr rot="0" vert="horz" wrap="square" lIns="91440" tIns="45720" rIns="91440" bIns="45720" upright="1">
                          <a:noAutofit/>
                        </wps:bodyPr>
                      </wps:wsp>
                      <wps:wsp>
                        <wps:cNvPr id="4" name="Line 6"/>
                        <wps:cNvCnPr/>
                        <wps:spPr bwMode="auto">
                          <a:xfrm>
                            <a:off x="343268" y="427415"/>
                            <a:ext cx="3428362" cy="529"/>
                          </a:xfrm>
                          <a:prstGeom prst="line">
                            <a:avLst/>
                          </a:prstGeom>
                          <a:noFill/>
                          <a:ln w="25400">
                            <a:solidFill>
                              <a:srgbClr val="000000"/>
                            </a:solidFill>
                            <a:round/>
                            <a:headEnd type="stealth" w="lg" len="lg"/>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5" name="Text Box 7"/>
                        <wps:cNvSpPr txBox="1">
                          <a:spLocks noChangeArrowheads="1"/>
                        </wps:cNvSpPr>
                        <wps:spPr bwMode="auto">
                          <a:xfrm>
                            <a:off x="342728" y="541674"/>
                            <a:ext cx="1829143" cy="36764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 xml:space="preserve">Placement de la banque </w:t>
                              </w:r>
                            </w:p>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(4,5% sur 2 mois)</w:t>
                              </w:r>
                            </w:p>
                          </w:txbxContent>
                        </wps:txbx>
                        <wps:bodyPr rot="0" vert="horz" wrap="square" lIns="91440" tIns="45720" rIns="91440" bIns="45720" anchor="t" anchorCtr="0" upright="1">
                          <a:noAutofit/>
                        </wps:bodyPr>
                      </wps:wsp>
                      <wps:wsp>
                        <wps:cNvPr id="6" name="Line 8"/>
                        <wps:cNvCnPr/>
                        <wps:spPr bwMode="auto">
                          <a:xfrm>
                            <a:off x="343268" y="998712"/>
                            <a:ext cx="1714181" cy="529"/>
                          </a:xfrm>
                          <a:prstGeom prst="line">
                            <a:avLst/>
                          </a:prstGeom>
                          <a:noFill/>
                          <a:ln w="25400">
                            <a:solidFill>
                              <a:srgbClr val="000000"/>
                            </a:solidFill>
                            <a:round/>
                            <a:headEnd type="stealth" w="lg" len="lg"/>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7" name="Text Box 9"/>
                        <wps:cNvSpPr txBox="1">
                          <a:spLocks noChangeArrowheads="1"/>
                        </wps:cNvSpPr>
                        <wps:spPr bwMode="auto">
                          <a:xfrm>
                            <a:off x="2285755" y="541674"/>
                            <a:ext cx="1371993" cy="36764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Prêt accordé</w:t>
                              </w:r>
                              <w:r>
                                <w:rPr>
                                  <w:rFonts w:ascii="Tahoma" w:hAnsi="Tahoma" w:cs="Tahoma"/>
                                  <w:b/>
                                  <w:bCs/>
                                  <w:sz w:val="18"/>
                                  <w:szCs w:val="18"/>
                                </w:rPr>
                                <w:br/>
                                <w:t>au client (8 mois)</w:t>
                              </w:r>
                            </w:p>
                          </w:txbxContent>
                        </wps:txbx>
                        <wps:bodyPr rot="0" vert="horz" wrap="square" lIns="91440" tIns="45720" rIns="91440" bIns="45720" anchor="t" anchorCtr="0" upright="1">
                          <a:noAutofit/>
                        </wps:bodyPr>
                      </wps:wsp>
                      <wps:wsp>
                        <wps:cNvPr id="8" name="Line 10"/>
                        <wps:cNvCnPr/>
                        <wps:spPr bwMode="auto">
                          <a:xfrm>
                            <a:off x="2057449" y="998712"/>
                            <a:ext cx="1676400" cy="529"/>
                          </a:xfrm>
                          <a:prstGeom prst="line">
                            <a:avLst/>
                          </a:prstGeom>
                          <a:noFill/>
                          <a:ln w="25400">
                            <a:solidFill>
                              <a:srgbClr val="000000"/>
                            </a:solidFill>
                            <a:round/>
                            <a:headEnd type="stealth" w="lg" len="lg"/>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c:wpc>
                  </a:graphicData>
                </a:graphic>
              </wp:inline>
            </w:drawing>
          </mc:Choice>
          <mc:Fallback>
            <w:pict>
              <v:group id="Zone de dessin 3" o:spid="_x0000_s1026" editas="canvas" style="width:330pt;height:93.8pt;mso-position-horizontal-relative:char;mso-position-vertical-relative:line" coordsize="41910,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">
                <v:shape id="_x0000_s1027" type="#_x0000_t75" style="position:absolute;width:41910;height:11912;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2288;top:1142;width:36572;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1MIA&#10;AADaAAAADwAAAGRycy9kb3ducmV2LnhtbESPT4vCMBTE74LfITxhb5poQaUaRfyzLOzJ6sXbo3m2&#10;xealNLF2v/1mYcHjMDO/Ydbb3taio9ZXjjVMJwoEce5MxYWG6+U0XoLwAdlg7Zg0/JCH7WY4WGNq&#10;3IvP1GWhEBHCPkUNZQhNKqXPS7LoJ64hjt7dtRZDlG0hTYuvCLe1nCk1lxYrjgslNrQvKX9kT6vh&#10;81wtDrK7OZWo5fdxl6jDXF21/hj1uxWIQH14h//bX0ZDAn9X4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7/UwgAAANoAAAAPAAAAAAAAAAAAAAAAAJgCAABkcnMvZG93&#10;bnJldi54bWxQSwUGAAAAAAQABAD1AAAAhwMAAAAA&#10;" filled="f" fillcolor="#ffc" stroked="f">
                  <v:textbo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Emprunt de la banque (5 % sur 10 mois)</w:t>
                        </w:r>
                      </w:p>
                    </w:txbxContent>
                  </v:textbox>
                </v:shape>
                <v:line id="Line 6" o:spid="_x0000_s1029" style="position:absolute;visibility:visible;mso-wrap-style:square" from="3432,4274" to="37716,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GSc8MAAADaAAAADwAAAGRycy9kb3ducmV2LnhtbESP3WoCMRSE7wu+QzhC7zTbUkRWo0hB&#10;kFIKaqt4d9wcN4ubk2WT/fHtjSD0cpiZb5j5srelaKn2hWMFb+MEBHHmdMG5gt/9ejQF4QOyxtIx&#10;KbiRh+Vi8DLHVLuOt9TuQi4ihH2KCkwIVSqlzwxZ9GNXEUfv4mqLIco6l7rGLsJtKd+TZCItFhwX&#10;DFb0aSi77hqrwLVG/pz/vm9aXo+nU/XVUHdolHod9qsZiEB9+A8/2xut4AMeV+IN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xknPDAAAA2gAAAA8AAAAAAAAAAAAA&#10;AAAAoQIAAGRycy9kb3ducmV2LnhtbFBLBQYAAAAABAAEAPkAAACRAwAAAAA=&#10;" strokeweight="2pt">
                  <v:stroke startarrow="classic" startarrowwidth="wide" startarrowlength="long" endarrow="classic" endarrowwidth="wide" endarrowlength="long"/>
                  <v:shadow color="white"/>
                </v:line>
                <v:shape id="Text Box 7" o:spid="_x0000_s1030" type="#_x0000_t202" style="position:absolute;left:3427;top:5416;width:18291;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CO8MA&#10;AADaAAAADwAAAGRycy9kb3ducmV2LnhtbESPQWvCQBSE7wX/w/KE3uquDaaSuoqYVgRPWi+9PbKv&#10;SWj2bchuk/Tfu4LgcZiZb5jVZrSN6KnztWMN85kCQVw4U3Op4fL1+bIE4QOywcYxafgnD5v15GmF&#10;mXEDn6g/h1JECPsMNVQhtJmUvqjIop+5ljh6P66zGKLsSmk6HCLcNvJVqVRarDkuVNjSrqLi9/xn&#10;NexP9Vsu+2+nErU8fmwTlafqovXzdNy+gwg0hkf43j4YDQu4XYk3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aCO8MAAADaAAAADwAAAAAAAAAAAAAAAACYAgAAZHJzL2Rv&#10;d25yZXYueG1sUEsFBgAAAAAEAAQA9QAAAIgDAAAAAA==&#10;" filled="f" fillcolor="#ffc" stroked="f">
                  <v:textbo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 xml:space="preserve">Placement de la banque </w:t>
                        </w:r>
                      </w:p>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(4,5% sur 2 mois)</w:t>
                        </w:r>
                      </w:p>
                    </w:txbxContent>
                  </v:textbox>
                </v:shape>
                <v:line id="Line 8" o:spid="_x0000_s1031" style="position:absolute;visibility:visible;mso-wrap-style:square" from="3432,9987" to="20574,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pn8MAAADaAAAADwAAAGRycy9kb3ducmV2LnhtbESPT2sCMRTE74V+h/AKvdVsPYisG0WE&#10;QilSUKvi7bl5bhY3L8sm+8dvbwShx2FmfsNki8FWoqPGl44VfI4SEMS50yUXCv52Xx9TED4ga6wc&#10;k4IbeVjMX18yTLXreUPdNhQiQtinqMCEUKdS+tyQRT9yNXH0Lq6xGKJsCqkb7CPcVnKcJBNpseS4&#10;YLCmlaH8um2tAtcZ+Xver29aXo+nU/3TUn9olXp/G5YzEIGG8B9+tr+1ggk8rsQb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vqZ/DAAAA2gAAAA8AAAAAAAAAAAAA&#10;AAAAoQIAAGRycy9kb3ducmV2LnhtbFBLBQYAAAAABAAEAPkAAACRAwAAAAA=&#10;" strokeweight="2pt">
                  <v:stroke startarrow="classic" startarrowwidth="wide" startarrowlength="long" endarrow="classic" endarrowwidth="wide" endarrowlength="long"/>
                  <v:shadow color="white"/>
                </v:line>
                <v:shape id="Text Box 9" o:spid="_x0000_s1032" type="#_x0000_t202" style="position:absolute;left:22857;top:5416;width:13720;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518IA&#10;AADaAAAADwAAAGRycy9kb3ducmV2LnhtbESPQWvCQBSE7wX/w/KE3uquBhKJriLaloKnqBdvj+wz&#10;CWbfhuw2pv++Wyh4HGbmG2a9HW0rBup941jDfKZAEJfONFxpuJw/3pYgfEA22DomDT/kYbuZvKwx&#10;N+7BBQ2nUIkIYZ+jhjqELpfSlzVZ9DPXEUfv5nqLIcq+kqbHR4TbVi6USqXFhuNCjR3tayrvp2+r&#10;4bNosoMcrk4lanl83yXqkKqL1q/TcbcCEWgMz/B/+8toyODv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LnXwgAAANoAAAAPAAAAAAAAAAAAAAAAAJgCAABkcnMvZG93&#10;bnJldi54bWxQSwUGAAAAAAQABAD1AAAAhwMAAAAA&#10;" filled="f" fillcolor="#ffc" stroked="f">
                  <v:textbox>
                    <w:txbxContent>
                      <w:p w:rsidR="00326133" w:rsidRDefault="00326133">
                        <w:pPr>
                          <w:autoSpaceDE w:val="0"/>
                          <w:autoSpaceDN w:val="0"/>
                          <w:adjustRightInd w:val="0"/>
                          <w:jc w:val="center"/>
                          <w:rPr>
                            <w:rFonts w:ascii="Tahoma" w:hAnsi="Tahoma" w:cs="Tahoma"/>
                            <w:b/>
                            <w:bCs/>
                            <w:sz w:val="18"/>
                            <w:szCs w:val="18"/>
                          </w:rPr>
                        </w:pPr>
                        <w:r>
                          <w:rPr>
                            <w:rFonts w:ascii="Tahoma" w:hAnsi="Tahoma" w:cs="Tahoma"/>
                            <w:b/>
                            <w:bCs/>
                            <w:sz w:val="18"/>
                            <w:szCs w:val="18"/>
                          </w:rPr>
                          <w:t>Prêt accordé</w:t>
                        </w:r>
                        <w:r>
                          <w:rPr>
                            <w:rFonts w:ascii="Tahoma" w:hAnsi="Tahoma" w:cs="Tahoma"/>
                            <w:b/>
                            <w:bCs/>
                            <w:sz w:val="18"/>
                            <w:szCs w:val="18"/>
                          </w:rPr>
                          <w:br/>
                          <w:t>au client (8 mois)</w:t>
                        </w:r>
                      </w:p>
                    </w:txbxContent>
                  </v:textbox>
                </v:shape>
                <v:line id="Line 10" o:spid="_x0000_s1033" style="position:absolute;visibility:visible;mso-wrap-style:square" from="20574,9987" to="37338,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YdsAAAADaAAAADwAAAGRycy9kb3ducmV2LnhtbERPyWrDMBC9F/IPYgK9NXJ6CMWxEkoh&#10;EEIJ1GkbfJtaU8vEGhlL3v6+OgR6fLw920+2EQN1vnasYL1KQBCXTtdcKfi8HJ5eQPiArLFxTApm&#10;8rDfLR4yTLUb+YOGPFQihrBPUYEJoU2l9KUhi37lWuLI/brOYoiwq6TucIzhtpHPSbKRFmuODQZb&#10;ejNU3vLeKnCDkeefr/dZy9u1KNpTT+N3r9Tjcnrdggg0hX/x3X3UCuLWeCXeAL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8mHbAAAAA2gAAAA8AAAAAAAAAAAAAAAAA&#10;oQIAAGRycy9kb3ducmV2LnhtbFBLBQYAAAAABAAEAPkAAACOAwAAAAA=&#10;" strokeweight="2pt">
                  <v:stroke startarrow="classic" startarrowwidth="wide" startarrowlength="long" endarrow="classic" endarrowwidth="wide" endarrowlength="long"/>
                  <v:shadow color="white"/>
                </v:line>
                <w10:anchorlock/>
              </v:group>
            </w:pict>
          </mc:Fallback>
        </mc:AlternateContent>
      </w:r>
    </w:p>
    <w:p w:rsidR="00326133" w:rsidRDefault="00326133">
      <w:pPr>
        <w:jc w:val="both"/>
        <w:rPr>
          <w:sz w:val="23"/>
          <w:szCs w:val="23"/>
        </w:rPr>
      </w:pPr>
    </w:p>
    <w:p w:rsidR="00326133" w:rsidRDefault="00326133">
      <w:pPr>
        <w:jc w:val="both"/>
        <w:rPr>
          <w:szCs w:val="23"/>
        </w:rPr>
      </w:pPr>
      <w:r>
        <w:rPr>
          <w:szCs w:val="23"/>
        </w:rPr>
        <w:t xml:space="preserve">La banque doit emprunter un montant qui, capitalisé à un taux de 4,5 % pendant deux mois, doit avoir une valeur acquise de 15 000 K€, soit : E = 15 000/ (1 + 4,5 % × 2/12) = </w:t>
      </w:r>
      <w:r w:rsidR="008B36C7">
        <w:rPr>
          <w:szCs w:val="23"/>
        </w:rPr>
        <w:br/>
      </w:r>
      <w:r>
        <w:rPr>
          <w:szCs w:val="23"/>
        </w:rPr>
        <w:t>14 888,34 K€</w:t>
      </w:r>
    </w:p>
    <w:p w:rsidR="00326133" w:rsidRDefault="00326133">
      <w:pPr>
        <w:jc w:val="both"/>
        <w:rPr>
          <w:szCs w:val="23"/>
        </w:rPr>
      </w:pPr>
    </w:p>
    <w:p w:rsidR="00326133" w:rsidRDefault="00326133">
      <w:pPr>
        <w:jc w:val="both"/>
        <w:rPr>
          <w:szCs w:val="23"/>
        </w:rPr>
      </w:pPr>
      <w:r>
        <w:rPr>
          <w:szCs w:val="23"/>
        </w:rPr>
        <w:t xml:space="preserve">La valeur acquise de l’emprunt réalisée par la banque au bout des 10 mois sera égal à : </w:t>
      </w:r>
    </w:p>
    <w:p w:rsidR="00326133" w:rsidRDefault="00326133">
      <w:pPr>
        <w:jc w:val="both"/>
        <w:rPr>
          <w:szCs w:val="23"/>
        </w:rPr>
      </w:pPr>
      <w:r>
        <w:rPr>
          <w:szCs w:val="23"/>
        </w:rPr>
        <w:t>14888,34 × (1 + 5% × 10/12) = 15 508,68 K€</w:t>
      </w:r>
    </w:p>
    <w:p w:rsidR="00326133" w:rsidRDefault="00326133">
      <w:pPr>
        <w:jc w:val="both"/>
        <w:rPr>
          <w:szCs w:val="23"/>
        </w:rPr>
      </w:pPr>
    </w:p>
    <w:p w:rsidR="00326133" w:rsidRDefault="00326133">
      <w:pPr>
        <w:jc w:val="both"/>
        <w:rPr>
          <w:szCs w:val="23"/>
        </w:rPr>
      </w:pPr>
      <w:r>
        <w:rPr>
          <w:szCs w:val="23"/>
        </w:rPr>
        <w:t>Le produit des deux placements réalisés par la banque doit être supérieur ou égal à la valeur de remboursement de son emprunt : 15 000 × (1 + R × 8/12) ≥ 15 505,68 K€</w:t>
      </w:r>
    </w:p>
    <w:p w:rsidR="00326133" w:rsidRDefault="00326133">
      <w:pPr>
        <w:jc w:val="both"/>
        <w:rPr>
          <w:szCs w:val="23"/>
        </w:rPr>
      </w:pPr>
      <w:r>
        <w:rPr>
          <w:szCs w:val="23"/>
        </w:rPr>
        <w:t>Soit R ≥ 5,09 %</w:t>
      </w:r>
    </w:p>
    <w:p w:rsidR="00326133" w:rsidRDefault="00326133">
      <w:pPr>
        <w:jc w:val="both"/>
        <w:rPr>
          <w:szCs w:val="23"/>
        </w:rPr>
      </w:pPr>
    </w:p>
    <w:p w:rsidR="00326133" w:rsidRDefault="00326133">
      <w:pPr>
        <w:jc w:val="both"/>
        <w:rPr>
          <w:szCs w:val="23"/>
        </w:rPr>
      </w:pPr>
      <w:r>
        <w:rPr>
          <w:szCs w:val="23"/>
        </w:rPr>
        <w:lastRenderedPageBreak/>
        <w:t>Vérification :</w:t>
      </w:r>
    </w:p>
    <w:p w:rsidR="00326133" w:rsidRDefault="00326133">
      <w:pPr>
        <w:jc w:val="both"/>
        <w:rPr>
          <w:szCs w:val="23"/>
        </w:rPr>
      </w:pPr>
    </w:p>
    <w:p w:rsidR="00326133" w:rsidRDefault="00326133">
      <w:pPr>
        <w:jc w:val="both"/>
        <w:rPr>
          <w:sz w:val="23"/>
          <w:szCs w:val="23"/>
        </w:rPr>
      </w:pPr>
      <w:r>
        <w:rPr>
          <w:position w:val="-32"/>
          <w:sz w:val="23"/>
          <w:szCs w:val="23"/>
        </w:rPr>
        <w:object w:dxaOrig="3500" w:dyaOrig="740">
          <v:shape id="_x0000_i1035" type="#_x0000_t75" style="width:174.75pt;height:36.75pt" o:ole="">
            <v:imagedata r:id="rId28" o:title=""/>
          </v:shape>
          <o:OLEObject Type="Embed" ProgID="Equation.DSMT4" ShapeID="_x0000_i1035" DrawAspect="Content" ObjectID="_1458246670" r:id="rId29"/>
        </w:object>
      </w:r>
    </w:p>
    <w:p w:rsidR="00326133" w:rsidRDefault="00326133">
      <w:pPr>
        <w:jc w:val="both"/>
        <w:rPr>
          <w:sz w:val="23"/>
          <w:szCs w:val="23"/>
        </w:rPr>
      </w:pPr>
    </w:p>
    <w:p w:rsidR="00326133" w:rsidRDefault="00326133">
      <w:pPr>
        <w:jc w:val="both"/>
        <w:rPr>
          <w:sz w:val="23"/>
          <w:szCs w:val="23"/>
        </w:rPr>
      </w:pPr>
      <w:r>
        <w:rPr>
          <w:position w:val="-56"/>
          <w:sz w:val="23"/>
          <w:szCs w:val="23"/>
        </w:rPr>
        <w:object w:dxaOrig="4040" w:dyaOrig="1240">
          <v:shape id="_x0000_i1036" type="#_x0000_t75" style="width:201.75pt;height:62.25pt" o:ole="">
            <v:imagedata r:id="rId30" o:title=""/>
          </v:shape>
          <o:OLEObject Type="Embed" ProgID="Equation.DSMT4" ShapeID="_x0000_i1036" DrawAspect="Content" ObjectID="_1458246671" r:id="rId31"/>
        </w:object>
      </w:r>
    </w:p>
    <w:p w:rsidR="00326133" w:rsidRDefault="00326133">
      <w:pPr>
        <w:rPr>
          <w:sz w:val="23"/>
          <w:szCs w:val="23"/>
        </w:rPr>
      </w:pPr>
    </w:p>
    <w:p w:rsidR="00326133" w:rsidRDefault="00326133">
      <w:pPr>
        <w:rPr>
          <w:szCs w:val="23"/>
        </w:rPr>
      </w:pPr>
      <w:r>
        <w:rPr>
          <w:szCs w:val="23"/>
        </w:rPr>
        <w:t>L’entreprise empruntera à 5,09 %, dans 2 mois, pour une période de 8 mois, ces 15 M€.</w:t>
      </w:r>
    </w:p>
    <w:p w:rsidR="00326133" w:rsidRDefault="00326133">
      <w:pPr>
        <w:rPr>
          <w:sz w:val="23"/>
          <w:szCs w:val="23"/>
        </w:rPr>
      </w:pPr>
    </w:p>
    <w:p w:rsidR="00326133" w:rsidRDefault="00326133">
      <w:pPr>
        <w:rPr>
          <w:sz w:val="23"/>
          <w:szCs w:val="23"/>
        </w:rPr>
      </w:pPr>
    </w:p>
    <w:p w:rsid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b/>
          <w:bCs/>
          <w:color w:val="000000"/>
        </w:rPr>
      </w:pPr>
    </w:p>
    <w:p w:rsidR="008B36C7" w:rsidRP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b/>
          <w:bCs/>
        </w:rPr>
      </w:pPr>
      <w:r w:rsidRPr="008B36C7">
        <w:rPr>
          <w:b/>
          <w:bCs/>
          <w:color w:val="000000"/>
        </w:rPr>
        <w:t xml:space="preserve">DOSSIER </w:t>
      </w:r>
      <w:r w:rsidRPr="008B36C7">
        <w:rPr>
          <w:b/>
          <w:bCs/>
        </w:rPr>
        <w:t>2</w:t>
      </w:r>
      <w:r w:rsidRPr="008B36C7">
        <w:rPr>
          <w:b/>
          <w:bCs/>
          <w:color w:val="000000"/>
        </w:rPr>
        <w:t xml:space="preserve"> – </w:t>
      </w:r>
      <w:r w:rsidRPr="008B36C7">
        <w:rPr>
          <w:b/>
          <w:bCs/>
        </w:rPr>
        <w:t xml:space="preserve">RÉFLEXION </w:t>
      </w:r>
    </w:p>
    <w:p w:rsidR="008B36C7" w:rsidRDefault="008B36C7" w:rsidP="008B36C7">
      <w:pPr>
        <w:pBdr>
          <w:top w:val="single" w:sz="4" w:space="1" w:color="000000"/>
          <w:left w:val="single" w:sz="4" w:space="4" w:color="000000"/>
          <w:bottom w:val="single" w:sz="4" w:space="1" w:color="000000"/>
          <w:right w:val="single" w:sz="4" w:space="4" w:color="000000"/>
        </w:pBdr>
        <w:shd w:val="clear" w:color="auto" w:fill="E0E0E0"/>
        <w:jc w:val="center"/>
        <w:rPr>
          <w:rFonts w:ascii="Arial" w:hAnsi="Arial" w:cs="Arial"/>
        </w:rPr>
      </w:pPr>
    </w:p>
    <w:p w:rsidR="008B36C7" w:rsidRDefault="008B36C7">
      <w:pPr>
        <w:rPr>
          <w:sz w:val="23"/>
          <w:szCs w:val="23"/>
        </w:rPr>
      </w:pPr>
    </w:p>
    <w:p w:rsidR="00326133" w:rsidRDefault="00326133">
      <w:pPr>
        <w:rPr>
          <w:sz w:val="23"/>
          <w:szCs w:val="23"/>
        </w:rPr>
      </w:pPr>
    </w:p>
    <w:p w:rsidR="00326133" w:rsidRDefault="00326133">
      <w:pPr>
        <w:jc w:val="both"/>
        <w:rPr>
          <w:rStyle w:val="lev"/>
        </w:rPr>
      </w:pPr>
      <w:r>
        <w:rPr>
          <w:rStyle w:val="lev"/>
        </w:rPr>
        <w:t>Dans une optique de bonne gouvernance, les théories financières ou managériales apportent-elles des éléments de réponses à la question de la rémunération des dirigeants de sociétés cotées ?</w:t>
      </w:r>
    </w:p>
    <w:p w:rsidR="00326133" w:rsidRDefault="00326133">
      <w:pPr>
        <w:jc w:val="both"/>
      </w:pPr>
    </w:p>
    <w:p w:rsidR="00326133" w:rsidRDefault="00326133">
      <w:pPr>
        <w:jc w:val="both"/>
      </w:pPr>
      <w:r>
        <w:t>Puisqu’il s’agit d’un sujet de composition libre, il ne peut y avoir de corrigé type dans la mesure où les réponses des candidats varient en fonction de leurs lectures personnelles et de leur mode de raisonnement.</w:t>
      </w:r>
    </w:p>
    <w:p w:rsidR="00326133" w:rsidRDefault="00326133">
      <w:pPr>
        <w:jc w:val="both"/>
      </w:pPr>
    </w:p>
    <w:p w:rsidR="00326133" w:rsidRDefault="00326133">
      <w:pPr>
        <w:jc w:val="both"/>
      </w:pPr>
      <w:r>
        <w:t>A la lecture d’une copie, le correcteur peut toutefois se poser les questions suivantes :</w:t>
      </w:r>
    </w:p>
    <w:p w:rsidR="00326133" w:rsidRDefault="00326133">
      <w:pPr>
        <w:jc w:val="both"/>
      </w:pPr>
    </w:p>
    <w:p w:rsidR="00326133" w:rsidRDefault="00326133">
      <w:pPr>
        <w:numPr>
          <w:ilvl w:val="0"/>
          <w:numId w:val="3"/>
        </w:numPr>
        <w:jc w:val="both"/>
      </w:pPr>
      <w:r>
        <w:t xml:space="preserve">Le candidat perçoit-il la problématique sous-jacente ? </w:t>
      </w:r>
    </w:p>
    <w:p w:rsidR="00326133" w:rsidRDefault="00326133">
      <w:pPr>
        <w:ind w:left="708"/>
        <w:jc w:val="both"/>
      </w:pPr>
      <w:r>
        <w:t>La crise financière intervenue en 2007 a soulevé la question des rémunérations des dirigeants, en particulier ceux  des banques. Ce point sensible lié à la fixation des rémunérations n’est pas nouveau car « différentes affaires passées » (parachutes dorés, bonus variables, etc.) avaient déjà provoquées émotions et débats (hommes politiques, journalistes, etc.) et soulevées quelques protestations de la part d’associations de défense de petits actionnaires, de syndicats, etc. Les théories proposées à ce jour autour de la gouvernance permettent-elles de comprendre ces phénomènes ambigus liés au statut de « dirigeant » et résoudre les différents abus ? Prennent-elles en compte dans leur globalité l’ensemble des rémunérations et avantages octroyés à des dirigeants ? Est-ce qu’une bonne gouvernance peut trouver une réponse adéquate à un système plus juste de rémunération ?</w:t>
      </w:r>
    </w:p>
    <w:p w:rsidR="00326133" w:rsidRDefault="00326133">
      <w:pPr>
        <w:ind w:left="360"/>
        <w:jc w:val="both"/>
      </w:pPr>
    </w:p>
    <w:p w:rsidR="00326133" w:rsidRDefault="00326133">
      <w:pPr>
        <w:numPr>
          <w:ilvl w:val="0"/>
          <w:numId w:val="3"/>
        </w:numPr>
        <w:jc w:val="both"/>
      </w:pPr>
      <w:r>
        <w:t>Le candidat est-il capable de mobiliser les trois principales théories suivantes :</w:t>
      </w:r>
    </w:p>
    <w:p w:rsidR="00326133" w:rsidRDefault="00326133">
      <w:pPr>
        <w:jc w:val="both"/>
      </w:pPr>
    </w:p>
    <w:p w:rsidR="00326133" w:rsidRDefault="00326133">
      <w:pPr>
        <w:jc w:val="both"/>
        <w:rPr>
          <w:b/>
        </w:rPr>
      </w:pPr>
      <w:r>
        <w:rPr>
          <w:b/>
        </w:rPr>
        <w:t xml:space="preserve">Théorie de l’agence (Jensen et </w:t>
      </w:r>
      <w:proofErr w:type="spellStart"/>
      <w:r>
        <w:rPr>
          <w:b/>
        </w:rPr>
        <w:t>Meckling</w:t>
      </w:r>
      <w:proofErr w:type="spellEnd"/>
      <w:r>
        <w:rPr>
          <w:b/>
        </w:rPr>
        <w:t xml:space="preserve">) : </w:t>
      </w:r>
    </w:p>
    <w:p w:rsidR="00326133" w:rsidRDefault="00326133">
      <w:pPr>
        <w:jc w:val="both"/>
      </w:pPr>
      <w:r>
        <w:t>Au sein de l’entreprise, les intérêts des différentes parties prenantes peuvent être divergentes et sources de coûts. La rémunération des dirigeants peut être un outil de résolution des conflits d’intérêts entre actionnaires et dirigeants. Permet un alignement de leurs intérêts.</w:t>
      </w:r>
    </w:p>
    <w:p w:rsidR="00326133" w:rsidRDefault="008B36C7">
      <w:pPr>
        <w:jc w:val="both"/>
        <w:rPr>
          <w:b/>
        </w:rPr>
      </w:pPr>
      <w:r>
        <w:br w:type="page"/>
      </w:r>
      <w:r w:rsidR="00326133">
        <w:rPr>
          <w:b/>
        </w:rPr>
        <w:lastRenderedPageBreak/>
        <w:t xml:space="preserve">Théorie de la signalisation (S Ross) : </w:t>
      </w:r>
    </w:p>
    <w:p w:rsidR="00326133" w:rsidRDefault="00326133">
      <w:pPr>
        <w:jc w:val="both"/>
      </w:pPr>
      <w:r>
        <w:t>Il existe une asymétrie d’information entre les dirigeants et les autres parties prenantes (actionnaires, marché…). L’émission de certains titres, tels que les stock-options, peut permettre d’adresser des signaux quant à la qualité du travail des dirigeants.</w:t>
      </w:r>
    </w:p>
    <w:p w:rsidR="00326133" w:rsidRDefault="00326133">
      <w:pPr>
        <w:jc w:val="both"/>
      </w:pPr>
    </w:p>
    <w:p w:rsidR="00326133" w:rsidRDefault="00326133">
      <w:pPr>
        <w:jc w:val="both"/>
        <w:rPr>
          <w:b/>
        </w:rPr>
      </w:pPr>
      <w:r>
        <w:rPr>
          <w:b/>
        </w:rPr>
        <w:t xml:space="preserve">Gouvernement d’entreprise (M. Freeman, etc.) </w:t>
      </w:r>
    </w:p>
    <w:p w:rsidR="00326133" w:rsidRDefault="00326133">
      <w:pPr>
        <w:jc w:val="both"/>
      </w:pPr>
      <w:r>
        <w:t xml:space="preserve">Si la rémunération est un outil d’alignement des intérêts des actionnaires et des dirigeants, encore faut-il que le contrat soit incitatif pour ce dernier, afin d’éviter tout abus ou transfert de richesse sans contrepartie. D’où la création de comités de rémunération et la réflexion sur le </w:t>
      </w:r>
      <w:r>
        <w:rPr>
          <w:i/>
        </w:rPr>
        <w:t>design</w:t>
      </w:r>
      <w:r>
        <w:t xml:space="preserve"> des outils de mesure de la performance des dirigeants et des contrats les rémunérant (bonus indexés sur la création de valeur, bons de souscription, actions gratuites…)</w:t>
      </w:r>
    </w:p>
    <w:p w:rsidR="00326133" w:rsidRDefault="00326133"/>
    <w:sectPr w:rsidR="00326133" w:rsidSect="002A6919">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F13" w:rsidRDefault="00846F13">
      <w:r>
        <w:separator/>
      </w:r>
    </w:p>
  </w:endnote>
  <w:endnote w:type="continuationSeparator" w:id="0">
    <w:p w:rsidR="00846F13" w:rsidRDefault="0084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33" w:rsidRDefault="003261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26133" w:rsidRDefault="0032613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33" w:rsidRPr="002A6919" w:rsidRDefault="002A6919" w:rsidP="002A6919">
    <w:pPr>
      <w:pStyle w:val="Pieddepage"/>
      <w:tabs>
        <w:tab w:val="left" w:pos="709"/>
      </w:tabs>
      <w:ind w:right="357"/>
      <w:rPr>
        <w:sz w:val="20"/>
        <w:szCs w:val="20"/>
      </w:rPr>
    </w:pPr>
    <w:bookmarkStart w:id="0" w:name="_GoBack"/>
    <w:r w:rsidRPr="00642AF9">
      <w:rPr>
        <w:sz w:val="20"/>
        <w:szCs w:val="20"/>
      </w:rPr>
      <w:t xml:space="preserve">©Comptazine – Reproduction interdite – DSCG </w:t>
    </w:r>
    <w:r>
      <w:rPr>
        <w:sz w:val="20"/>
        <w:szCs w:val="20"/>
      </w:rPr>
      <w:t>Finance</w:t>
    </w:r>
    <w:r w:rsidRPr="00642AF9">
      <w:rPr>
        <w:sz w:val="20"/>
        <w:szCs w:val="20"/>
      </w:rPr>
      <w:t xml:space="preserve"> 200</w:t>
    </w:r>
    <w:r>
      <w:rPr>
        <w:sz w:val="20"/>
        <w:szCs w:val="20"/>
      </w:rPr>
      <w:t>9</w:t>
    </w:r>
    <w:r w:rsidRPr="00642AF9">
      <w:rPr>
        <w:bCs/>
        <w:sz w:val="20"/>
        <w:szCs w:val="20"/>
      </w:rPr>
      <w:tab/>
    </w:r>
    <w:r w:rsidRPr="00642AF9">
      <w:rPr>
        <w:rStyle w:val="Numrodepage"/>
        <w:bCs/>
        <w:sz w:val="20"/>
        <w:szCs w:val="20"/>
      </w:rPr>
      <w:fldChar w:fldCharType="begin"/>
    </w:r>
    <w:r w:rsidRPr="00642AF9">
      <w:rPr>
        <w:rStyle w:val="Numrodepage"/>
        <w:bCs/>
        <w:sz w:val="20"/>
        <w:szCs w:val="20"/>
      </w:rPr>
      <w:instrText xml:space="preserve"> PAGE </w:instrText>
    </w:r>
    <w:r w:rsidRPr="00642AF9">
      <w:rPr>
        <w:rStyle w:val="Numrodepage"/>
        <w:bCs/>
        <w:sz w:val="20"/>
        <w:szCs w:val="20"/>
      </w:rPr>
      <w:fldChar w:fldCharType="separate"/>
    </w:r>
    <w:r w:rsidR="00E3790B">
      <w:rPr>
        <w:rStyle w:val="Numrodepage"/>
        <w:bCs/>
        <w:noProof/>
        <w:sz w:val="20"/>
        <w:szCs w:val="20"/>
      </w:rPr>
      <w:t>1</w:t>
    </w:r>
    <w:r w:rsidRPr="00642AF9">
      <w:rPr>
        <w:rStyle w:val="Numrodepage"/>
        <w:bCs/>
        <w:sz w:val="20"/>
        <w:szCs w:val="20"/>
      </w:rPr>
      <w:fldChar w:fldCharType="end"/>
    </w:r>
    <w:r w:rsidRPr="00642AF9">
      <w:rPr>
        <w:rStyle w:val="Numrodepage"/>
        <w:bCs/>
        <w:sz w:val="20"/>
        <w:szCs w:val="20"/>
      </w:rPr>
      <w:t>/9</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0B" w:rsidRDefault="00E379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F13" w:rsidRDefault="00846F13">
      <w:r>
        <w:separator/>
      </w:r>
    </w:p>
  </w:footnote>
  <w:footnote w:type="continuationSeparator" w:id="0">
    <w:p w:rsidR="00846F13" w:rsidRDefault="00846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0B" w:rsidRDefault="00E3790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19" w:rsidRDefault="002C3068" w:rsidP="002A6919">
    <w:pPr>
      <w:pStyle w:val="En-tte"/>
      <w:ind w:left="5088" w:right="849" w:firstLine="1284"/>
    </w:pPr>
    <w:r>
      <w:rPr>
        <w:noProof/>
      </w:rPr>
      <w:drawing>
        <wp:anchor distT="0" distB="0" distL="114300" distR="114300" simplePos="0" relativeHeight="251659264"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2A6919">
        <w:rPr>
          <w:rStyle w:val="Lienhypertexte"/>
          <w:rFonts w:ascii="Calibri" w:hAnsi="Calibri" w:cs="Calibri"/>
          <w:color w:val="E36C0A"/>
          <w:sz w:val="18"/>
        </w:rPr>
        <w:t>www.comptazine.fr</w:t>
      </w:r>
    </w:hyperlink>
    <w:r w:rsidR="002A69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2A6919" w:rsidRPr="008612CC" w:rsidRDefault="002A6919" w:rsidP="002A6919">
    <w:pPr>
      <w:pStyle w:val="En-tte"/>
    </w:pPr>
  </w:p>
  <w:p w:rsidR="00326133" w:rsidRPr="002A6919" w:rsidRDefault="00326133" w:rsidP="002A69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0B" w:rsidRDefault="00E3790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1E3"/>
    <w:multiLevelType w:val="hybridMultilevel"/>
    <w:tmpl w:val="E0FE1A7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F923EF"/>
    <w:multiLevelType w:val="hybridMultilevel"/>
    <w:tmpl w:val="96DCF7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C4056B5"/>
    <w:multiLevelType w:val="hybridMultilevel"/>
    <w:tmpl w:val="31AAC3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16"/>
    <w:rsid w:val="00131DA9"/>
    <w:rsid w:val="002A6919"/>
    <w:rsid w:val="002C3068"/>
    <w:rsid w:val="00326133"/>
    <w:rsid w:val="003774CE"/>
    <w:rsid w:val="00846F13"/>
    <w:rsid w:val="008B36C7"/>
    <w:rsid w:val="008E7516"/>
    <w:rsid w:val="00B6279E"/>
    <w:rsid w:val="00BA4A74"/>
    <w:rsid w:val="00CB664C"/>
    <w:rsid w:val="00E3790B"/>
    <w:rsid w:val="00E51DFE"/>
    <w:rsid w:val="00E65E0C"/>
    <w:rsid w:val="00ED23BB"/>
    <w:rsid w:val="00FA5742"/>
    <w:rsid w:val="00FB1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uppressAutoHyphens/>
      <w:jc w:val="center"/>
      <w:outlineLvl w:val="0"/>
    </w:pPr>
    <w:rPr>
      <w:rFonts w:eastAsia="Arial Unicode MS"/>
      <w:b/>
      <w:bCs/>
      <w:lang w:eastAsia="ar-SA"/>
    </w:rPr>
  </w:style>
  <w:style w:type="paragraph" w:styleId="Titre2">
    <w:name w:val="heading 2"/>
    <w:basedOn w:val="Normal"/>
    <w:next w:val="Normal"/>
    <w:qFormat/>
    <w:pPr>
      <w:keepNext/>
      <w:suppressAutoHyphens/>
      <w:jc w:val="both"/>
      <w:outlineLvl w:val="1"/>
    </w:pPr>
    <w:rPr>
      <w:rFonts w:ascii="Bookman Old Style" w:eastAsia="Arial Unicode MS" w:hAnsi="Bookman Old Style" w:cs="Arial Unicode MS"/>
      <w:b/>
      <w:bCs/>
      <w:sz w:val="18"/>
      <w:lang w:eastAsia="ar-SA"/>
    </w:rPr>
  </w:style>
  <w:style w:type="paragraph" w:styleId="Titre9">
    <w:name w:val="heading 9"/>
    <w:basedOn w:val="Normal"/>
    <w:next w:val="Normal"/>
    <w:qFormat/>
    <w:pPr>
      <w:keepNext/>
      <w:widowControl w:val="0"/>
      <w:suppressAutoHyphens/>
      <w:autoSpaceDE w:val="0"/>
      <w:jc w:val="center"/>
      <w:outlineLvl w:val="8"/>
    </w:pPr>
    <w:rPr>
      <w:rFonts w:ascii="Arial" w:hAnsi="Arial" w:cs="Arial"/>
      <w:b/>
      <w:bCs/>
      <w:lang w:eastAsia="ar-S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60" w:lineRule="auto"/>
      <w:jc w:val="both"/>
    </w:pPr>
    <w:rPr>
      <w:szCs w:val="20"/>
    </w:rPr>
  </w:style>
  <w:style w:type="paragraph" w:styleId="Pieddepage">
    <w:name w:val="footer"/>
    <w:basedOn w:val="Normal"/>
    <w:link w:val="PieddepageCar"/>
    <w:uiPriority w:val="99"/>
    <w:pPr>
      <w:tabs>
        <w:tab w:val="center" w:pos="4536"/>
        <w:tab w:val="right" w:pos="9072"/>
      </w:tabs>
    </w:pPr>
    <w:rPr>
      <w:lang/>
    </w:rPr>
  </w:style>
  <w:style w:type="character" w:styleId="Numrodepage">
    <w:name w:val="page number"/>
    <w:basedOn w:val="Policepardfaut"/>
  </w:style>
  <w:style w:type="character" w:styleId="lev">
    <w:name w:val="Strong"/>
    <w:basedOn w:val="Policepardfaut"/>
    <w:qFormat/>
    <w:rPr>
      <w:b/>
      <w:bCs/>
    </w:rPr>
  </w:style>
  <w:style w:type="paragraph" w:styleId="En-tte">
    <w:name w:val="header"/>
    <w:basedOn w:val="Normal"/>
    <w:link w:val="En-tteCar"/>
    <w:pPr>
      <w:tabs>
        <w:tab w:val="center" w:pos="4536"/>
        <w:tab w:val="right" w:pos="9072"/>
      </w:tabs>
    </w:pPr>
  </w:style>
  <w:style w:type="character" w:styleId="Lienhypertexte">
    <w:name w:val="Hyperlink"/>
    <w:basedOn w:val="Policepardfaut"/>
    <w:rsid w:val="008E7516"/>
    <w:rPr>
      <w:color w:val="0000FF"/>
      <w:u w:val="single"/>
    </w:rPr>
  </w:style>
  <w:style w:type="character" w:customStyle="1" w:styleId="En-tteCar">
    <w:name w:val="En-tête Car"/>
    <w:link w:val="En-tte"/>
    <w:rsid w:val="002A6919"/>
    <w:rPr>
      <w:sz w:val="24"/>
      <w:szCs w:val="24"/>
    </w:rPr>
  </w:style>
  <w:style w:type="character" w:customStyle="1" w:styleId="PieddepageCar">
    <w:name w:val="Pied de page Car"/>
    <w:link w:val="Pieddepage"/>
    <w:uiPriority w:val="99"/>
    <w:rsid w:val="002A6919"/>
    <w:rPr>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uppressAutoHyphens/>
      <w:jc w:val="center"/>
      <w:outlineLvl w:val="0"/>
    </w:pPr>
    <w:rPr>
      <w:rFonts w:eastAsia="Arial Unicode MS"/>
      <w:b/>
      <w:bCs/>
      <w:lang w:eastAsia="ar-SA"/>
    </w:rPr>
  </w:style>
  <w:style w:type="paragraph" w:styleId="Titre2">
    <w:name w:val="heading 2"/>
    <w:basedOn w:val="Normal"/>
    <w:next w:val="Normal"/>
    <w:qFormat/>
    <w:pPr>
      <w:keepNext/>
      <w:suppressAutoHyphens/>
      <w:jc w:val="both"/>
      <w:outlineLvl w:val="1"/>
    </w:pPr>
    <w:rPr>
      <w:rFonts w:ascii="Bookman Old Style" w:eastAsia="Arial Unicode MS" w:hAnsi="Bookman Old Style" w:cs="Arial Unicode MS"/>
      <w:b/>
      <w:bCs/>
      <w:sz w:val="18"/>
      <w:lang w:eastAsia="ar-SA"/>
    </w:rPr>
  </w:style>
  <w:style w:type="paragraph" w:styleId="Titre9">
    <w:name w:val="heading 9"/>
    <w:basedOn w:val="Normal"/>
    <w:next w:val="Normal"/>
    <w:qFormat/>
    <w:pPr>
      <w:keepNext/>
      <w:widowControl w:val="0"/>
      <w:suppressAutoHyphens/>
      <w:autoSpaceDE w:val="0"/>
      <w:jc w:val="center"/>
      <w:outlineLvl w:val="8"/>
    </w:pPr>
    <w:rPr>
      <w:rFonts w:ascii="Arial" w:hAnsi="Arial" w:cs="Arial"/>
      <w:b/>
      <w:bCs/>
      <w:lang w:eastAsia="ar-S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line="360" w:lineRule="auto"/>
      <w:jc w:val="both"/>
    </w:pPr>
    <w:rPr>
      <w:szCs w:val="20"/>
    </w:rPr>
  </w:style>
  <w:style w:type="paragraph" w:styleId="Pieddepage">
    <w:name w:val="footer"/>
    <w:basedOn w:val="Normal"/>
    <w:link w:val="PieddepageCar"/>
    <w:uiPriority w:val="99"/>
    <w:pPr>
      <w:tabs>
        <w:tab w:val="center" w:pos="4536"/>
        <w:tab w:val="right" w:pos="9072"/>
      </w:tabs>
    </w:pPr>
    <w:rPr>
      <w:lang/>
    </w:rPr>
  </w:style>
  <w:style w:type="character" w:styleId="Numrodepage">
    <w:name w:val="page number"/>
    <w:basedOn w:val="Policepardfaut"/>
  </w:style>
  <w:style w:type="character" w:styleId="lev">
    <w:name w:val="Strong"/>
    <w:basedOn w:val="Policepardfaut"/>
    <w:qFormat/>
    <w:rPr>
      <w:b/>
      <w:bCs/>
    </w:rPr>
  </w:style>
  <w:style w:type="paragraph" w:styleId="En-tte">
    <w:name w:val="header"/>
    <w:basedOn w:val="Normal"/>
    <w:link w:val="En-tteCar"/>
    <w:pPr>
      <w:tabs>
        <w:tab w:val="center" w:pos="4536"/>
        <w:tab w:val="right" w:pos="9072"/>
      </w:tabs>
    </w:pPr>
  </w:style>
  <w:style w:type="character" w:styleId="Lienhypertexte">
    <w:name w:val="Hyperlink"/>
    <w:basedOn w:val="Policepardfaut"/>
    <w:rsid w:val="008E7516"/>
    <w:rPr>
      <w:color w:val="0000FF"/>
      <w:u w:val="single"/>
    </w:rPr>
  </w:style>
  <w:style w:type="character" w:customStyle="1" w:styleId="En-tteCar">
    <w:name w:val="En-tête Car"/>
    <w:link w:val="En-tte"/>
    <w:rsid w:val="002A6919"/>
    <w:rPr>
      <w:sz w:val="24"/>
      <w:szCs w:val="24"/>
    </w:rPr>
  </w:style>
  <w:style w:type="character" w:customStyle="1" w:styleId="PieddepageCar">
    <w:name w:val="Pied de page Car"/>
    <w:link w:val="Pieddepage"/>
    <w:uiPriority w:val="99"/>
    <w:rsid w:val="002A6919"/>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hyperlink" Target="http://www.comptazine.fr" TargetMode="External"/><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1685</Words>
  <Characters>9272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2014-04-05T21:26:00Z</cp:lastPrinted>
  <dcterms:created xsi:type="dcterms:W3CDTF">2014-04-05T21:25:00Z</dcterms:created>
  <dcterms:modified xsi:type="dcterms:W3CDTF">2014-04-05T21:44:00Z</dcterms:modified>
</cp:coreProperties>
</file>