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369" w:rsidRPr="00705D78" w:rsidRDefault="004B5369" w:rsidP="00705D78">
      <w:pPr>
        <w:pBdr>
          <w:top w:val="single" w:sz="4" w:space="1" w:color="auto"/>
          <w:left w:val="single" w:sz="4" w:space="4" w:color="auto"/>
          <w:bottom w:val="single" w:sz="4" w:space="1" w:color="auto"/>
          <w:right w:val="single" w:sz="4" w:space="4" w:color="auto"/>
        </w:pBdr>
        <w:shd w:val="clear" w:color="auto" w:fill="BFBFBF"/>
        <w:jc w:val="center"/>
        <w:rPr>
          <w:b/>
          <w:sz w:val="28"/>
          <w:szCs w:val="28"/>
        </w:rPr>
      </w:pPr>
      <w:r w:rsidRPr="00705D78">
        <w:rPr>
          <w:b/>
          <w:sz w:val="28"/>
          <w:szCs w:val="28"/>
        </w:rPr>
        <w:t>UE2 - FINANCE - Corrigé indicatif -</w:t>
      </w:r>
    </w:p>
    <w:p w:rsidR="00A42590" w:rsidRDefault="00A42590" w:rsidP="00A42590"/>
    <w:p w:rsidR="00855587" w:rsidRDefault="00855587" w:rsidP="000C7A58">
      <w:pPr>
        <w:pBdr>
          <w:top w:val="single" w:sz="4" w:space="1" w:color="auto"/>
          <w:left w:val="single" w:sz="4" w:space="4" w:color="auto"/>
          <w:bottom w:val="single" w:sz="4" w:space="1" w:color="auto"/>
          <w:right w:val="single" w:sz="4" w:space="4" w:color="auto"/>
        </w:pBdr>
        <w:jc w:val="center"/>
        <w:rPr>
          <w:b/>
          <w:sz w:val="32"/>
          <w:szCs w:val="32"/>
        </w:rPr>
      </w:pPr>
      <w:r w:rsidRPr="00A42590">
        <w:rPr>
          <w:b/>
          <w:sz w:val="32"/>
          <w:szCs w:val="32"/>
        </w:rPr>
        <w:t xml:space="preserve">DOSSIER 1 – </w:t>
      </w:r>
      <w:r w:rsidR="009C2DEB">
        <w:rPr>
          <w:b/>
          <w:sz w:val="32"/>
          <w:szCs w:val="32"/>
        </w:rPr>
        <w:t>É</w:t>
      </w:r>
      <w:r w:rsidRPr="00A42590">
        <w:rPr>
          <w:b/>
          <w:sz w:val="32"/>
          <w:szCs w:val="32"/>
        </w:rPr>
        <w:t>TUDE DE CAS</w:t>
      </w:r>
    </w:p>
    <w:p w:rsidR="00855587" w:rsidRPr="00280551" w:rsidRDefault="00855587" w:rsidP="00A42590">
      <w:pPr>
        <w:jc w:val="center"/>
        <w:rPr>
          <w:sz w:val="32"/>
          <w:szCs w:val="32"/>
        </w:rPr>
      </w:pPr>
    </w:p>
    <w:p w:rsidR="00855587" w:rsidRPr="00784D9B" w:rsidRDefault="00855587" w:rsidP="00855587">
      <w:pPr>
        <w:jc w:val="both"/>
        <w:rPr>
          <w:b/>
        </w:rPr>
      </w:pPr>
      <w:r w:rsidRPr="00784D9B">
        <w:rPr>
          <w:b/>
        </w:rPr>
        <w:t>1. Diagnostic financier (annexes 1 et 2)</w:t>
      </w:r>
    </w:p>
    <w:p w:rsidR="00855587" w:rsidRPr="00784D9B" w:rsidRDefault="00855587" w:rsidP="00855587">
      <w:pPr>
        <w:jc w:val="both"/>
        <w:rPr>
          <w:b/>
        </w:rPr>
      </w:pPr>
      <w:r w:rsidRPr="00784D9B">
        <w:rPr>
          <w:b/>
        </w:rPr>
        <w:t xml:space="preserve">À partir de ses comptes consolidés 2007-2009, vous rédigerez un diagnostic financier de la société Phone </w:t>
      </w:r>
      <w:proofErr w:type="spellStart"/>
      <w:r w:rsidRPr="00784D9B">
        <w:rPr>
          <w:b/>
        </w:rPr>
        <w:t>Solving</w:t>
      </w:r>
      <w:proofErr w:type="spellEnd"/>
      <w:r w:rsidRPr="00784D9B">
        <w:rPr>
          <w:b/>
        </w:rPr>
        <w:t xml:space="preserve"> dans une note qui n’excèdera pas deux pages.  Votre jugement portera particulièrement sur les points suivants : profitabilité</w:t>
      </w:r>
      <w:r>
        <w:rPr>
          <w:b/>
        </w:rPr>
        <w:t>,</w:t>
      </w:r>
      <w:r w:rsidRPr="00784D9B">
        <w:rPr>
          <w:b/>
        </w:rPr>
        <w:t xml:space="preserve"> rentabilité, équilibre financier et situation de trésorerie. Les calculs préalables nécessaires à votre diagnostic seront présentés séparément.</w:t>
      </w:r>
    </w:p>
    <w:p w:rsidR="00855587" w:rsidRDefault="00855587" w:rsidP="00855587">
      <w:pPr>
        <w:jc w:val="both"/>
        <w:rPr>
          <w:b/>
        </w:rPr>
      </w:pPr>
    </w:p>
    <w:p w:rsidR="00874FEA" w:rsidRDefault="00874FEA" w:rsidP="00855587">
      <w:pPr>
        <w:jc w:val="both"/>
      </w:pPr>
      <w:r>
        <w:t>Calculs préalables</w:t>
      </w:r>
    </w:p>
    <w:tbl>
      <w:tblPr>
        <w:tblW w:w="9120" w:type="dxa"/>
        <w:tblInd w:w="55" w:type="dxa"/>
        <w:tblCellMar>
          <w:left w:w="70" w:type="dxa"/>
          <w:right w:w="70" w:type="dxa"/>
        </w:tblCellMar>
        <w:tblLook w:val="04A0" w:firstRow="1" w:lastRow="0" w:firstColumn="1" w:lastColumn="0" w:noHBand="0" w:noVBand="1"/>
      </w:tblPr>
      <w:tblGrid>
        <w:gridCol w:w="4800"/>
        <w:gridCol w:w="1440"/>
        <w:gridCol w:w="1440"/>
        <w:gridCol w:w="1440"/>
      </w:tblGrid>
      <w:tr w:rsidR="00874FEA" w:rsidRPr="00E54F74">
        <w:trPr>
          <w:trHeight w:val="300"/>
        </w:trPr>
        <w:tc>
          <w:tcPr>
            <w:tcW w:w="4800" w:type="dxa"/>
            <w:tcBorders>
              <w:top w:val="single" w:sz="8" w:space="0" w:color="auto"/>
              <w:left w:val="single" w:sz="8" w:space="0" w:color="auto"/>
              <w:bottom w:val="single" w:sz="8" w:space="0" w:color="auto"/>
              <w:right w:val="single" w:sz="8" w:space="0" w:color="auto"/>
            </w:tcBorders>
            <w:shd w:val="clear" w:color="auto" w:fill="auto"/>
            <w:vAlign w:val="bottom"/>
          </w:tcPr>
          <w:p w:rsidR="00874FEA" w:rsidRPr="00E54F74" w:rsidRDefault="000A4035" w:rsidP="00D56A43">
            <w:pPr>
              <w:rPr>
                <w:b/>
                <w:bCs/>
              </w:rPr>
            </w:pPr>
            <w:r>
              <w:rPr>
                <w:b/>
                <w:bCs/>
                <w:sz w:val="22"/>
                <w:szCs w:val="22"/>
              </w:rPr>
              <w:t>Structure des capitaux</w:t>
            </w:r>
          </w:p>
        </w:tc>
        <w:tc>
          <w:tcPr>
            <w:tcW w:w="1440" w:type="dxa"/>
            <w:tcBorders>
              <w:top w:val="single" w:sz="8" w:space="0" w:color="auto"/>
              <w:left w:val="nil"/>
              <w:bottom w:val="single" w:sz="8" w:space="0" w:color="auto"/>
              <w:right w:val="single" w:sz="8" w:space="0" w:color="auto"/>
            </w:tcBorders>
            <w:shd w:val="clear" w:color="auto" w:fill="auto"/>
            <w:vAlign w:val="bottom"/>
          </w:tcPr>
          <w:p w:rsidR="00874FEA" w:rsidRPr="00E54F74" w:rsidRDefault="00874FEA" w:rsidP="00D56A43">
            <w:pPr>
              <w:jc w:val="center"/>
              <w:rPr>
                <w:b/>
                <w:bCs/>
              </w:rPr>
            </w:pPr>
            <w:r w:rsidRPr="00E54F74">
              <w:rPr>
                <w:b/>
                <w:bCs/>
                <w:sz w:val="22"/>
                <w:szCs w:val="22"/>
              </w:rPr>
              <w:t>2007</w:t>
            </w:r>
          </w:p>
        </w:tc>
        <w:tc>
          <w:tcPr>
            <w:tcW w:w="1440" w:type="dxa"/>
            <w:tcBorders>
              <w:top w:val="single" w:sz="8" w:space="0" w:color="auto"/>
              <w:left w:val="nil"/>
              <w:bottom w:val="single" w:sz="8" w:space="0" w:color="auto"/>
              <w:right w:val="single" w:sz="8" w:space="0" w:color="auto"/>
            </w:tcBorders>
            <w:shd w:val="clear" w:color="auto" w:fill="auto"/>
            <w:vAlign w:val="bottom"/>
          </w:tcPr>
          <w:p w:rsidR="00874FEA" w:rsidRPr="00E54F74" w:rsidRDefault="00874FEA" w:rsidP="00D56A43">
            <w:pPr>
              <w:jc w:val="center"/>
              <w:rPr>
                <w:b/>
                <w:bCs/>
              </w:rPr>
            </w:pPr>
            <w:r w:rsidRPr="00E54F74">
              <w:rPr>
                <w:b/>
                <w:bCs/>
                <w:sz w:val="22"/>
                <w:szCs w:val="22"/>
              </w:rPr>
              <w:t>2008</w:t>
            </w:r>
          </w:p>
        </w:tc>
        <w:tc>
          <w:tcPr>
            <w:tcW w:w="1440" w:type="dxa"/>
            <w:tcBorders>
              <w:top w:val="single" w:sz="8" w:space="0" w:color="auto"/>
              <w:left w:val="nil"/>
              <w:bottom w:val="single" w:sz="8" w:space="0" w:color="auto"/>
              <w:right w:val="single" w:sz="8" w:space="0" w:color="auto"/>
            </w:tcBorders>
            <w:shd w:val="clear" w:color="auto" w:fill="auto"/>
            <w:vAlign w:val="bottom"/>
          </w:tcPr>
          <w:p w:rsidR="00874FEA" w:rsidRPr="00E54F74" w:rsidRDefault="00874FEA" w:rsidP="00D56A43">
            <w:pPr>
              <w:jc w:val="center"/>
              <w:rPr>
                <w:b/>
                <w:bCs/>
              </w:rPr>
            </w:pPr>
            <w:r w:rsidRPr="00E54F74">
              <w:rPr>
                <w:b/>
                <w:bCs/>
                <w:sz w:val="22"/>
                <w:szCs w:val="22"/>
              </w:rPr>
              <w:t>2009</w:t>
            </w:r>
          </w:p>
        </w:tc>
      </w:tr>
      <w:tr w:rsidR="00874FEA"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874FEA" w:rsidRPr="00E54F74" w:rsidRDefault="00874FEA" w:rsidP="00D56A43">
            <w:r w:rsidRPr="00E54F74">
              <w:rPr>
                <w:sz w:val="22"/>
                <w:szCs w:val="22"/>
              </w:rPr>
              <w:t xml:space="preserve">Capitaux </w:t>
            </w:r>
            <w:r>
              <w:rPr>
                <w:sz w:val="22"/>
                <w:szCs w:val="22"/>
              </w:rPr>
              <w:t>employés</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874FEA" w:rsidP="00D56A43">
            <w:pPr>
              <w:jc w:val="center"/>
            </w:pPr>
            <w:r w:rsidRPr="00E54F74">
              <w:rPr>
                <w:sz w:val="22"/>
                <w:szCs w:val="22"/>
              </w:rPr>
              <w:t xml:space="preserve">74 822 </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874FEA" w:rsidP="00D56A43">
            <w:pPr>
              <w:jc w:val="center"/>
            </w:pPr>
            <w:r w:rsidRPr="00E54F74">
              <w:rPr>
                <w:sz w:val="22"/>
                <w:szCs w:val="22"/>
              </w:rPr>
              <w:t xml:space="preserve">69 324 </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874FEA" w:rsidP="00D56A43">
            <w:pPr>
              <w:jc w:val="center"/>
            </w:pPr>
            <w:r w:rsidRPr="00E54F74">
              <w:rPr>
                <w:sz w:val="22"/>
                <w:szCs w:val="22"/>
              </w:rPr>
              <w:t xml:space="preserve">73 894 </w:t>
            </w:r>
          </w:p>
        </w:tc>
      </w:tr>
      <w:tr w:rsidR="00874FEA"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874FEA" w:rsidRPr="00E54F74" w:rsidRDefault="00874FEA" w:rsidP="00D56A43">
            <w:r>
              <w:rPr>
                <w:sz w:val="22"/>
                <w:szCs w:val="22"/>
              </w:rPr>
              <w:t>-</w:t>
            </w:r>
            <w:r w:rsidRPr="00E54F74">
              <w:rPr>
                <w:sz w:val="22"/>
                <w:szCs w:val="22"/>
              </w:rPr>
              <w:t xml:space="preserve"> Capitaux propres</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874FEA" w:rsidP="00D56A43">
            <w:pPr>
              <w:jc w:val="center"/>
            </w:pPr>
            <w:r w:rsidRPr="00E54F74">
              <w:rPr>
                <w:sz w:val="22"/>
                <w:szCs w:val="22"/>
              </w:rPr>
              <w:t xml:space="preserve">-8 254 </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874FEA" w:rsidP="00D56A43">
            <w:pPr>
              <w:jc w:val="center"/>
            </w:pPr>
            <w:r w:rsidRPr="00E54F74">
              <w:rPr>
                <w:sz w:val="22"/>
                <w:szCs w:val="22"/>
              </w:rPr>
              <w:t xml:space="preserve">49 889 </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874FEA" w:rsidP="00D56A43">
            <w:pPr>
              <w:jc w:val="center"/>
            </w:pPr>
            <w:r w:rsidRPr="00E54F74">
              <w:rPr>
                <w:sz w:val="22"/>
                <w:szCs w:val="22"/>
              </w:rPr>
              <w:t xml:space="preserve">61 745 </w:t>
            </w:r>
          </w:p>
        </w:tc>
      </w:tr>
      <w:tr w:rsidR="00874FEA"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874FEA" w:rsidRPr="00E54F74" w:rsidRDefault="00874FEA" w:rsidP="00874FEA">
            <w:r>
              <w:rPr>
                <w:sz w:val="22"/>
                <w:szCs w:val="22"/>
              </w:rPr>
              <w:t>=</w:t>
            </w:r>
            <w:r w:rsidR="000A4035">
              <w:rPr>
                <w:sz w:val="22"/>
                <w:szCs w:val="22"/>
              </w:rPr>
              <w:t xml:space="preserve"> </w:t>
            </w:r>
            <w:r>
              <w:rPr>
                <w:sz w:val="22"/>
                <w:szCs w:val="22"/>
              </w:rPr>
              <w:t>Dettes financières</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874FEA" w:rsidP="00D56A43">
            <w:pPr>
              <w:jc w:val="center"/>
            </w:pPr>
            <w:r>
              <w:rPr>
                <w:sz w:val="22"/>
                <w:szCs w:val="22"/>
              </w:rPr>
              <w:t>83 076</w:t>
            </w:r>
            <w:r w:rsidRPr="00E54F74">
              <w:rPr>
                <w:sz w:val="22"/>
                <w:szCs w:val="22"/>
              </w:rPr>
              <w:t xml:space="preserve"> </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874FEA" w:rsidP="00D56A43">
            <w:pPr>
              <w:jc w:val="center"/>
            </w:pPr>
            <w:r>
              <w:rPr>
                <w:sz w:val="22"/>
                <w:szCs w:val="22"/>
              </w:rPr>
              <w:t>19</w:t>
            </w:r>
            <w:r w:rsidRPr="00E54F74">
              <w:rPr>
                <w:sz w:val="22"/>
                <w:szCs w:val="22"/>
              </w:rPr>
              <w:t xml:space="preserve"> </w:t>
            </w:r>
            <w:r>
              <w:rPr>
                <w:sz w:val="22"/>
                <w:szCs w:val="22"/>
              </w:rPr>
              <w:t>435</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874FEA" w:rsidP="00315336">
            <w:pPr>
              <w:jc w:val="center"/>
            </w:pPr>
            <w:r>
              <w:rPr>
                <w:sz w:val="22"/>
                <w:szCs w:val="22"/>
              </w:rPr>
              <w:t xml:space="preserve">12 </w:t>
            </w:r>
            <w:r w:rsidR="00315336">
              <w:rPr>
                <w:sz w:val="22"/>
                <w:szCs w:val="22"/>
              </w:rPr>
              <w:t>1</w:t>
            </w:r>
            <w:r>
              <w:rPr>
                <w:sz w:val="22"/>
                <w:szCs w:val="22"/>
              </w:rPr>
              <w:t>49</w:t>
            </w:r>
            <w:r w:rsidRPr="00E54F74">
              <w:rPr>
                <w:sz w:val="22"/>
                <w:szCs w:val="22"/>
              </w:rPr>
              <w:t xml:space="preserve"> </w:t>
            </w:r>
          </w:p>
        </w:tc>
      </w:tr>
      <w:tr w:rsidR="0000088C"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00088C" w:rsidRPr="00E54F74" w:rsidRDefault="0000088C" w:rsidP="00874FEA">
            <w:r>
              <w:rPr>
                <w:sz w:val="22"/>
                <w:szCs w:val="22"/>
              </w:rPr>
              <w:t>Dettes financières / Capitaux employés</w:t>
            </w:r>
          </w:p>
        </w:tc>
        <w:tc>
          <w:tcPr>
            <w:tcW w:w="1440" w:type="dxa"/>
            <w:tcBorders>
              <w:top w:val="nil"/>
              <w:left w:val="nil"/>
              <w:bottom w:val="single" w:sz="8" w:space="0" w:color="auto"/>
              <w:right w:val="single" w:sz="8" w:space="0" w:color="auto"/>
            </w:tcBorders>
            <w:shd w:val="clear" w:color="auto" w:fill="auto"/>
            <w:vAlign w:val="bottom"/>
          </w:tcPr>
          <w:p w:rsidR="0000088C" w:rsidRDefault="0011407A" w:rsidP="00D56A43">
            <w:pPr>
              <w:jc w:val="center"/>
            </w:pPr>
            <w:r>
              <w:t>&gt;100%</w:t>
            </w:r>
          </w:p>
        </w:tc>
        <w:tc>
          <w:tcPr>
            <w:tcW w:w="1440" w:type="dxa"/>
            <w:tcBorders>
              <w:top w:val="nil"/>
              <w:left w:val="nil"/>
              <w:bottom w:val="single" w:sz="8" w:space="0" w:color="auto"/>
              <w:right w:val="single" w:sz="8" w:space="0" w:color="auto"/>
            </w:tcBorders>
            <w:shd w:val="clear" w:color="auto" w:fill="auto"/>
            <w:vAlign w:val="bottom"/>
          </w:tcPr>
          <w:p w:rsidR="0000088C" w:rsidRDefault="0011407A" w:rsidP="00D56A43">
            <w:pPr>
              <w:jc w:val="center"/>
            </w:pPr>
            <w:r>
              <w:t>28,04%</w:t>
            </w:r>
          </w:p>
        </w:tc>
        <w:tc>
          <w:tcPr>
            <w:tcW w:w="1440" w:type="dxa"/>
            <w:tcBorders>
              <w:top w:val="nil"/>
              <w:left w:val="nil"/>
              <w:bottom w:val="single" w:sz="8" w:space="0" w:color="auto"/>
              <w:right w:val="single" w:sz="8" w:space="0" w:color="auto"/>
            </w:tcBorders>
            <w:shd w:val="clear" w:color="auto" w:fill="auto"/>
            <w:vAlign w:val="bottom"/>
          </w:tcPr>
          <w:p w:rsidR="0000088C" w:rsidRDefault="0011407A" w:rsidP="000922CF">
            <w:pPr>
              <w:jc w:val="center"/>
            </w:pPr>
            <w:r>
              <w:t>16,</w:t>
            </w:r>
            <w:r w:rsidR="000922CF">
              <w:t>44</w:t>
            </w:r>
            <w:r>
              <w:t>%</w:t>
            </w:r>
          </w:p>
        </w:tc>
      </w:tr>
      <w:tr w:rsidR="00874FEA" w:rsidRPr="00E54F74">
        <w:trPr>
          <w:trHeight w:val="315"/>
        </w:trPr>
        <w:tc>
          <w:tcPr>
            <w:tcW w:w="4800" w:type="dxa"/>
            <w:tcBorders>
              <w:top w:val="nil"/>
              <w:left w:val="nil"/>
              <w:bottom w:val="nil"/>
              <w:right w:val="nil"/>
            </w:tcBorders>
            <w:shd w:val="clear" w:color="auto" w:fill="auto"/>
            <w:vAlign w:val="bottom"/>
          </w:tcPr>
          <w:p w:rsidR="00874FEA" w:rsidRPr="00E54F74" w:rsidRDefault="00874FEA" w:rsidP="00D56A43"/>
        </w:tc>
        <w:tc>
          <w:tcPr>
            <w:tcW w:w="1440" w:type="dxa"/>
            <w:tcBorders>
              <w:top w:val="nil"/>
              <w:left w:val="nil"/>
              <w:bottom w:val="nil"/>
              <w:right w:val="nil"/>
            </w:tcBorders>
            <w:shd w:val="clear" w:color="auto" w:fill="auto"/>
            <w:vAlign w:val="bottom"/>
          </w:tcPr>
          <w:p w:rsidR="00874FEA" w:rsidRPr="00E54F74" w:rsidRDefault="00874FEA" w:rsidP="00D56A43">
            <w:pPr>
              <w:jc w:val="center"/>
            </w:pPr>
          </w:p>
        </w:tc>
        <w:tc>
          <w:tcPr>
            <w:tcW w:w="1440" w:type="dxa"/>
            <w:tcBorders>
              <w:top w:val="nil"/>
              <w:left w:val="nil"/>
              <w:bottom w:val="nil"/>
              <w:right w:val="nil"/>
            </w:tcBorders>
            <w:shd w:val="clear" w:color="auto" w:fill="auto"/>
            <w:vAlign w:val="bottom"/>
          </w:tcPr>
          <w:p w:rsidR="00874FEA" w:rsidRPr="00E54F74" w:rsidRDefault="00874FEA" w:rsidP="00D56A43">
            <w:pPr>
              <w:jc w:val="center"/>
            </w:pPr>
          </w:p>
        </w:tc>
        <w:tc>
          <w:tcPr>
            <w:tcW w:w="1440" w:type="dxa"/>
            <w:tcBorders>
              <w:top w:val="nil"/>
              <w:left w:val="nil"/>
              <w:bottom w:val="nil"/>
              <w:right w:val="nil"/>
            </w:tcBorders>
            <w:shd w:val="clear" w:color="auto" w:fill="auto"/>
            <w:vAlign w:val="bottom"/>
          </w:tcPr>
          <w:p w:rsidR="00874FEA" w:rsidRPr="00E54F74" w:rsidRDefault="00874FEA" w:rsidP="00D56A43">
            <w:pPr>
              <w:jc w:val="center"/>
            </w:pPr>
          </w:p>
        </w:tc>
      </w:tr>
      <w:tr w:rsidR="00874FEA" w:rsidRPr="00E54F74">
        <w:trPr>
          <w:trHeight w:val="315"/>
        </w:trPr>
        <w:tc>
          <w:tcPr>
            <w:tcW w:w="4800" w:type="dxa"/>
            <w:tcBorders>
              <w:top w:val="single" w:sz="8" w:space="0" w:color="auto"/>
              <w:left w:val="single" w:sz="8" w:space="0" w:color="auto"/>
              <w:bottom w:val="single" w:sz="8" w:space="0" w:color="auto"/>
              <w:right w:val="single" w:sz="8" w:space="0" w:color="auto"/>
            </w:tcBorders>
            <w:shd w:val="clear" w:color="auto" w:fill="auto"/>
            <w:vAlign w:val="bottom"/>
          </w:tcPr>
          <w:p w:rsidR="00874FEA" w:rsidRPr="00E54F74" w:rsidRDefault="00874FEA" w:rsidP="00D56A43">
            <w:pPr>
              <w:rPr>
                <w:b/>
                <w:bCs/>
              </w:rPr>
            </w:pPr>
            <w:r>
              <w:rPr>
                <w:b/>
                <w:bCs/>
                <w:sz w:val="22"/>
                <w:szCs w:val="22"/>
              </w:rPr>
              <w:t>Rentabilité</w:t>
            </w:r>
          </w:p>
        </w:tc>
        <w:tc>
          <w:tcPr>
            <w:tcW w:w="1440" w:type="dxa"/>
            <w:tcBorders>
              <w:top w:val="single" w:sz="8" w:space="0" w:color="auto"/>
              <w:left w:val="nil"/>
              <w:bottom w:val="single" w:sz="8" w:space="0" w:color="auto"/>
              <w:right w:val="single" w:sz="8" w:space="0" w:color="auto"/>
            </w:tcBorders>
            <w:shd w:val="clear" w:color="auto" w:fill="auto"/>
            <w:vAlign w:val="bottom"/>
          </w:tcPr>
          <w:p w:rsidR="00874FEA" w:rsidRPr="00E54F74" w:rsidRDefault="00874FEA" w:rsidP="00D56A43">
            <w:pPr>
              <w:jc w:val="center"/>
              <w:rPr>
                <w:b/>
                <w:bCs/>
              </w:rPr>
            </w:pPr>
            <w:r w:rsidRPr="00E54F74">
              <w:rPr>
                <w:b/>
                <w:bCs/>
                <w:sz w:val="22"/>
                <w:szCs w:val="22"/>
              </w:rPr>
              <w:t>2007</w:t>
            </w:r>
          </w:p>
        </w:tc>
        <w:tc>
          <w:tcPr>
            <w:tcW w:w="1440" w:type="dxa"/>
            <w:tcBorders>
              <w:top w:val="single" w:sz="8" w:space="0" w:color="auto"/>
              <w:left w:val="nil"/>
              <w:bottom w:val="single" w:sz="8" w:space="0" w:color="auto"/>
              <w:right w:val="single" w:sz="8" w:space="0" w:color="auto"/>
            </w:tcBorders>
            <w:shd w:val="clear" w:color="auto" w:fill="auto"/>
            <w:vAlign w:val="bottom"/>
          </w:tcPr>
          <w:p w:rsidR="00874FEA" w:rsidRPr="00E54F74" w:rsidRDefault="00874FEA" w:rsidP="00D56A43">
            <w:pPr>
              <w:jc w:val="center"/>
              <w:rPr>
                <w:b/>
                <w:bCs/>
              </w:rPr>
            </w:pPr>
            <w:r w:rsidRPr="00E54F74">
              <w:rPr>
                <w:b/>
                <w:bCs/>
                <w:sz w:val="22"/>
                <w:szCs w:val="22"/>
              </w:rPr>
              <w:t>2008</w:t>
            </w:r>
          </w:p>
        </w:tc>
        <w:tc>
          <w:tcPr>
            <w:tcW w:w="1440" w:type="dxa"/>
            <w:tcBorders>
              <w:top w:val="single" w:sz="8" w:space="0" w:color="auto"/>
              <w:left w:val="nil"/>
              <w:bottom w:val="single" w:sz="8" w:space="0" w:color="auto"/>
              <w:right w:val="single" w:sz="8" w:space="0" w:color="auto"/>
            </w:tcBorders>
            <w:shd w:val="clear" w:color="auto" w:fill="auto"/>
            <w:vAlign w:val="bottom"/>
          </w:tcPr>
          <w:p w:rsidR="00874FEA" w:rsidRPr="00E54F74" w:rsidRDefault="00874FEA" w:rsidP="00D56A43">
            <w:pPr>
              <w:jc w:val="center"/>
              <w:rPr>
                <w:b/>
                <w:bCs/>
              </w:rPr>
            </w:pPr>
            <w:r w:rsidRPr="00E54F74">
              <w:rPr>
                <w:b/>
                <w:bCs/>
                <w:sz w:val="22"/>
                <w:szCs w:val="22"/>
              </w:rPr>
              <w:t>2009</w:t>
            </w:r>
          </w:p>
        </w:tc>
      </w:tr>
      <w:tr w:rsidR="00595F50"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595F50" w:rsidRPr="00E54F74" w:rsidRDefault="00595F50" w:rsidP="00595F50">
            <w:r>
              <w:rPr>
                <w:sz w:val="22"/>
                <w:szCs w:val="22"/>
              </w:rPr>
              <w:t>Résultat opérationnel</w:t>
            </w:r>
          </w:p>
        </w:tc>
        <w:tc>
          <w:tcPr>
            <w:tcW w:w="1440" w:type="dxa"/>
            <w:tcBorders>
              <w:top w:val="nil"/>
              <w:left w:val="nil"/>
              <w:bottom w:val="single" w:sz="8" w:space="0" w:color="auto"/>
              <w:right w:val="single" w:sz="8" w:space="0" w:color="auto"/>
            </w:tcBorders>
            <w:shd w:val="clear" w:color="auto" w:fill="auto"/>
            <w:vAlign w:val="bottom"/>
          </w:tcPr>
          <w:p w:rsidR="00595F50" w:rsidRPr="00E54F74" w:rsidRDefault="00595F50" w:rsidP="00D56A43">
            <w:pPr>
              <w:jc w:val="center"/>
            </w:pPr>
            <w:r w:rsidRPr="00E54F74">
              <w:rPr>
                <w:sz w:val="22"/>
                <w:szCs w:val="22"/>
              </w:rPr>
              <w:t>12 117</w:t>
            </w:r>
          </w:p>
        </w:tc>
        <w:tc>
          <w:tcPr>
            <w:tcW w:w="1440" w:type="dxa"/>
            <w:tcBorders>
              <w:top w:val="nil"/>
              <w:left w:val="nil"/>
              <w:bottom w:val="single" w:sz="8" w:space="0" w:color="auto"/>
              <w:right w:val="single" w:sz="8" w:space="0" w:color="auto"/>
            </w:tcBorders>
            <w:shd w:val="clear" w:color="auto" w:fill="auto"/>
            <w:vAlign w:val="bottom"/>
          </w:tcPr>
          <w:p w:rsidR="00595F50" w:rsidRPr="00E54F74" w:rsidRDefault="00595F50" w:rsidP="00D56A43">
            <w:pPr>
              <w:jc w:val="center"/>
            </w:pPr>
            <w:r w:rsidRPr="00E54F74">
              <w:rPr>
                <w:sz w:val="22"/>
                <w:szCs w:val="22"/>
              </w:rPr>
              <w:t>9 217</w:t>
            </w:r>
          </w:p>
        </w:tc>
        <w:tc>
          <w:tcPr>
            <w:tcW w:w="1440" w:type="dxa"/>
            <w:tcBorders>
              <w:top w:val="nil"/>
              <w:left w:val="nil"/>
              <w:bottom w:val="single" w:sz="8" w:space="0" w:color="auto"/>
              <w:right w:val="single" w:sz="8" w:space="0" w:color="auto"/>
            </w:tcBorders>
            <w:shd w:val="clear" w:color="auto" w:fill="auto"/>
            <w:vAlign w:val="bottom"/>
          </w:tcPr>
          <w:p w:rsidR="00595F50" w:rsidRPr="00E54F74" w:rsidRDefault="00595F50" w:rsidP="00D56A43">
            <w:pPr>
              <w:jc w:val="center"/>
            </w:pPr>
            <w:r w:rsidRPr="00E54F74">
              <w:rPr>
                <w:sz w:val="22"/>
                <w:szCs w:val="22"/>
              </w:rPr>
              <w:t>17 724</w:t>
            </w:r>
          </w:p>
        </w:tc>
      </w:tr>
      <w:tr w:rsidR="00595F50" w:rsidRPr="00E54F74">
        <w:trPr>
          <w:trHeight w:val="340"/>
        </w:trPr>
        <w:tc>
          <w:tcPr>
            <w:tcW w:w="4800" w:type="dxa"/>
            <w:tcBorders>
              <w:top w:val="nil"/>
              <w:left w:val="single" w:sz="8" w:space="0" w:color="auto"/>
              <w:bottom w:val="single" w:sz="8" w:space="0" w:color="auto"/>
              <w:right w:val="single" w:sz="8" w:space="0" w:color="auto"/>
            </w:tcBorders>
            <w:shd w:val="clear" w:color="auto" w:fill="auto"/>
            <w:vAlign w:val="bottom"/>
          </w:tcPr>
          <w:p w:rsidR="00595F50" w:rsidRPr="00E54F74" w:rsidRDefault="000A4035" w:rsidP="00D56A43">
            <w:r>
              <w:rPr>
                <w:sz w:val="22"/>
                <w:szCs w:val="22"/>
              </w:rPr>
              <w:t>+</w:t>
            </w:r>
            <w:r w:rsidR="00595F50">
              <w:rPr>
                <w:sz w:val="22"/>
                <w:szCs w:val="22"/>
              </w:rPr>
              <w:t>Autres produits et charges financiers</w:t>
            </w:r>
          </w:p>
        </w:tc>
        <w:tc>
          <w:tcPr>
            <w:tcW w:w="1440" w:type="dxa"/>
            <w:tcBorders>
              <w:top w:val="nil"/>
              <w:left w:val="nil"/>
              <w:bottom w:val="single" w:sz="8" w:space="0" w:color="auto"/>
              <w:right w:val="single" w:sz="8" w:space="0" w:color="auto"/>
            </w:tcBorders>
            <w:shd w:val="clear" w:color="auto" w:fill="auto"/>
            <w:vAlign w:val="bottom"/>
          </w:tcPr>
          <w:p w:rsidR="00595F50" w:rsidRPr="00E54F74" w:rsidRDefault="00595F50" w:rsidP="00D56A43">
            <w:pPr>
              <w:jc w:val="center"/>
            </w:pPr>
            <w:r w:rsidRPr="00E54F74">
              <w:rPr>
                <w:sz w:val="22"/>
                <w:szCs w:val="22"/>
              </w:rPr>
              <w:t>662</w:t>
            </w:r>
          </w:p>
        </w:tc>
        <w:tc>
          <w:tcPr>
            <w:tcW w:w="1440" w:type="dxa"/>
            <w:tcBorders>
              <w:top w:val="nil"/>
              <w:left w:val="nil"/>
              <w:bottom w:val="single" w:sz="8" w:space="0" w:color="auto"/>
              <w:right w:val="single" w:sz="8" w:space="0" w:color="auto"/>
            </w:tcBorders>
            <w:shd w:val="clear" w:color="auto" w:fill="auto"/>
            <w:vAlign w:val="bottom"/>
          </w:tcPr>
          <w:p w:rsidR="00595F50" w:rsidRPr="00E54F74" w:rsidRDefault="00595F50" w:rsidP="00D56A43">
            <w:pPr>
              <w:jc w:val="center"/>
            </w:pPr>
            <w:r w:rsidRPr="00E54F74">
              <w:rPr>
                <w:sz w:val="22"/>
                <w:szCs w:val="22"/>
              </w:rPr>
              <w:t>586</w:t>
            </w:r>
          </w:p>
        </w:tc>
        <w:tc>
          <w:tcPr>
            <w:tcW w:w="1440" w:type="dxa"/>
            <w:tcBorders>
              <w:top w:val="nil"/>
              <w:left w:val="nil"/>
              <w:bottom w:val="single" w:sz="8" w:space="0" w:color="auto"/>
              <w:right w:val="single" w:sz="8" w:space="0" w:color="auto"/>
            </w:tcBorders>
            <w:shd w:val="clear" w:color="auto" w:fill="auto"/>
            <w:vAlign w:val="bottom"/>
          </w:tcPr>
          <w:p w:rsidR="00595F50" w:rsidRPr="00E54F74" w:rsidRDefault="00595F50" w:rsidP="00D56A43">
            <w:pPr>
              <w:jc w:val="center"/>
            </w:pPr>
            <w:r w:rsidRPr="00E54F74">
              <w:rPr>
                <w:sz w:val="22"/>
                <w:szCs w:val="22"/>
              </w:rPr>
              <w:t>453</w:t>
            </w:r>
          </w:p>
        </w:tc>
      </w:tr>
      <w:tr w:rsidR="00874FEA" w:rsidRPr="00E54F74">
        <w:trPr>
          <w:trHeight w:val="340"/>
        </w:trPr>
        <w:tc>
          <w:tcPr>
            <w:tcW w:w="4800" w:type="dxa"/>
            <w:tcBorders>
              <w:top w:val="nil"/>
              <w:left w:val="single" w:sz="8" w:space="0" w:color="auto"/>
              <w:bottom w:val="single" w:sz="8" w:space="0" w:color="auto"/>
              <w:right w:val="single" w:sz="8" w:space="0" w:color="auto"/>
            </w:tcBorders>
            <w:shd w:val="clear" w:color="auto" w:fill="auto"/>
            <w:vAlign w:val="bottom"/>
          </w:tcPr>
          <w:p w:rsidR="00874FEA" w:rsidRPr="00E54F74" w:rsidRDefault="000A4035" w:rsidP="00D56A43">
            <w:r>
              <w:rPr>
                <w:sz w:val="22"/>
                <w:szCs w:val="22"/>
              </w:rPr>
              <w:t xml:space="preserve">= </w:t>
            </w:r>
            <w:r w:rsidR="00595F50">
              <w:rPr>
                <w:sz w:val="22"/>
                <w:szCs w:val="22"/>
              </w:rPr>
              <w:t>Résultat économique</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595F50" w:rsidP="00D56A43">
            <w:pPr>
              <w:jc w:val="center"/>
            </w:pPr>
            <w:r>
              <w:rPr>
                <w:sz w:val="22"/>
                <w:szCs w:val="22"/>
              </w:rPr>
              <w:t>12 779</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595F50" w:rsidP="00D56A43">
            <w:pPr>
              <w:jc w:val="center"/>
            </w:pPr>
            <w:r>
              <w:rPr>
                <w:sz w:val="22"/>
                <w:szCs w:val="22"/>
              </w:rPr>
              <w:t>9 803</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595F50" w:rsidP="00D56A43">
            <w:pPr>
              <w:jc w:val="center"/>
            </w:pPr>
            <w:r>
              <w:rPr>
                <w:sz w:val="22"/>
                <w:szCs w:val="22"/>
              </w:rPr>
              <w:t>18 177</w:t>
            </w:r>
          </w:p>
        </w:tc>
      </w:tr>
      <w:tr w:rsidR="00874FEA" w:rsidRPr="00E54F74">
        <w:trPr>
          <w:trHeight w:val="340"/>
        </w:trPr>
        <w:tc>
          <w:tcPr>
            <w:tcW w:w="4800" w:type="dxa"/>
            <w:tcBorders>
              <w:top w:val="nil"/>
              <w:left w:val="single" w:sz="8" w:space="0" w:color="auto"/>
              <w:bottom w:val="single" w:sz="8" w:space="0" w:color="auto"/>
              <w:right w:val="single" w:sz="8" w:space="0" w:color="auto"/>
            </w:tcBorders>
            <w:shd w:val="clear" w:color="auto" w:fill="auto"/>
            <w:vAlign w:val="bottom"/>
          </w:tcPr>
          <w:p w:rsidR="00874FEA" w:rsidRPr="00E54F74" w:rsidRDefault="00595F50" w:rsidP="00D56A43">
            <w:r>
              <w:rPr>
                <w:sz w:val="22"/>
                <w:szCs w:val="22"/>
              </w:rPr>
              <w:t>Renta éco = (</w:t>
            </w:r>
            <w:proofErr w:type="spellStart"/>
            <w:r>
              <w:rPr>
                <w:sz w:val="22"/>
                <w:szCs w:val="22"/>
              </w:rPr>
              <w:t>Rés</w:t>
            </w:r>
            <w:proofErr w:type="spellEnd"/>
            <w:r>
              <w:rPr>
                <w:sz w:val="22"/>
                <w:szCs w:val="22"/>
              </w:rPr>
              <w:t xml:space="preserve"> éco / Cap empl</w:t>
            </w:r>
            <w:r w:rsidR="0000088C">
              <w:rPr>
                <w:sz w:val="22"/>
                <w:szCs w:val="22"/>
              </w:rPr>
              <w:t>oyés</w:t>
            </w:r>
            <w:r>
              <w:rPr>
                <w:sz w:val="22"/>
                <w:szCs w:val="22"/>
              </w:rPr>
              <w:t>) x 2/3</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485DBB" w:rsidP="00D56A43">
            <w:pPr>
              <w:jc w:val="center"/>
            </w:pPr>
            <w:r>
              <w:t>11,39%</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485DBB" w:rsidP="00D56A43">
            <w:pPr>
              <w:jc w:val="center"/>
            </w:pPr>
            <w:r>
              <w:t>9,43%</w:t>
            </w:r>
          </w:p>
        </w:tc>
        <w:tc>
          <w:tcPr>
            <w:tcW w:w="1440" w:type="dxa"/>
            <w:tcBorders>
              <w:top w:val="nil"/>
              <w:left w:val="nil"/>
              <w:bottom w:val="single" w:sz="8" w:space="0" w:color="auto"/>
              <w:right w:val="single" w:sz="8" w:space="0" w:color="auto"/>
            </w:tcBorders>
            <w:shd w:val="clear" w:color="auto" w:fill="auto"/>
            <w:vAlign w:val="bottom"/>
          </w:tcPr>
          <w:p w:rsidR="00874FEA" w:rsidRPr="00E54F74" w:rsidRDefault="00485DBB" w:rsidP="00D56A43">
            <w:pPr>
              <w:jc w:val="center"/>
            </w:pPr>
            <w:r>
              <w:t>16,40%</w:t>
            </w:r>
          </w:p>
        </w:tc>
      </w:tr>
      <w:tr w:rsidR="00595F50" w:rsidRPr="00E54F74">
        <w:trPr>
          <w:trHeight w:val="340"/>
        </w:trPr>
        <w:tc>
          <w:tcPr>
            <w:tcW w:w="4800" w:type="dxa"/>
            <w:tcBorders>
              <w:top w:val="nil"/>
              <w:left w:val="single" w:sz="8" w:space="0" w:color="auto"/>
              <w:bottom w:val="single" w:sz="8" w:space="0" w:color="auto"/>
              <w:right w:val="single" w:sz="8" w:space="0" w:color="auto"/>
            </w:tcBorders>
            <w:shd w:val="clear" w:color="auto" w:fill="auto"/>
            <w:vAlign w:val="bottom"/>
          </w:tcPr>
          <w:p w:rsidR="00595F50" w:rsidRDefault="00595F50" w:rsidP="00D56A43">
            <w:r>
              <w:rPr>
                <w:sz w:val="22"/>
                <w:szCs w:val="22"/>
              </w:rPr>
              <w:t>Renta KP = Résultat net / Cap. propres</w:t>
            </w:r>
          </w:p>
        </w:tc>
        <w:tc>
          <w:tcPr>
            <w:tcW w:w="1440" w:type="dxa"/>
            <w:tcBorders>
              <w:top w:val="nil"/>
              <w:left w:val="nil"/>
              <w:bottom w:val="single" w:sz="8" w:space="0" w:color="auto"/>
              <w:right w:val="single" w:sz="8" w:space="0" w:color="auto"/>
            </w:tcBorders>
            <w:shd w:val="clear" w:color="auto" w:fill="auto"/>
            <w:vAlign w:val="bottom"/>
          </w:tcPr>
          <w:p w:rsidR="00595F50" w:rsidRPr="00E54F74" w:rsidRDefault="0011407A" w:rsidP="00D56A43">
            <w:pPr>
              <w:jc w:val="center"/>
            </w:pPr>
            <w:r>
              <w:t>NS</w:t>
            </w:r>
          </w:p>
        </w:tc>
        <w:tc>
          <w:tcPr>
            <w:tcW w:w="1440" w:type="dxa"/>
            <w:tcBorders>
              <w:top w:val="nil"/>
              <w:left w:val="nil"/>
              <w:bottom w:val="single" w:sz="8" w:space="0" w:color="auto"/>
              <w:right w:val="single" w:sz="8" w:space="0" w:color="auto"/>
            </w:tcBorders>
            <w:shd w:val="clear" w:color="auto" w:fill="auto"/>
            <w:vAlign w:val="bottom"/>
          </w:tcPr>
          <w:p w:rsidR="00595F50" w:rsidRPr="00E54F74" w:rsidRDefault="0011407A" w:rsidP="00D56A43">
            <w:pPr>
              <w:jc w:val="center"/>
            </w:pPr>
            <w:r>
              <w:t>12,87%</w:t>
            </w:r>
          </w:p>
        </w:tc>
        <w:tc>
          <w:tcPr>
            <w:tcW w:w="1440" w:type="dxa"/>
            <w:tcBorders>
              <w:top w:val="nil"/>
              <w:left w:val="nil"/>
              <w:bottom w:val="single" w:sz="8" w:space="0" w:color="auto"/>
              <w:right w:val="single" w:sz="8" w:space="0" w:color="auto"/>
            </w:tcBorders>
            <w:shd w:val="clear" w:color="auto" w:fill="auto"/>
            <w:vAlign w:val="bottom"/>
          </w:tcPr>
          <w:p w:rsidR="00595F50" w:rsidRPr="00E54F74" w:rsidRDefault="0011407A" w:rsidP="00D56A43">
            <w:pPr>
              <w:jc w:val="center"/>
            </w:pPr>
            <w:r>
              <w:t>22,32%</w:t>
            </w:r>
          </w:p>
        </w:tc>
      </w:tr>
      <w:tr w:rsidR="00874FEA" w:rsidRPr="00E54F74">
        <w:trPr>
          <w:trHeight w:val="270"/>
        </w:trPr>
        <w:tc>
          <w:tcPr>
            <w:tcW w:w="4800" w:type="dxa"/>
            <w:tcBorders>
              <w:top w:val="nil"/>
              <w:left w:val="nil"/>
              <w:bottom w:val="nil"/>
              <w:right w:val="nil"/>
            </w:tcBorders>
            <w:shd w:val="clear" w:color="auto" w:fill="auto"/>
            <w:noWrap/>
            <w:vAlign w:val="bottom"/>
          </w:tcPr>
          <w:p w:rsidR="00874FEA" w:rsidRPr="00E54F74" w:rsidRDefault="00874FEA" w:rsidP="00D56A43">
            <w:pPr>
              <w:rPr>
                <w:rFonts w:ascii="Arial" w:hAnsi="Arial" w:cs="Arial"/>
                <w:sz w:val="20"/>
                <w:szCs w:val="20"/>
              </w:rPr>
            </w:pPr>
          </w:p>
        </w:tc>
        <w:tc>
          <w:tcPr>
            <w:tcW w:w="1440" w:type="dxa"/>
            <w:tcBorders>
              <w:top w:val="nil"/>
              <w:left w:val="nil"/>
              <w:bottom w:val="nil"/>
              <w:right w:val="nil"/>
            </w:tcBorders>
            <w:shd w:val="clear" w:color="auto" w:fill="auto"/>
            <w:noWrap/>
            <w:vAlign w:val="bottom"/>
          </w:tcPr>
          <w:p w:rsidR="00874FEA" w:rsidRPr="00E54F74" w:rsidRDefault="00874FEA" w:rsidP="00D56A43">
            <w:pPr>
              <w:rPr>
                <w:rFonts w:ascii="Arial" w:hAnsi="Arial" w:cs="Arial"/>
                <w:sz w:val="20"/>
                <w:szCs w:val="20"/>
              </w:rPr>
            </w:pPr>
          </w:p>
        </w:tc>
        <w:tc>
          <w:tcPr>
            <w:tcW w:w="1440" w:type="dxa"/>
            <w:tcBorders>
              <w:top w:val="nil"/>
              <w:left w:val="nil"/>
              <w:bottom w:val="nil"/>
              <w:right w:val="nil"/>
            </w:tcBorders>
            <w:shd w:val="clear" w:color="auto" w:fill="auto"/>
            <w:noWrap/>
            <w:vAlign w:val="bottom"/>
          </w:tcPr>
          <w:p w:rsidR="00874FEA" w:rsidRPr="00E54F74" w:rsidRDefault="00874FEA" w:rsidP="00D56A43">
            <w:pPr>
              <w:rPr>
                <w:rFonts w:ascii="Arial" w:hAnsi="Arial" w:cs="Arial"/>
                <w:sz w:val="20"/>
                <w:szCs w:val="20"/>
              </w:rPr>
            </w:pPr>
          </w:p>
        </w:tc>
        <w:tc>
          <w:tcPr>
            <w:tcW w:w="1440" w:type="dxa"/>
            <w:tcBorders>
              <w:top w:val="nil"/>
              <w:left w:val="nil"/>
              <w:bottom w:val="nil"/>
              <w:right w:val="nil"/>
            </w:tcBorders>
            <w:shd w:val="clear" w:color="auto" w:fill="auto"/>
            <w:noWrap/>
            <w:vAlign w:val="bottom"/>
          </w:tcPr>
          <w:p w:rsidR="00874FEA" w:rsidRPr="00E54F74" w:rsidRDefault="00874FEA" w:rsidP="00D56A43">
            <w:pPr>
              <w:rPr>
                <w:rFonts w:ascii="Arial" w:hAnsi="Arial" w:cs="Arial"/>
                <w:sz w:val="20"/>
                <w:szCs w:val="20"/>
              </w:rPr>
            </w:pPr>
          </w:p>
        </w:tc>
      </w:tr>
      <w:tr w:rsidR="00874FEA" w:rsidRPr="00E54F74">
        <w:trPr>
          <w:trHeight w:val="300"/>
        </w:trPr>
        <w:tc>
          <w:tcPr>
            <w:tcW w:w="480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74FEA" w:rsidRPr="00E54F74" w:rsidRDefault="0000088C" w:rsidP="00D56A43">
            <w:pPr>
              <w:rPr>
                <w:b/>
                <w:bCs/>
              </w:rPr>
            </w:pPr>
            <w:r>
              <w:rPr>
                <w:b/>
                <w:bCs/>
                <w:sz w:val="22"/>
                <w:szCs w:val="22"/>
              </w:rPr>
              <w:t>Profitabilité</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874FEA" w:rsidRPr="00E54F74" w:rsidRDefault="00874FEA" w:rsidP="00D56A43">
            <w:pPr>
              <w:jc w:val="center"/>
              <w:rPr>
                <w:b/>
                <w:bCs/>
              </w:rPr>
            </w:pPr>
            <w:r w:rsidRPr="00E54F74">
              <w:rPr>
                <w:b/>
                <w:bCs/>
                <w:sz w:val="22"/>
                <w:szCs w:val="22"/>
              </w:rPr>
              <w:t>2007</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874FEA" w:rsidRPr="00E54F74" w:rsidRDefault="00874FEA" w:rsidP="00D56A43">
            <w:pPr>
              <w:jc w:val="center"/>
              <w:rPr>
                <w:b/>
                <w:bCs/>
              </w:rPr>
            </w:pPr>
            <w:r w:rsidRPr="00E54F74">
              <w:rPr>
                <w:b/>
                <w:bCs/>
                <w:sz w:val="22"/>
                <w:szCs w:val="22"/>
              </w:rPr>
              <w:t>2008</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874FEA" w:rsidRPr="00E54F74" w:rsidRDefault="00874FEA" w:rsidP="00D56A43">
            <w:pPr>
              <w:jc w:val="center"/>
              <w:rPr>
                <w:b/>
                <w:bCs/>
              </w:rPr>
            </w:pPr>
            <w:r w:rsidRPr="00E54F74">
              <w:rPr>
                <w:b/>
                <w:bCs/>
                <w:sz w:val="22"/>
                <w:szCs w:val="22"/>
              </w:rPr>
              <w:t>2009</w:t>
            </w:r>
          </w:p>
        </w:tc>
      </w:tr>
      <w:tr w:rsidR="00874FEA" w:rsidRPr="00E54F74">
        <w:trPr>
          <w:trHeight w:val="300"/>
        </w:trPr>
        <w:tc>
          <w:tcPr>
            <w:tcW w:w="4800" w:type="dxa"/>
            <w:tcBorders>
              <w:top w:val="nil"/>
              <w:left w:val="single" w:sz="8" w:space="0" w:color="auto"/>
              <w:bottom w:val="nil"/>
              <w:right w:val="single" w:sz="8" w:space="0" w:color="auto"/>
            </w:tcBorders>
            <w:shd w:val="clear" w:color="auto" w:fill="auto"/>
            <w:noWrap/>
            <w:vAlign w:val="bottom"/>
          </w:tcPr>
          <w:p w:rsidR="00874FEA" w:rsidRPr="00E54F74" w:rsidRDefault="00874FEA" w:rsidP="00D56A43">
            <w:r w:rsidRPr="00E54F74">
              <w:rPr>
                <w:sz w:val="22"/>
                <w:szCs w:val="22"/>
              </w:rPr>
              <w:t xml:space="preserve">Chiffres d'affaires </w:t>
            </w:r>
          </w:p>
        </w:tc>
        <w:tc>
          <w:tcPr>
            <w:tcW w:w="1440" w:type="dxa"/>
            <w:tcBorders>
              <w:top w:val="nil"/>
              <w:left w:val="nil"/>
              <w:bottom w:val="nil"/>
              <w:right w:val="single" w:sz="8" w:space="0" w:color="auto"/>
            </w:tcBorders>
            <w:shd w:val="clear" w:color="auto" w:fill="auto"/>
            <w:noWrap/>
            <w:vAlign w:val="bottom"/>
          </w:tcPr>
          <w:p w:rsidR="00874FEA" w:rsidRPr="00E54F74" w:rsidRDefault="00874FEA" w:rsidP="00D56A43">
            <w:pPr>
              <w:jc w:val="center"/>
            </w:pPr>
            <w:r w:rsidRPr="00E54F74">
              <w:rPr>
                <w:sz w:val="22"/>
                <w:szCs w:val="22"/>
              </w:rPr>
              <w:t>141 929</w:t>
            </w:r>
          </w:p>
        </w:tc>
        <w:tc>
          <w:tcPr>
            <w:tcW w:w="1440" w:type="dxa"/>
            <w:tcBorders>
              <w:top w:val="nil"/>
              <w:left w:val="nil"/>
              <w:bottom w:val="nil"/>
              <w:right w:val="single" w:sz="8" w:space="0" w:color="auto"/>
            </w:tcBorders>
            <w:shd w:val="clear" w:color="auto" w:fill="auto"/>
            <w:noWrap/>
            <w:vAlign w:val="bottom"/>
          </w:tcPr>
          <w:p w:rsidR="00874FEA" w:rsidRPr="00E54F74" w:rsidRDefault="00874FEA" w:rsidP="00D56A43">
            <w:pPr>
              <w:jc w:val="center"/>
            </w:pPr>
            <w:r w:rsidRPr="00E54F74">
              <w:rPr>
                <w:sz w:val="22"/>
                <w:szCs w:val="22"/>
              </w:rPr>
              <w:t>141 600</w:t>
            </w:r>
          </w:p>
        </w:tc>
        <w:tc>
          <w:tcPr>
            <w:tcW w:w="1440" w:type="dxa"/>
            <w:tcBorders>
              <w:top w:val="nil"/>
              <w:left w:val="nil"/>
              <w:bottom w:val="nil"/>
              <w:right w:val="single" w:sz="8" w:space="0" w:color="auto"/>
            </w:tcBorders>
            <w:shd w:val="clear" w:color="auto" w:fill="auto"/>
            <w:noWrap/>
            <w:vAlign w:val="bottom"/>
          </w:tcPr>
          <w:p w:rsidR="00874FEA" w:rsidRPr="00E54F74" w:rsidRDefault="00874FEA" w:rsidP="00D56A43">
            <w:pPr>
              <w:jc w:val="center"/>
            </w:pPr>
            <w:r w:rsidRPr="00E54F74">
              <w:rPr>
                <w:sz w:val="22"/>
                <w:szCs w:val="22"/>
              </w:rPr>
              <w:t>148 328</w:t>
            </w:r>
          </w:p>
        </w:tc>
      </w:tr>
      <w:tr w:rsidR="0000088C" w:rsidRPr="00E54F74">
        <w:trPr>
          <w:trHeight w:val="315"/>
        </w:trPr>
        <w:tc>
          <w:tcPr>
            <w:tcW w:w="4800" w:type="dxa"/>
            <w:tcBorders>
              <w:top w:val="nil"/>
              <w:left w:val="single" w:sz="8" w:space="0" w:color="auto"/>
              <w:bottom w:val="single" w:sz="8" w:space="0" w:color="auto"/>
              <w:right w:val="single" w:sz="8" w:space="0" w:color="auto"/>
            </w:tcBorders>
            <w:shd w:val="clear" w:color="auto" w:fill="auto"/>
            <w:noWrap/>
            <w:vAlign w:val="bottom"/>
          </w:tcPr>
          <w:p w:rsidR="0000088C" w:rsidRPr="00E54F74" w:rsidRDefault="0000088C" w:rsidP="00D56A43">
            <w:r>
              <w:rPr>
                <w:sz w:val="22"/>
                <w:szCs w:val="22"/>
              </w:rPr>
              <w:t>Taux de variation du CA</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00088C" w:rsidRPr="00E54F74" w:rsidRDefault="0000088C" w:rsidP="00D56A43">
            <w:pPr>
              <w:jc w:val="center"/>
            </w:pP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00088C" w:rsidRPr="00E54F74" w:rsidRDefault="0011407A" w:rsidP="00D56A43">
            <w:pPr>
              <w:jc w:val="center"/>
            </w:pPr>
            <w:r>
              <w:t>-0,23%</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00088C" w:rsidRPr="00E54F74" w:rsidRDefault="0011407A" w:rsidP="00D56A43">
            <w:pPr>
              <w:jc w:val="center"/>
            </w:pPr>
            <w:r>
              <w:t>+4,75%</w:t>
            </w:r>
          </w:p>
        </w:tc>
      </w:tr>
      <w:tr w:rsidR="00874FEA" w:rsidRPr="00E54F74">
        <w:trPr>
          <w:trHeight w:val="315"/>
        </w:trPr>
        <w:tc>
          <w:tcPr>
            <w:tcW w:w="4800" w:type="dxa"/>
            <w:tcBorders>
              <w:top w:val="nil"/>
              <w:left w:val="single" w:sz="8" w:space="0" w:color="auto"/>
              <w:bottom w:val="single" w:sz="8" w:space="0" w:color="auto"/>
              <w:right w:val="single" w:sz="8" w:space="0" w:color="auto"/>
            </w:tcBorders>
            <w:shd w:val="clear" w:color="auto" w:fill="auto"/>
            <w:noWrap/>
            <w:vAlign w:val="bottom"/>
          </w:tcPr>
          <w:p w:rsidR="00874FEA" w:rsidRPr="00E54F74" w:rsidRDefault="0000088C" w:rsidP="00D56A43">
            <w:r>
              <w:rPr>
                <w:sz w:val="22"/>
                <w:szCs w:val="22"/>
              </w:rPr>
              <w:t xml:space="preserve">Taux de </w:t>
            </w:r>
            <w:r w:rsidR="00291571">
              <w:rPr>
                <w:sz w:val="22"/>
                <w:szCs w:val="22"/>
              </w:rPr>
              <w:t>m</w:t>
            </w:r>
            <w:r w:rsidR="00874FEA" w:rsidRPr="00E54F74">
              <w:rPr>
                <w:sz w:val="22"/>
                <w:szCs w:val="22"/>
              </w:rPr>
              <w:t xml:space="preserve">arge brute </w:t>
            </w:r>
            <w:r>
              <w:rPr>
                <w:sz w:val="22"/>
                <w:szCs w:val="22"/>
              </w:rPr>
              <w:t>(Marge brute / CA)</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874FEA" w:rsidRPr="00E54F74" w:rsidRDefault="0011407A" w:rsidP="00D56A43">
            <w:pPr>
              <w:jc w:val="center"/>
            </w:pPr>
            <w:r>
              <w:t>64,83%</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874FEA" w:rsidRPr="00E54F74" w:rsidRDefault="0011407A" w:rsidP="00D56A43">
            <w:pPr>
              <w:jc w:val="center"/>
            </w:pPr>
            <w:r>
              <w:t>63,82%</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874FEA" w:rsidRPr="00E54F74" w:rsidRDefault="000A4035" w:rsidP="00D56A43">
            <w:pPr>
              <w:jc w:val="center"/>
            </w:pPr>
            <w:r>
              <w:t>62,10%</w:t>
            </w:r>
          </w:p>
        </w:tc>
      </w:tr>
      <w:tr w:rsidR="00874FEA" w:rsidRPr="00E54F74">
        <w:trPr>
          <w:trHeight w:val="315"/>
        </w:trPr>
        <w:tc>
          <w:tcPr>
            <w:tcW w:w="4800" w:type="dxa"/>
            <w:tcBorders>
              <w:top w:val="nil"/>
              <w:left w:val="single" w:sz="8" w:space="0" w:color="auto"/>
              <w:bottom w:val="single" w:sz="8" w:space="0" w:color="auto"/>
              <w:right w:val="single" w:sz="8" w:space="0" w:color="auto"/>
            </w:tcBorders>
            <w:shd w:val="clear" w:color="auto" w:fill="auto"/>
            <w:noWrap/>
            <w:vAlign w:val="bottom"/>
          </w:tcPr>
          <w:p w:rsidR="00874FEA" w:rsidRPr="00E54F74" w:rsidRDefault="0000088C" w:rsidP="0000088C">
            <w:r>
              <w:rPr>
                <w:sz w:val="22"/>
                <w:szCs w:val="22"/>
              </w:rPr>
              <w:t>Taux de marge</w:t>
            </w:r>
            <w:r w:rsidR="00874FEA" w:rsidRPr="00E54F74">
              <w:rPr>
                <w:sz w:val="22"/>
                <w:szCs w:val="22"/>
              </w:rPr>
              <w:t xml:space="preserve"> opérationnel</w:t>
            </w:r>
            <w:r>
              <w:rPr>
                <w:sz w:val="22"/>
                <w:szCs w:val="22"/>
              </w:rPr>
              <w:t>le (</w:t>
            </w:r>
            <w:proofErr w:type="spellStart"/>
            <w:r>
              <w:rPr>
                <w:sz w:val="22"/>
                <w:szCs w:val="22"/>
              </w:rPr>
              <w:t>Rés</w:t>
            </w:r>
            <w:proofErr w:type="spellEnd"/>
            <w:r>
              <w:rPr>
                <w:sz w:val="22"/>
                <w:szCs w:val="22"/>
              </w:rPr>
              <w:t xml:space="preserve"> </w:t>
            </w:r>
            <w:proofErr w:type="spellStart"/>
            <w:r>
              <w:rPr>
                <w:sz w:val="22"/>
                <w:szCs w:val="22"/>
              </w:rPr>
              <w:t>opér</w:t>
            </w:r>
            <w:proofErr w:type="spellEnd"/>
            <w:r>
              <w:rPr>
                <w:sz w:val="22"/>
                <w:szCs w:val="22"/>
              </w:rPr>
              <w:t xml:space="preserve"> / CA)</w:t>
            </w:r>
          </w:p>
        </w:tc>
        <w:tc>
          <w:tcPr>
            <w:tcW w:w="1440" w:type="dxa"/>
            <w:tcBorders>
              <w:top w:val="nil"/>
              <w:left w:val="nil"/>
              <w:bottom w:val="single" w:sz="8" w:space="0" w:color="auto"/>
              <w:right w:val="single" w:sz="8" w:space="0" w:color="auto"/>
            </w:tcBorders>
            <w:shd w:val="clear" w:color="auto" w:fill="auto"/>
            <w:noWrap/>
            <w:vAlign w:val="bottom"/>
          </w:tcPr>
          <w:p w:rsidR="00874FEA" w:rsidRPr="00E54F74" w:rsidRDefault="0011407A" w:rsidP="00D56A43">
            <w:pPr>
              <w:jc w:val="center"/>
            </w:pPr>
            <w:r>
              <w:t>8,54%</w:t>
            </w:r>
          </w:p>
        </w:tc>
        <w:tc>
          <w:tcPr>
            <w:tcW w:w="1440" w:type="dxa"/>
            <w:tcBorders>
              <w:top w:val="nil"/>
              <w:left w:val="nil"/>
              <w:bottom w:val="single" w:sz="8" w:space="0" w:color="auto"/>
              <w:right w:val="single" w:sz="8" w:space="0" w:color="auto"/>
            </w:tcBorders>
            <w:shd w:val="clear" w:color="auto" w:fill="auto"/>
            <w:noWrap/>
            <w:vAlign w:val="bottom"/>
          </w:tcPr>
          <w:p w:rsidR="00874FEA" w:rsidRPr="00E54F74" w:rsidRDefault="0011407A" w:rsidP="00D56A43">
            <w:pPr>
              <w:jc w:val="center"/>
            </w:pPr>
            <w:r>
              <w:rPr>
                <w:sz w:val="22"/>
                <w:szCs w:val="22"/>
              </w:rPr>
              <w:t>6,51%</w:t>
            </w:r>
          </w:p>
        </w:tc>
        <w:tc>
          <w:tcPr>
            <w:tcW w:w="1440" w:type="dxa"/>
            <w:tcBorders>
              <w:top w:val="nil"/>
              <w:left w:val="nil"/>
              <w:bottom w:val="single" w:sz="8" w:space="0" w:color="auto"/>
              <w:right w:val="single" w:sz="8" w:space="0" w:color="auto"/>
            </w:tcBorders>
            <w:shd w:val="clear" w:color="auto" w:fill="auto"/>
            <w:noWrap/>
            <w:vAlign w:val="bottom"/>
          </w:tcPr>
          <w:p w:rsidR="00874FEA" w:rsidRPr="00E54F74" w:rsidRDefault="000A4035" w:rsidP="00D56A43">
            <w:pPr>
              <w:jc w:val="center"/>
            </w:pPr>
            <w:r>
              <w:t>11,95%</w:t>
            </w:r>
          </w:p>
        </w:tc>
      </w:tr>
    </w:tbl>
    <w:p w:rsidR="00874FEA" w:rsidRPr="00874FEA" w:rsidRDefault="00874FEA" w:rsidP="00855587">
      <w:pP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417"/>
        <w:gridCol w:w="1418"/>
        <w:gridCol w:w="1449"/>
      </w:tblGrid>
      <w:tr w:rsidR="000A4035">
        <w:tc>
          <w:tcPr>
            <w:tcW w:w="4820" w:type="dxa"/>
          </w:tcPr>
          <w:p w:rsidR="000A4035" w:rsidRPr="00D56A43" w:rsidRDefault="000A4035" w:rsidP="00D56A43">
            <w:pPr>
              <w:jc w:val="both"/>
              <w:rPr>
                <w:b/>
                <w:sz w:val="22"/>
                <w:szCs w:val="22"/>
              </w:rPr>
            </w:pPr>
            <w:r w:rsidRPr="00D56A43">
              <w:rPr>
                <w:b/>
                <w:sz w:val="22"/>
                <w:szCs w:val="22"/>
              </w:rPr>
              <w:t>Trésorerie</w:t>
            </w:r>
          </w:p>
        </w:tc>
        <w:tc>
          <w:tcPr>
            <w:tcW w:w="1417" w:type="dxa"/>
          </w:tcPr>
          <w:p w:rsidR="000A4035" w:rsidRPr="00D56A43" w:rsidRDefault="000A4035" w:rsidP="00D56A43">
            <w:pPr>
              <w:jc w:val="center"/>
              <w:rPr>
                <w:b/>
                <w:sz w:val="22"/>
                <w:szCs w:val="22"/>
              </w:rPr>
            </w:pPr>
            <w:r w:rsidRPr="00D56A43">
              <w:rPr>
                <w:b/>
                <w:sz w:val="22"/>
                <w:szCs w:val="22"/>
              </w:rPr>
              <w:t>2007</w:t>
            </w:r>
          </w:p>
        </w:tc>
        <w:tc>
          <w:tcPr>
            <w:tcW w:w="1418" w:type="dxa"/>
          </w:tcPr>
          <w:p w:rsidR="000A4035" w:rsidRPr="00D56A43" w:rsidRDefault="000A4035" w:rsidP="00D56A43">
            <w:pPr>
              <w:jc w:val="center"/>
              <w:rPr>
                <w:b/>
                <w:sz w:val="22"/>
                <w:szCs w:val="22"/>
              </w:rPr>
            </w:pPr>
            <w:r w:rsidRPr="00D56A43">
              <w:rPr>
                <w:b/>
                <w:sz w:val="22"/>
                <w:szCs w:val="22"/>
              </w:rPr>
              <w:t>2008</w:t>
            </w:r>
          </w:p>
        </w:tc>
        <w:tc>
          <w:tcPr>
            <w:tcW w:w="1449" w:type="dxa"/>
          </w:tcPr>
          <w:p w:rsidR="000A4035" w:rsidRPr="00D56A43" w:rsidRDefault="000A4035" w:rsidP="00D56A43">
            <w:pPr>
              <w:jc w:val="center"/>
              <w:rPr>
                <w:b/>
                <w:sz w:val="22"/>
                <w:szCs w:val="22"/>
              </w:rPr>
            </w:pPr>
            <w:r w:rsidRPr="00D56A43">
              <w:rPr>
                <w:b/>
                <w:sz w:val="22"/>
                <w:szCs w:val="22"/>
              </w:rPr>
              <w:t>2009</w:t>
            </w:r>
          </w:p>
        </w:tc>
      </w:tr>
      <w:tr w:rsidR="000A4035">
        <w:tc>
          <w:tcPr>
            <w:tcW w:w="4820" w:type="dxa"/>
          </w:tcPr>
          <w:p w:rsidR="000A4035" w:rsidRPr="00D56A43" w:rsidRDefault="000A4035" w:rsidP="00D56A43">
            <w:pPr>
              <w:jc w:val="both"/>
              <w:rPr>
                <w:sz w:val="22"/>
                <w:szCs w:val="22"/>
              </w:rPr>
            </w:pPr>
            <w:r w:rsidRPr="00D56A43">
              <w:rPr>
                <w:sz w:val="22"/>
                <w:szCs w:val="22"/>
              </w:rPr>
              <w:t>Trésorerie initiale</w:t>
            </w:r>
          </w:p>
        </w:tc>
        <w:tc>
          <w:tcPr>
            <w:tcW w:w="1417" w:type="dxa"/>
          </w:tcPr>
          <w:p w:rsidR="000A4035" w:rsidRPr="00D56A43" w:rsidRDefault="00291571" w:rsidP="00D56A43">
            <w:pPr>
              <w:jc w:val="center"/>
              <w:rPr>
                <w:sz w:val="22"/>
                <w:szCs w:val="22"/>
              </w:rPr>
            </w:pPr>
            <w:r w:rsidRPr="00D56A43">
              <w:rPr>
                <w:sz w:val="22"/>
                <w:szCs w:val="22"/>
              </w:rPr>
              <w:t>-17 439</w:t>
            </w:r>
          </w:p>
        </w:tc>
        <w:tc>
          <w:tcPr>
            <w:tcW w:w="1418" w:type="dxa"/>
          </w:tcPr>
          <w:p w:rsidR="000A4035" w:rsidRPr="00D56A43" w:rsidRDefault="001C17B1" w:rsidP="00D56A43">
            <w:pPr>
              <w:jc w:val="center"/>
              <w:rPr>
                <w:sz w:val="22"/>
                <w:szCs w:val="22"/>
              </w:rPr>
            </w:pPr>
            <w:r w:rsidRPr="00D56A43">
              <w:rPr>
                <w:sz w:val="22"/>
                <w:szCs w:val="22"/>
              </w:rPr>
              <w:t>-19 900</w:t>
            </w:r>
          </w:p>
        </w:tc>
        <w:tc>
          <w:tcPr>
            <w:tcW w:w="1449" w:type="dxa"/>
          </w:tcPr>
          <w:p w:rsidR="000A4035" w:rsidRPr="00D56A43" w:rsidRDefault="001C17B1" w:rsidP="00D56A43">
            <w:pPr>
              <w:jc w:val="center"/>
              <w:rPr>
                <w:sz w:val="22"/>
                <w:szCs w:val="22"/>
              </w:rPr>
            </w:pPr>
            <w:r w:rsidRPr="00D56A43">
              <w:rPr>
                <w:sz w:val="22"/>
                <w:szCs w:val="22"/>
              </w:rPr>
              <w:t>6 410</w:t>
            </w:r>
          </w:p>
        </w:tc>
      </w:tr>
      <w:tr w:rsidR="000A4035">
        <w:tc>
          <w:tcPr>
            <w:tcW w:w="4820" w:type="dxa"/>
          </w:tcPr>
          <w:p w:rsidR="000A4035" w:rsidRPr="00D56A43" w:rsidRDefault="000A4035" w:rsidP="00D56A43">
            <w:pPr>
              <w:jc w:val="both"/>
              <w:rPr>
                <w:sz w:val="22"/>
                <w:szCs w:val="22"/>
              </w:rPr>
            </w:pPr>
            <w:r w:rsidRPr="00D56A43">
              <w:rPr>
                <w:sz w:val="22"/>
                <w:szCs w:val="22"/>
              </w:rPr>
              <w:t>Somme des flux (</w:t>
            </w:r>
            <w:proofErr w:type="spellStart"/>
            <w:r w:rsidRPr="00D56A43">
              <w:rPr>
                <w:sz w:val="22"/>
                <w:szCs w:val="22"/>
              </w:rPr>
              <w:t>opérat</w:t>
            </w:r>
            <w:proofErr w:type="spellEnd"/>
            <w:r w:rsidRPr="00D56A43">
              <w:rPr>
                <w:sz w:val="22"/>
                <w:szCs w:val="22"/>
              </w:rPr>
              <w:t xml:space="preserve">, </w:t>
            </w:r>
            <w:proofErr w:type="spellStart"/>
            <w:r w:rsidRPr="00D56A43">
              <w:rPr>
                <w:sz w:val="22"/>
                <w:szCs w:val="22"/>
              </w:rPr>
              <w:t>invest</w:t>
            </w:r>
            <w:proofErr w:type="spellEnd"/>
            <w:r w:rsidRPr="00D56A43">
              <w:rPr>
                <w:sz w:val="22"/>
                <w:szCs w:val="22"/>
              </w:rPr>
              <w:t>, financement)</w:t>
            </w:r>
          </w:p>
        </w:tc>
        <w:tc>
          <w:tcPr>
            <w:tcW w:w="1417" w:type="dxa"/>
          </w:tcPr>
          <w:p w:rsidR="000A4035" w:rsidRPr="00D56A43" w:rsidRDefault="001C17B1" w:rsidP="00D56A43">
            <w:pPr>
              <w:jc w:val="center"/>
              <w:rPr>
                <w:sz w:val="22"/>
                <w:szCs w:val="22"/>
              </w:rPr>
            </w:pPr>
            <w:r w:rsidRPr="00D56A43">
              <w:rPr>
                <w:sz w:val="22"/>
                <w:szCs w:val="22"/>
              </w:rPr>
              <w:t>-2 461</w:t>
            </w:r>
          </w:p>
        </w:tc>
        <w:tc>
          <w:tcPr>
            <w:tcW w:w="1418" w:type="dxa"/>
          </w:tcPr>
          <w:p w:rsidR="000A4035" w:rsidRPr="00D56A43" w:rsidRDefault="001C17B1" w:rsidP="00D56A43">
            <w:pPr>
              <w:jc w:val="center"/>
              <w:rPr>
                <w:sz w:val="22"/>
                <w:szCs w:val="22"/>
              </w:rPr>
            </w:pPr>
            <w:r w:rsidRPr="00D56A43">
              <w:rPr>
                <w:sz w:val="22"/>
                <w:szCs w:val="22"/>
              </w:rPr>
              <w:t>26 310</w:t>
            </w:r>
          </w:p>
        </w:tc>
        <w:tc>
          <w:tcPr>
            <w:tcW w:w="1449" w:type="dxa"/>
          </w:tcPr>
          <w:p w:rsidR="000A4035" w:rsidRPr="00D56A43" w:rsidRDefault="001C17B1" w:rsidP="00D56A43">
            <w:pPr>
              <w:jc w:val="center"/>
              <w:rPr>
                <w:sz w:val="22"/>
                <w:szCs w:val="22"/>
              </w:rPr>
            </w:pPr>
            <w:r w:rsidRPr="00D56A43">
              <w:rPr>
                <w:sz w:val="22"/>
                <w:szCs w:val="22"/>
              </w:rPr>
              <w:t>8 879</w:t>
            </w:r>
          </w:p>
        </w:tc>
      </w:tr>
      <w:tr w:rsidR="000A4035">
        <w:tc>
          <w:tcPr>
            <w:tcW w:w="4820" w:type="dxa"/>
          </w:tcPr>
          <w:p w:rsidR="000A4035" w:rsidRPr="00D56A43" w:rsidRDefault="000A4035" w:rsidP="00D56A43">
            <w:pPr>
              <w:jc w:val="both"/>
              <w:rPr>
                <w:sz w:val="22"/>
                <w:szCs w:val="22"/>
              </w:rPr>
            </w:pPr>
            <w:r w:rsidRPr="00D56A43">
              <w:rPr>
                <w:sz w:val="22"/>
                <w:szCs w:val="22"/>
              </w:rPr>
              <w:t>Trésorerie finale</w:t>
            </w:r>
          </w:p>
        </w:tc>
        <w:tc>
          <w:tcPr>
            <w:tcW w:w="1417" w:type="dxa"/>
          </w:tcPr>
          <w:p w:rsidR="000A4035" w:rsidRPr="00D56A43" w:rsidRDefault="001C17B1" w:rsidP="00D56A43">
            <w:pPr>
              <w:jc w:val="center"/>
              <w:rPr>
                <w:sz w:val="22"/>
                <w:szCs w:val="22"/>
              </w:rPr>
            </w:pPr>
            <w:r w:rsidRPr="00D56A43">
              <w:rPr>
                <w:sz w:val="22"/>
                <w:szCs w:val="22"/>
              </w:rPr>
              <w:t>-19 900</w:t>
            </w:r>
          </w:p>
        </w:tc>
        <w:tc>
          <w:tcPr>
            <w:tcW w:w="1418" w:type="dxa"/>
          </w:tcPr>
          <w:p w:rsidR="000A4035" w:rsidRPr="00D56A43" w:rsidRDefault="001C17B1" w:rsidP="00D56A43">
            <w:pPr>
              <w:jc w:val="center"/>
              <w:rPr>
                <w:sz w:val="22"/>
                <w:szCs w:val="22"/>
              </w:rPr>
            </w:pPr>
            <w:r w:rsidRPr="00D56A43">
              <w:rPr>
                <w:sz w:val="22"/>
                <w:szCs w:val="22"/>
              </w:rPr>
              <w:t>6 410</w:t>
            </w:r>
          </w:p>
        </w:tc>
        <w:tc>
          <w:tcPr>
            <w:tcW w:w="1449" w:type="dxa"/>
          </w:tcPr>
          <w:p w:rsidR="000A4035" w:rsidRPr="00D56A43" w:rsidRDefault="001C17B1" w:rsidP="00D56A43">
            <w:pPr>
              <w:jc w:val="center"/>
              <w:rPr>
                <w:sz w:val="22"/>
                <w:szCs w:val="22"/>
              </w:rPr>
            </w:pPr>
            <w:r w:rsidRPr="00D56A43">
              <w:rPr>
                <w:sz w:val="22"/>
                <w:szCs w:val="22"/>
              </w:rPr>
              <w:t>15 289</w:t>
            </w:r>
          </w:p>
        </w:tc>
      </w:tr>
    </w:tbl>
    <w:p w:rsidR="00874FEA" w:rsidRDefault="00874FEA" w:rsidP="00855587">
      <w:pPr>
        <w:jc w:val="both"/>
        <w:rPr>
          <w:b/>
        </w:rPr>
      </w:pPr>
    </w:p>
    <w:p w:rsidR="00874FEA" w:rsidRDefault="00122E29" w:rsidP="00855587">
      <w:pPr>
        <w:jc w:val="both"/>
      </w:pPr>
      <w:r w:rsidRPr="00122E29">
        <w:t>La</w:t>
      </w:r>
      <w:r w:rsidR="00291571">
        <w:t xml:space="preserve"> profitabilité :</w:t>
      </w:r>
    </w:p>
    <w:p w:rsidR="00291571" w:rsidRDefault="00291571" w:rsidP="00855587">
      <w:pPr>
        <w:jc w:val="both"/>
      </w:pPr>
      <w:r>
        <w:t>L’évolution du résultat (multiplication par 3 de 2007 à 2009) résulte de phénomènes contrastés :</w:t>
      </w:r>
    </w:p>
    <w:p w:rsidR="00EF74B0" w:rsidRDefault="00291571" w:rsidP="00EF74B0">
      <w:pPr>
        <w:pStyle w:val="Paragraphedeliste"/>
        <w:numPr>
          <w:ilvl w:val="0"/>
          <w:numId w:val="2"/>
        </w:numPr>
        <w:jc w:val="both"/>
      </w:pPr>
      <w:r>
        <w:t>Variation faible du CA, l’augmentation (30%) des volumes de vente (minutes facturées) est compensée pour l’essentiel par une baisse des prix de vente</w:t>
      </w:r>
      <w:r w:rsidR="00EF74B0">
        <w:t>.</w:t>
      </w:r>
    </w:p>
    <w:p w:rsidR="00291571" w:rsidRDefault="00291571" w:rsidP="00291571">
      <w:pPr>
        <w:pStyle w:val="Paragraphedeliste"/>
        <w:numPr>
          <w:ilvl w:val="0"/>
          <w:numId w:val="2"/>
        </w:numPr>
        <w:jc w:val="both"/>
      </w:pPr>
      <w:r>
        <w:t xml:space="preserve">Taux de marge brute en légère baisse car le coût des facteurs n’a sans doute pas suivi la même évolution que les prix de vente ; </w:t>
      </w:r>
      <w:r w:rsidR="003F67AF">
        <w:t>toutefois de probables économies d’échelle permettent de conserver une marge à peu près stable.</w:t>
      </w:r>
    </w:p>
    <w:p w:rsidR="003F67AF" w:rsidRDefault="003F67AF" w:rsidP="00291571">
      <w:pPr>
        <w:pStyle w:val="Paragraphedeliste"/>
        <w:numPr>
          <w:ilvl w:val="0"/>
          <w:numId w:val="2"/>
        </w:numPr>
        <w:jc w:val="both"/>
      </w:pPr>
      <w:r>
        <w:t xml:space="preserve">Taux de marge opérationnelle en évolution favorable : l’amélioration sensible en 2009 résulte de la réduction sensible des frais </w:t>
      </w:r>
      <w:proofErr w:type="gramStart"/>
      <w:r>
        <w:t>commerciaux et généraux grâce</w:t>
      </w:r>
      <w:proofErr w:type="gramEnd"/>
      <w:r>
        <w:t xml:space="preserve"> probablement à la restructuration opérée en 2008 ; cette situation doit pouvoir se pérenniser voire s’amplifier dans le cas où des mouvements de concentration dans le secteur devaient se produire.</w:t>
      </w:r>
    </w:p>
    <w:p w:rsidR="003F67AF" w:rsidRDefault="003F67AF" w:rsidP="00291571">
      <w:pPr>
        <w:pStyle w:val="Paragraphedeliste"/>
        <w:numPr>
          <w:ilvl w:val="0"/>
          <w:numId w:val="2"/>
        </w:numPr>
        <w:jc w:val="both"/>
      </w:pPr>
      <w:r>
        <w:t>Coût de l’endettement en très forte baisse : division par 4 des charges d’intérêt en 2009 grâce au désendettement</w:t>
      </w:r>
      <w:r w:rsidR="002F4262">
        <w:t xml:space="preserve"> opéré en 2008</w:t>
      </w:r>
      <w:r>
        <w:t>.</w:t>
      </w:r>
    </w:p>
    <w:p w:rsidR="00EF74B0" w:rsidRDefault="00EF74B0" w:rsidP="00EF74B0">
      <w:pPr>
        <w:jc w:val="both"/>
      </w:pPr>
      <w:r>
        <w:lastRenderedPageBreak/>
        <w:t>La rentabilité :</w:t>
      </w:r>
    </w:p>
    <w:p w:rsidR="00EF74B0" w:rsidRDefault="002F4262" w:rsidP="00EF74B0">
      <w:pPr>
        <w:jc w:val="both"/>
      </w:pPr>
      <w:r>
        <w:t>L’évolution des taux de rentabilité s’explique par l’évolution de la profitabilité, du montant des capitaux et de leur structure :</w:t>
      </w:r>
    </w:p>
    <w:p w:rsidR="002F4262" w:rsidRDefault="002F4262" w:rsidP="002F4262">
      <w:pPr>
        <w:pStyle w:val="Paragraphedeliste"/>
        <w:numPr>
          <w:ilvl w:val="0"/>
          <w:numId w:val="2"/>
        </w:numPr>
        <w:jc w:val="both"/>
      </w:pPr>
      <w:r>
        <w:t>A peu de choses près, le taux de rentabilité économique suit une évolution</w:t>
      </w:r>
      <w:r w:rsidR="0008680D">
        <w:t xml:space="preserve"> comparable à celle du taux de marge opérationnelle, l’amélioration étant amplifiée par une augmentation plus faible des capitaux investis.</w:t>
      </w:r>
    </w:p>
    <w:p w:rsidR="0008680D" w:rsidRDefault="0008680D" w:rsidP="002F4262">
      <w:pPr>
        <w:pStyle w:val="Paragraphedeliste"/>
        <w:numPr>
          <w:ilvl w:val="0"/>
          <w:numId w:val="2"/>
        </w:numPr>
        <w:jc w:val="both"/>
      </w:pPr>
      <w:r>
        <w:t>La rentabilité des capitaux propres s’améliore de façon sensible de 2008 à 2009, sous l’effet d’une forte hausse du résultat (+115%), plus importante que celle des capitaux propres (+24%). A noter un taux non significatif en 2007 puisque les capitaux propres étaient alors négatifs.</w:t>
      </w:r>
    </w:p>
    <w:p w:rsidR="004B5369" w:rsidRDefault="004B5369" w:rsidP="0008680D">
      <w:pPr>
        <w:jc w:val="both"/>
      </w:pPr>
    </w:p>
    <w:p w:rsidR="0008680D" w:rsidRDefault="0008680D" w:rsidP="0008680D">
      <w:pPr>
        <w:jc w:val="both"/>
      </w:pPr>
      <w:r>
        <w:t>L’équilibre financier :</w:t>
      </w:r>
    </w:p>
    <w:p w:rsidR="0008680D" w:rsidRDefault="0008680D" w:rsidP="0008680D">
      <w:pPr>
        <w:jc w:val="both"/>
      </w:pPr>
      <w:r>
        <w:t>L’endettement de l’entreprise était très élevé en 2007 mais la restructuration opérée en 2008 a permis de redresser la situation</w:t>
      </w:r>
      <w:r w:rsidR="000C219F">
        <w:t xml:space="preserve">. Le nombre d’actions composant le capital social a plus que triplé en 2008 du fait d’une augmentation de capital entrainant des apports de l’ordre de </w:t>
      </w:r>
      <w:r w:rsidR="000C219F" w:rsidRPr="00713165">
        <w:t>5</w:t>
      </w:r>
      <w:r w:rsidR="00713165" w:rsidRPr="00713165">
        <w:t>1722</w:t>
      </w:r>
      <w:r w:rsidR="000C219F" w:rsidRPr="00713165">
        <w:t xml:space="preserve"> k€</w:t>
      </w:r>
      <w:r w:rsidR="00713165">
        <w:t xml:space="preserve"> (KP2008 – Résultat2008 – KP2007 : 49889 – 6421 + 8254)</w:t>
      </w:r>
      <w:r w:rsidR="000C219F">
        <w:t xml:space="preserve"> permettant d’une part d’apurer les pertes antérieures et d’autre part de rembourser une part importante des dettes financières. Ce mouvement de désendettement s’est poursuivi en 2009.</w:t>
      </w:r>
    </w:p>
    <w:p w:rsidR="004B5369" w:rsidRDefault="004B5369" w:rsidP="0008680D">
      <w:pPr>
        <w:jc w:val="both"/>
      </w:pPr>
    </w:p>
    <w:p w:rsidR="000C219F" w:rsidRDefault="000C219F" w:rsidP="0008680D">
      <w:pPr>
        <w:jc w:val="both"/>
      </w:pPr>
      <w:r>
        <w:t>La situation de trésorerie :</w:t>
      </w:r>
    </w:p>
    <w:p w:rsidR="000C219F" w:rsidRDefault="000C219F" w:rsidP="0008680D">
      <w:pPr>
        <w:jc w:val="both"/>
      </w:pPr>
      <w:r>
        <w:t xml:space="preserve">La trésorerie négative en 2007 s’est améliorée dès 2008 grâce à la restructuration précédemment décrite : l’augmentation de capital a été affectée au remboursement de la dette ; les flux </w:t>
      </w:r>
      <w:r w:rsidR="005E21EB">
        <w:t xml:space="preserve">2008 </w:t>
      </w:r>
      <w:r>
        <w:t>de désinvestissement et les flux opérationnels expliquent le niveau de la trésorerie.</w:t>
      </w:r>
    </w:p>
    <w:p w:rsidR="00143DF3" w:rsidRDefault="00143DF3" w:rsidP="0008680D">
      <w:pPr>
        <w:jc w:val="both"/>
      </w:pPr>
    </w:p>
    <w:p w:rsidR="00143DF3" w:rsidRPr="00122E29" w:rsidRDefault="00143DF3" w:rsidP="0008680D">
      <w:pPr>
        <w:jc w:val="both"/>
      </w:pPr>
      <w:r>
        <w:t>En résumé l’assainissement de la situation financière opéré au cours des 2 dernières années doit permettre à l’entreprise, si elle est capable d’enrayer la lente diminution de sa marge brute, d’offrir à ses actionnaires des perspectives de rémunération autres que par des plus-values, en particulier par une politique de dividende plus attrayante qu’aujourd’hui.</w:t>
      </w:r>
    </w:p>
    <w:p w:rsidR="00874FEA" w:rsidRPr="00784D9B" w:rsidRDefault="00874FEA" w:rsidP="00855587">
      <w:pPr>
        <w:jc w:val="both"/>
        <w:rPr>
          <w:b/>
        </w:rPr>
      </w:pPr>
    </w:p>
    <w:p w:rsidR="00855587" w:rsidRPr="00784D9B" w:rsidRDefault="00855587" w:rsidP="00855587">
      <w:pPr>
        <w:jc w:val="both"/>
        <w:rPr>
          <w:b/>
        </w:rPr>
      </w:pPr>
      <w:r w:rsidRPr="00784D9B">
        <w:rPr>
          <w:b/>
        </w:rPr>
        <w:t>2. Coût du capital (annexes 1 et 3)</w:t>
      </w:r>
    </w:p>
    <w:p w:rsidR="00855587" w:rsidRDefault="00855587" w:rsidP="00855587">
      <w:pPr>
        <w:jc w:val="both"/>
        <w:rPr>
          <w:b/>
        </w:rPr>
      </w:pPr>
      <w:r w:rsidRPr="00784D9B">
        <w:rPr>
          <w:b/>
        </w:rPr>
        <w:t xml:space="preserve">Après avoir déterminé le coût de ses capitaux propres (à partir du MEDAF), vous calculerez le coût moyen pondéré du capital de la société Phone </w:t>
      </w:r>
      <w:proofErr w:type="spellStart"/>
      <w:r w:rsidRPr="00784D9B">
        <w:rPr>
          <w:b/>
        </w:rPr>
        <w:t>Solving</w:t>
      </w:r>
      <w:proofErr w:type="spellEnd"/>
      <w:r w:rsidRPr="00784D9B">
        <w:rPr>
          <w:b/>
        </w:rPr>
        <w:t>.</w:t>
      </w:r>
    </w:p>
    <w:p w:rsidR="00855587" w:rsidRPr="00784D9B" w:rsidRDefault="00855587" w:rsidP="00855587">
      <w:pPr>
        <w:jc w:val="both"/>
        <w:rPr>
          <w:b/>
        </w:rPr>
      </w:pPr>
      <w:r>
        <w:rPr>
          <w:b/>
        </w:rPr>
        <w:t>Indiquez la signification de ces deux taux et les conditions sous lesquelles ils pourraient être utilisés dans un calcul de création de valeur a priori et a posteriori.</w:t>
      </w:r>
    </w:p>
    <w:p w:rsidR="00855587" w:rsidRDefault="00855587" w:rsidP="00855587">
      <w:pPr>
        <w:jc w:val="both"/>
        <w:rPr>
          <w:b/>
        </w:rPr>
      </w:pPr>
    </w:p>
    <w:tbl>
      <w:tblPr>
        <w:tblW w:w="9383" w:type="dxa"/>
        <w:tblInd w:w="55" w:type="dxa"/>
        <w:tblCellMar>
          <w:left w:w="70" w:type="dxa"/>
          <w:right w:w="70" w:type="dxa"/>
        </w:tblCellMar>
        <w:tblLook w:val="04A0" w:firstRow="1" w:lastRow="0" w:firstColumn="1" w:lastColumn="0" w:noHBand="0" w:noVBand="1"/>
      </w:tblPr>
      <w:tblGrid>
        <w:gridCol w:w="1200"/>
        <w:gridCol w:w="1200"/>
        <w:gridCol w:w="1200"/>
        <w:gridCol w:w="1480"/>
        <w:gridCol w:w="1480"/>
        <w:gridCol w:w="1360"/>
        <w:gridCol w:w="1463"/>
      </w:tblGrid>
      <w:tr w:rsidR="001E7EE6" w:rsidRPr="00C566BB" w:rsidTr="00D87972">
        <w:trPr>
          <w:trHeight w:val="1121"/>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E7EE6" w:rsidRPr="00C566BB" w:rsidRDefault="001E7EE6" w:rsidP="00D87972">
            <w:pPr>
              <w:jc w:val="center"/>
              <w:rPr>
                <w:sz w:val="20"/>
                <w:szCs w:val="20"/>
              </w:rPr>
            </w:pPr>
            <w:r w:rsidRPr="00C566BB">
              <w:rPr>
                <w:sz w:val="20"/>
                <w:szCs w:val="20"/>
              </w:rPr>
              <w:t>Périodes</w:t>
            </w:r>
          </w:p>
        </w:tc>
        <w:tc>
          <w:tcPr>
            <w:tcW w:w="1200" w:type="dxa"/>
            <w:tcBorders>
              <w:top w:val="single" w:sz="8" w:space="0" w:color="auto"/>
              <w:left w:val="nil"/>
              <w:bottom w:val="single" w:sz="8" w:space="0" w:color="auto"/>
              <w:right w:val="single" w:sz="8" w:space="0" w:color="auto"/>
            </w:tcBorders>
            <w:shd w:val="clear" w:color="auto" w:fill="auto"/>
            <w:vAlign w:val="center"/>
          </w:tcPr>
          <w:p w:rsidR="001E7EE6" w:rsidRPr="00C566BB" w:rsidRDefault="001E7EE6" w:rsidP="00D87972">
            <w:pPr>
              <w:jc w:val="center"/>
              <w:rPr>
                <w:sz w:val="20"/>
                <w:szCs w:val="20"/>
              </w:rPr>
            </w:pPr>
            <w:r w:rsidRPr="00C566BB">
              <w:rPr>
                <w:sz w:val="20"/>
                <w:szCs w:val="20"/>
              </w:rPr>
              <w:t>rentabilité moyenne des actions d'</w:t>
            </w:r>
            <w:proofErr w:type="spellStart"/>
            <w:r w:rsidRPr="00C566BB">
              <w:rPr>
                <w:sz w:val="20"/>
                <w:szCs w:val="20"/>
              </w:rPr>
              <w:t>Alternext</w:t>
            </w:r>
            <w:proofErr w:type="spellEnd"/>
            <w:r w:rsidRPr="00C566BB">
              <w:rPr>
                <w:sz w:val="20"/>
                <w:szCs w:val="20"/>
              </w:rPr>
              <w:t xml:space="preserve"> en %</w:t>
            </w:r>
          </w:p>
        </w:tc>
        <w:tc>
          <w:tcPr>
            <w:tcW w:w="1200" w:type="dxa"/>
            <w:tcBorders>
              <w:top w:val="single" w:sz="8" w:space="0" w:color="auto"/>
              <w:left w:val="nil"/>
              <w:bottom w:val="single" w:sz="8" w:space="0" w:color="auto"/>
              <w:right w:val="single" w:sz="8" w:space="0" w:color="auto"/>
            </w:tcBorders>
            <w:shd w:val="clear" w:color="auto" w:fill="auto"/>
            <w:vAlign w:val="center"/>
          </w:tcPr>
          <w:p w:rsidR="001E7EE6" w:rsidRPr="00C566BB" w:rsidRDefault="001E7EE6" w:rsidP="00D87972">
            <w:pPr>
              <w:jc w:val="center"/>
              <w:rPr>
                <w:sz w:val="20"/>
                <w:szCs w:val="20"/>
              </w:rPr>
            </w:pPr>
            <w:r w:rsidRPr="00C566BB">
              <w:rPr>
                <w:sz w:val="20"/>
                <w:szCs w:val="20"/>
              </w:rPr>
              <w:t xml:space="preserve">rentabilité moyenne de l'action Phone </w:t>
            </w:r>
            <w:proofErr w:type="spellStart"/>
            <w:r w:rsidRPr="00C566BB">
              <w:rPr>
                <w:sz w:val="20"/>
                <w:szCs w:val="20"/>
              </w:rPr>
              <w:t>solving</w:t>
            </w:r>
            <w:proofErr w:type="spellEnd"/>
            <w:r w:rsidRPr="00C566BB">
              <w:rPr>
                <w:sz w:val="20"/>
                <w:szCs w:val="20"/>
              </w:rPr>
              <w:t xml:space="preserve"> en %</w:t>
            </w:r>
          </w:p>
        </w:tc>
        <w:tc>
          <w:tcPr>
            <w:tcW w:w="1480" w:type="dxa"/>
            <w:tcBorders>
              <w:top w:val="single" w:sz="8" w:space="0" w:color="auto"/>
              <w:left w:val="nil"/>
              <w:bottom w:val="single" w:sz="8" w:space="0" w:color="auto"/>
              <w:right w:val="single" w:sz="8" w:space="0" w:color="auto"/>
            </w:tcBorders>
            <w:shd w:val="clear" w:color="auto" w:fill="auto"/>
            <w:vAlign w:val="center"/>
          </w:tcPr>
          <w:p w:rsidR="001E7EE6" w:rsidRPr="00C566BB" w:rsidRDefault="001E7EE6" w:rsidP="00D87972">
            <w:pPr>
              <w:jc w:val="center"/>
              <w:rPr>
                <w:sz w:val="20"/>
                <w:szCs w:val="20"/>
              </w:rPr>
            </w:pPr>
            <w:proofErr w:type="spellStart"/>
            <w:r w:rsidRPr="00C566BB">
              <w:rPr>
                <w:sz w:val="20"/>
                <w:szCs w:val="20"/>
              </w:rPr>
              <w:t>Rm</w:t>
            </w:r>
            <w:proofErr w:type="spellEnd"/>
            <w:r w:rsidRPr="00C566BB">
              <w:rPr>
                <w:sz w:val="20"/>
                <w:szCs w:val="20"/>
              </w:rPr>
              <w:t xml:space="preserve"> -</w:t>
            </w:r>
            <w:proofErr w:type="spellStart"/>
            <w:r w:rsidRPr="00C566BB">
              <w:rPr>
                <w:sz w:val="20"/>
                <w:szCs w:val="20"/>
              </w:rPr>
              <w:t>moy</w:t>
            </w:r>
            <w:proofErr w:type="spellEnd"/>
            <w:r w:rsidRPr="00C566BB">
              <w:rPr>
                <w:sz w:val="20"/>
                <w:szCs w:val="20"/>
              </w:rPr>
              <w:t xml:space="preserve"> </w:t>
            </w:r>
            <w:proofErr w:type="spellStart"/>
            <w:r w:rsidRPr="00C566BB">
              <w:rPr>
                <w:sz w:val="20"/>
                <w:szCs w:val="20"/>
              </w:rPr>
              <w:t>Rm</w:t>
            </w:r>
            <w:proofErr w:type="spellEnd"/>
          </w:p>
        </w:tc>
        <w:tc>
          <w:tcPr>
            <w:tcW w:w="1480" w:type="dxa"/>
            <w:tcBorders>
              <w:top w:val="single" w:sz="8" w:space="0" w:color="auto"/>
              <w:left w:val="nil"/>
              <w:bottom w:val="single" w:sz="8" w:space="0" w:color="auto"/>
              <w:right w:val="single" w:sz="8" w:space="0" w:color="auto"/>
            </w:tcBorders>
            <w:shd w:val="clear" w:color="auto" w:fill="auto"/>
            <w:vAlign w:val="center"/>
          </w:tcPr>
          <w:p w:rsidR="001E7EE6" w:rsidRPr="00C566BB" w:rsidRDefault="001E7EE6" w:rsidP="00D87972">
            <w:pPr>
              <w:jc w:val="center"/>
              <w:rPr>
                <w:sz w:val="20"/>
                <w:szCs w:val="20"/>
              </w:rPr>
            </w:pPr>
            <w:r w:rsidRPr="00C566BB">
              <w:rPr>
                <w:sz w:val="20"/>
                <w:szCs w:val="20"/>
              </w:rPr>
              <w:t>(</w:t>
            </w:r>
            <w:proofErr w:type="spellStart"/>
            <w:r w:rsidRPr="00C566BB">
              <w:rPr>
                <w:sz w:val="20"/>
                <w:szCs w:val="20"/>
              </w:rPr>
              <w:t>Rm-moyRm</w:t>
            </w:r>
            <w:proofErr w:type="spellEnd"/>
            <w:r w:rsidRPr="00C566BB">
              <w:rPr>
                <w:sz w:val="20"/>
                <w:szCs w:val="20"/>
              </w:rPr>
              <w:t>)(</w:t>
            </w:r>
            <w:proofErr w:type="spellStart"/>
            <w:r w:rsidRPr="00C566BB">
              <w:rPr>
                <w:sz w:val="20"/>
                <w:szCs w:val="20"/>
              </w:rPr>
              <w:t>Rm-moyRm</w:t>
            </w:r>
            <w:proofErr w:type="spellEnd"/>
            <w:r w:rsidRPr="00C566BB">
              <w:rPr>
                <w:sz w:val="20"/>
                <w:szCs w:val="20"/>
              </w:rPr>
              <w:t>)</w:t>
            </w:r>
          </w:p>
        </w:tc>
        <w:tc>
          <w:tcPr>
            <w:tcW w:w="1360" w:type="dxa"/>
            <w:tcBorders>
              <w:top w:val="single" w:sz="8" w:space="0" w:color="auto"/>
              <w:left w:val="nil"/>
              <w:bottom w:val="single" w:sz="8" w:space="0" w:color="auto"/>
              <w:right w:val="single" w:sz="8" w:space="0" w:color="auto"/>
            </w:tcBorders>
            <w:shd w:val="clear" w:color="auto" w:fill="auto"/>
            <w:vAlign w:val="center"/>
          </w:tcPr>
          <w:p w:rsidR="001E7EE6" w:rsidRPr="00C566BB" w:rsidRDefault="001E7EE6" w:rsidP="00D87972">
            <w:pPr>
              <w:jc w:val="center"/>
              <w:rPr>
                <w:sz w:val="20"/>
                <w:szCs w:val="20"/>
              </w:rPr>
            </w:pPr>
            <w:proofErr w:type="spellStart"/>
            <w:r w:rsidRPr="00C566BB">
              <w:rPr>
                <w:sz w:val="20"/>
                <w:szCs w:val="20"/>
              </w:rPr>
              <w:t>Rps-Moy</w:t>
            </w:r>
            <w:proofErr w:type="spellEnd"/>
            <w:r w:rsidRPr="00C566BB">
              <w:rPr>
                <w:sz w:val="20"/>
                <w:szCs w:val="20"/>
              </w:rPr>
              <w:t xml:space="preserve"> </w:t>
            </w:r>
            <w:proofErr w:type="spellStart"/>
            <w:r w:rsidRPr="00C566BB">
              <w:rPr>
                <w:sz w:val="20"/>
                <w:szCs w:val="20"/>
              </w:rPr>
              <w:t>Rps</w:t>
            </w:r>
            <w:proofErr w:type="spellEnd"/>
          </w:p>
        </w:tc>
        <w:tc>
          <w:tcPr>
            <w:tcW w:w="1463" w:type="dxa"/>
            <w:tcBorders>
              <w:top w:val="single" w:sz="8" w:space="0" w:color="auto"/>
              <w:left w:val="nil"/>
              <w:bottom w:val="single" w:sz="8" w:space="0" w:color="auto"/>
              <w:right w:val="single" w:sz="8" w:space="0" w:color="auto"/>
            </w:tcBorders>
            <w:shd w:val="clear" w:color="auto" w:fill="auto"/>
            <w:vAlign w:val="center"/>
          </w:tcPr>
          <w:p w:rsidR="001E7EE6" w:rsidRPr="00C566BB" w:rsidRDefault="001E7EE6" w:rsidP="00D87972">
            <w:pPr>
              <w:jc w:val="center"/>
              <w:rPr>
                <w:sz w:val="20"/>
                <w:szCs w:val="20"/>
              </w:rPr>
            </w:pPr>
            <w:r w:rsidRPr="00C566BB">
              <w:rPr>
                <w:sz w:val="20"/>
                <w:szCs w:val="20"/>
              </w:rPr>
              <w:t>(</w:t>
            </w:r>
            <w:proofErr w:type="spellStart"/>
            <w:r w:rsidRPr="00C566BB">
              <w:rPr>
                <w:sz w:val="20"/>
                <w:szCs w:val="20"/>
              </w:rPr>
              <w:t>Rm-moyRm</w:t>
            </w:r>
            <w:proofErr w:type="spellEnd"/>
            <w:r w:rsidRPr="00C566BB">
              <w:rPr>
                <w:sz w:val="20"/>
                <w:szCs w:val="20"/>
              </w:rPr>
              <w:t>)*(</w:t>
            </w:r>
            <w:proofErr w:type="spellStart"/>
            <w:r w:rsidRPr="00C566BB">
              <w:rPr>
                <w:sz w:val="20"/>
                <w:szCs w:val="20"/>
              </w:rPr>
              <w:t>Rps-moyRps</w:t>
            </w:r>
            <w:proofErr w:type="spellEnd"/>
            <w:r w:rsidRPr="00C566BB">
              <w:rPr>
                <w:sz w:val="20"/>
                <w:szCs w:val="20"/>
              </w:rPr>
              <w:t>)</w:t>
            </w:r>
          </w:p>
        </w:tc>
      </w:tr>
      <w:tr w:rsidR="001E7EE6" w:rsidRPr="00C566BB">
        <w:trPr>
          <w:trHeight w:val="255"/>
        </w:trPr>
        <w:tc>
          <w:tcPr>
            <w:tcW w:w="1200" w:type="dxa"/>
            <w:tcBorders>
              <w:top w:val="nil"/>
              <w:left w:val="single" w:sz="8" w:space="0" w:color="auto"/>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2005</w:t>
            </w:r>
          </w:p>
        </w:tc>
        <w:tc>
          <w:tcPr>
            <w:tcW w:w="120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7,60</w:t>
            </w:r>
          </w:p>
        </w:tc>
        <w:tc>
          <w:tcPr>
            <w:tcW w:w="120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15,38</w:t>
            </w:r>
          </w:p>
        </w:tc>
        <w:tc>
          <w:tcPr>
            <w:tcW w:w="148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14,57</w:t>
            </w:r>
          </w:p>
        </w:tc>
        <w:tc>
          <w:tcPr>
            <w:tcW w:w="148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212,16</w:t>
            </w:r>
          </w:p>
        </w:tc>
        <w:tc>
          <w:tcPr>
            <w:tcW w:w="136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12,86</w:t>
            </w:r>
          </w:p>
        </w:tc>
        <w:tc>
          <w:tcPr>
            <w:tcW w:w="1463"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187,34</w:t>
            </w:r>
          </w:p>
        </w:tc>
      </w:tr>
      <w:tr w:rsidR="001E7EE6" w:rsidRPr="00C566BB">
        <w:trPr>
          <w:trHeight w:val="255"/>
        </w:trPr>
        <w:tc>
          <w:tcPr>
            <w:tcW w:w="1200" w:type="dxa"/>
            <w:tcBorders>
              <w:top w:val="nil"/>
              <w:left w:val="single" w:sz="8" w:space="0" w:color="auto"/>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2006</w:t>
            </w:r>
          </w:p>
        </w:tc>
        <w:tc>
          <w:tcPr>
            <w:tcW w:w="120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2,60</w:t>
            </w:r>
          </w:p>
        </w:tc>
        <w:tc>
          <w:tcPr>
            <w:tcW w:w="120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16,67</w:t>
            </w:r>
          </w:p>
        </w:tc>
        <w:tc>
          <w:tcPr>
            <w:tcW w:w="148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9,57</w:t>
            </w:r>
          </w:p>
        </w:tc>
        <w:tc>
          <w:tcPr>
            <w:tcW w:w="148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91,54</w:t>
            </w:r>
          </w:p>
        </w:tc>
        <w:tc>
          <w:tcPr>
            <w:tcW w:w="136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14,14</w:t>
            </w:r>
          </w:p>
        </w:tc>
        <w:tc>
          <w:tcPr>
            <w:tcW w:w="1463"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135,33</w:t>
            </w:r>
          </w:p>
        </w:tc>
      </w:tr>
      <w:tr w:rsidR="001E7EE6" w:rsidRPr="00C566BB">
        <w:trPr>
          <w:trHeight w:val="255"/>
        </w:trPr>
        <w:tc>
          <w:tcPr>
            <w:tcW w:w="1200" w:type="dxa"/>
            <w:tcBorders>
              <w:top w:val="nil"/>
              <w:left w:val="single" w:sz="8" w:space="0" w:color="auto"/>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2007</w:t>
            </w:r>
          </w:p>
        </w:tc>
        <w:tc>
          <w:tcPr>
            <w:tcW w:w="120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-8,70</w:t>
            </w:r>
          </w:p>
        </w:tc>
        <w:tc>
          <w:tcPr>
            <w:tcW w:w="120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-8,57</w:t>
            </w:r>
          </w:p>
        </w:tc>
        <w:tc>
          <w:tcPr>
            <w:tcW w:w="148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-1,73</w:t>
            </w:r>
          </w:p>
        </w:tc>
        <w:tc>
          <w:tcPr>
            <w:tcW w:w="148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2,99</w:t>
            </w:r>
          </w:p>
        </w:tc>
        <w:tc>
          <w:tcPr>
            <w:tcW w:w="136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-11,09</w:t>
            </w:r>
          </w:p>
        </w:tc>
        <w:tc>
          <w:tcPr>
            <w:tcW w:w="1463"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19,19</w:t>
            </w:r>
          </w:p>
        </w:tc>
      </w:tr>
      <w:tr w:rsidR="001E7EE6" w:rsidRPr="00C566BB">
        <w:trPr>
          <w:trHeight w:val="255"/>
        </w:trPr>
        <w:tc>
          <w:tcPr>
            <w:tcW w:w="1200" w:type="dxa"/>
            <w:tcBorders>
              <w:top w:val="nil"/>
              <w:left w:val="single" w:sz="8" w:space="0" w:color="auto"/>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2008</w:t>
            </w:r>
          </w:p>
        </w:tc>
        <w:tc>
          <w:tcPr>
            <w:tcW w:w="120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-12,70</w:t>
            </w:r>
          </w:p>
        </w:tc>
        <w:tc>
          <w:tcPr>
            <w:tcW w:w="120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-3,13</w:t>
            </w:r>
          </w:p>
        </w:tc>
        <w:tc>
          <w:tcPr>
            <w:tcW w:w="148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-5,73</w:t>
            </w:r>
          </w:p>
        </w:tc>
        <w:tc>
          <w:tcPr>
            <w:tcW w:w="148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32,86</w:t>
            </w:r>
          </w:p>
        </w:tc>
        <w:tc>
          <w:tcPr>
            <w:tcW w:w="136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-5,65</w:t>
            </w:r>
          </w:p>
        </w:tc>
        <w:tc>
          <w:tcPr>
            <w:tcW w:w="1463"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32,38</w:t>
            </w:r>
          </w:p>
        </w:tc>
      </w:tr>
      <w:tr w:rsidR="001E7EE6" w:rsidRPr="00C566B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2009</w:t>
            </w:r>
          </w:p>
        </w:tc>
        <w:tc>
          <w:tcPr>
            <w:tcW w:w="1200" w:type="dxa"/>
            <w:tcBorders>
              <w:top w:val="nil"/>
              <w:left w:val="nil"/>
              <w:bottom w:val="single" w:sz="8" w:space="0" w:color="auto"/>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-23,64</w:t>
            </w:r>
          </w:p>
        </w:tc>
        <w:tc>
          <w:tcPr>
            <w:tcW w:w="1200" w:type="dxa"/>
            <w:tcBorders>
              <w:top w:val="nil"/>
              <w:left w:val="nil"/>
              <w:bottom w:val="single" w:sz="8" w:space="0" w:color="auto"/>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-7,74</w:t>
            </w:r>
          </w:p>
        </w:tc>
        <w:tc>
          <w:tcPr>
            <w:tcW w:w="148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-16,67</w:t>
            </w:r>
          </w:p>
        </w:tc>
        <w:tc>
          <w:tcPr>
            <w:tcW w:w="148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277,91</w:t>
            </w:r>
          </w:p>
        </w:tc>
        <w:tc>
          <w:tcPr>
            <w:tcW w:w="1360"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-10,26</w:t>
            </w:r>
          </w:p>
        </w:tc>
        <w:tc>
          <w:tcPr>
            <w:tcW w:w="1463" w:type="dxa"/>
            <w:tcBorders>
              <w:top w:val="nil"/>
              <w:left w:val="nil"/>
              <w:bottom w:val="nil"/>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171,12</w:t>
            </w:r>
          </w:p>
        </w:tc>
      </w:tr>
      <w:tr w:rsidR="001E7EE6" w:rsidRPr="00C566BB">
        <w:trPr>
          <w:trHeight w:val="348"/>
        </w:trPr>
        <w:tc>
          <w:tcPr>
            <w:tcW w:w="1200"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1E7EE6" w:rsidRPr="00C566BB" w:rsidRDefault="001E7EE6" w:rsidP="000922CF">
            <w:pPr>
              <w:rPr>
                <w:sz w:val="20"/>
                <w:szCs w:val="20"/>
              </w:rPr>
            </w:pPr>
            <w:r w:rsidRPr="00C566BB">
              <w:rPr>
                <w:sz w:val="20"/>
                <w:szCs w:val="20"/>
              </w:rPr>
              <w:t xml:space="preserve">rentabilité moyenne </w:t>
            </w:r>
          </w:p>
        </w:tc>
        <w:tc>
          <w:tcPr>
            <w:tcW w:w="1200" w:type="dxa"/>
            <w:tcBorders>
              <w:top w:val="nil"/>
              <w:left w:val="nil"/>
              <w:bottom w:val="single" w:sz="8" w:space="0" w:color="auto"/>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-6,97</w:t>
            </w:r>
          </w:p>
        </w:tc>
        <w:tc>
          <w:tcPr>
            <w:tcW w:w="1200" w:type="dxa"/>
            <w:tcBorders>
              <w:top w:val="nil"/>
              <w:left w:val="nil"/>
              <w:bottom w:val="single" w:sz="8" w:space="0" w:color="auto"/>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2,52</w:t>
            </w:r>
          </w:p>
        </w:tc>
        <w:tc>
          <w:tcPr>
            <w:tcW w:w="1480" w:type="dxa"/>
            <w:tcBorders>
              <w:top w:val="nil"/>
              <w:left w:val="nil"/>
              <w:bottom w:val="single" w:sz="8" w:space="0" w:color="auto"/>
              <w:right w:val="single" w:sz="8" w:space="0" w:color="auto"/>
            </w:tcBorders>
            <w:shd w:val="clear" w:color="auto" w:fill="auto"/>
            <w:noWrap/>
            <w:vAlign w:val="bottom"/>
          </w:tcPr>
          <w:p w:rsidR="001E7EE6" w:rsidRPr="00C566BB" w:rsidRDefault="001E7EE6" w:rsidP="000922CF">
            <w:pPr>
              <w:rPr>
                <w:sz w:val="20"/>
                <w:szCs w:val="20"/>
              </w:rPr>
            </w:pPr>
            <w:r w:rsidRPr="00C566BB">
              <w:rPr>
                <w:sz w:val="20"/>
                <w:szCs w:val="20"/>
              </w:rPr>
              <w:t> </w:t>
            </w:r>
          </w:p>
        </w:tc>
        <w:tc>
          <w:tcPr>
            <w:tcW w:w="1480" w:type="dxa"/>
            <w:tcBorders>
              <w:top w:val="single" w:sz="8" w:space="0" w:color="auto"/>
              <w:left w:val="nil"/>
              <w:bottom w:val="single" w:sz="8" w:space="0" w:color="auto"/>
              <w:right w:val="single" w:sz="8" w:space="0" w:color="auto"/>
            </w:tcBorders>
            <w:shd w:val="clear" w:color="auto" w:fill="auto"/>
            <w:noWrap/>
            <w:vAlign w:val="bottom"/>
          </w:tcPr>
          <w:p w:rsidR="001E7EE6" w:rsidRPr="00C566BB" w:rsidRDefault="006B20F9" w:rsidP="000922CF">
            <w:pPr>
              <w:jc w:val="right"/>
              <w:rPr>
                <w:sz w:val="20"/>
                <w:szCs w:val="20"/>
              </w:rPr>
            </w:pPr>
            <w:r w:rsidRPr="00C566BB">
              <w:rPr>
                <w:sz w:val="20"/>
                <w:szCs w:val="20"/>
              </w:rPr>
              <w:t>617,47</w:t>
            </w:r>
          </w:p>
        </w:tc>
        <w:tc>
          <w:tcPr>
            <w:tcW w:w="1360" w:type="dxa"/>
            <w:tcBorders>
              <w:top w:val="nil"/>
              <w:left w:val="nil"/>
              <w:bottom w:val="single" w:sz="8" w:space="0" w:color="auto"/>
              <w:right w:val="single" w:sz="8" w:space="0" w:color="auto"/>
            </w:tcBorders>
            <w:shd w:val="clear" w:color="auto" w:fill="auto"/>
            <w:noWrap/>
            <w:vAlign w:val="bottom"/>
          </w:tcPr>
          <w:p w:rsidR="001E7EE6" w:rsidRPr="00C566BB" w:rsidRDefault="001E7EE6" w:rsidP="000922CF">
            <w:pPr>
              <w:rPr>
                <w:sz w:val="20"/>
                <w:szCs w:val="20"/>
              </w:rPr>
            </w:pPr>
            <w:r w:rsidRPr="00C566BB">
              <w:rPr>
                <w:sz w:val="20"/>
                <w:szCs w:val="20"/>
              </w:rPr>
              <w:t> </w:t>
            </w:r>
          </w:p>
        </w:tc>
        <w:tc>
          <w:tcPr>
            <w:tcW w:w="1463" w:type="dxa"/>
            <w:tcBorders>
              <w:top w:val="single" w:sz="8" w:space="0" w:color="auto"/>
              <w:left w:val="nil"/>
              <w:bottom w:val="single" w:sz="8" w:space="0" w:color="auto"/>
              <w:right w:val="single" w:sz="8" w:space="0" w:color="auto"/>
            </w:tcBorders>
            <w:shd w:val="clear" w:color="auto" w:fill="auto"/>
            <w:noWrap/>
            <w:vAlign w:val="bottom"/>
          </w:tcPr>
          <w:p w:rsidR="001E7EE6" w:rsidRPr="00C566BB" w:rsidRDefault="001E7EE6" w:rsidP="000922CF">
            <w:pPr>
              <w:jc w:val="right"/>
              <w:rPr>
                <w:sz w:val="20"/>
                <w:szCs w:val="20"/>
              </w:rPr>
            </w:pPr>
            <w:r w:rsidRPr="00C566BB">
              <w:rPr>
                <w:sz w:val="20"/>
                <w:szCs w:val="20"/>
              </w:rPr>
              <w:t>545,36</w:t>
            </w:r>
          </w:p>
        </w:tc>
      </w:tr>
    </w:tbl>
    <w:p w:rsidR="00874FEA" w:rsidRPr="000922CF" w:rsidRDefault="006B20F9" w:rsidP="000922CF">
      <w:pPr>
        <w:jc w:val="both"/>
      </w:pPr>
      <w:r w:rsidRPr="000922CF">
        <w:t xml:space="preserve">Bêta de Phone </w:t>
      </w:r>
      <w:proofErr w:type="spellStart"/>
      <w:r w:rsidRPr="000922CF">
        <w:t>Solving</w:t>
      </w:r>
      <w:proofErr w:type="spellEnd"/>
      <w:r w:rsidR="00316A9B" w:rsidRPr="000922CF">
        <w:t xml:space="preserve">: </w:t>
      </w:r>
      <w:r w:rsidR="00316A9B" w:rsidRPr="000922CF">
        <w:rPr>
          <w:lang w:val="en-US"/>
        </w:rPr>
        <w:t>β</w:t>
      </w:r>
      <w:r w:rsidRPr="000922CF">
        <w:t xml:space="preserve"> = </w:t>
      </w:r>
      <w:proofErr w:type="gramStart"/>
      <w:r w:rsidRPr="000922CF">
        <w:t>COV(</w:t>
      </w:r>
      <w:proofErr w:type="spellStart"/>
      <w:proofErr w:type="gramEnd"/>
      <w:r w:rsidRPr="000922CF">
        <w:t>Rm;Rps</w:t>
      </w:r>
      <w:proofErr w:type="spellEnd"/>
      <w:r w:rsidRPr="000922CF">
        <w:t>)/V(</w:t>
      </w:r>
      <w:proofErr w:type="spellStart"/>
      <w:r w:rsidRPr="000922CF">
        <w:t>Rm</w:t>
      </w:r>
      <w:proofErr w:type="spellEnd"/>
      <w:r w:rsidRPr="000922CF">
        <w:t>) = (</w:t>
      </w:r>
      <w:r w:rsidR="00316A9B" w:rsidRPr="000922CF">
        <w:t>545,36</w:t>
      </w:r>
      <w:r w:rsidRPr="000922CF">
        <w:t>/4)/(</w:t>
      </w:r>
      <w:r w:rsidR="00316A9B" w:rsidRPr="000922CF">
        <w:t>617,47</w:t>
      </w:r>
      <w:r w:rsidRPr="000922CF">
        <w:t>/4) = 0,88</w:t>
      </w:r>
    </w:p>
    <w:p w:rsidR="00C1737E" w:rsidRPr="00A806E9" w:rsidRDefault="00C1737E" w:rsidP="000922CF">
      <w:pPr>
        <w:jc w:val="both"/>
        <w:rPr>
          <w:sz w:val="12"/>
          <w:szCs w:val="12"/>
        </w:rPr>
      </w:pPr>
    </w:p>
    <w:p w:rsidR="006B20F9" w:rsidRPr="000922CF" w:rsidRDefault="006B20F9" w:rsidP="000922CF">
      <w:pPr>
        <w:jc w:val="both"/>
      </w:pPr>
      <w:r w:rsidRPr="000922CF">
        <w:t>Coût des capitaux propres</w:t>
      </w:r>
      <w:r w:rsidR="00316A9B" w:rsidRPr="000922CF">
        <w:t> :</w:t>
      </w:r>
      <w:r w:rsidRPr="000922CF">
        <w:t xml:space="preserve"> </w:t>
      </w:r>
      <w:r w:rsidR="00316A9B" w:rsidRPr="000922CF">
        <w:t xml:space="preserve">CKP </w:t>
      </w:r>
      <w:r w:rsidRPr="000922CF">
        <w:t xml:space="preserve">= </w:t>
      </w:r>
      <w:proofErr w:type="spellStart"/>
      <w:r w:rsidRPr="000922CF">
        <w:t>Rf</w:t>
      </w:r>
      <w:proofErr w:type="spellEnd"/>
      <w:r w:rsidRPr="000922CF">
        <w:t xml:space="preserve"> + β</w:t>
      </w:r>
      <w:proofErr w:type="spellStart"/>
      <w:r w:rsidRPr="000922CF">
        <w:t>PRm</w:t>
      </w:r>
      <w:proofErr w:type="spellEnd"/>
      <w:r w:rsidRPr="000922CF">
        <w:t xml:space="preserve"> = 4,5% + 0,88x7% = </w:t>
      </w:r>
      <w:r w:rsidR="00316A9B" w:rsidRPr="000922CF">
        <w:t>10,66%</w:t>
      </w:r>
    </w:p>
    <w:p w:rsidR="00C1737E" w:rsidRPr="000922CF" w:rsidRDefault="00DB2CB9" w:rsidP="000922CF">
      <w:pPr>
        <w:jc w:val="both"/>
      </w:pPr>
      <w:r w:rsidRPr="000922CF">
        <w:t>Le coût des capitaux propres représente le taux de rentabilité requis, exigé, attendu par les actionnaires pour rémunérer le risque qu’ils prennent.</w:t>
      </w:r>
    </w:p>
    <w:p w:rsidR="00DB2CB9" w:rsidRPr="00A806E9" w:rsidRDefault="00DB2CB9" w:rsidP="000922CF">
      <w:pPr>
        <w:jc w:val="both"/>
        <w:rPr>
          <w:sz w:val="12"/>
          <w:szCs w:val="12"/>
        </w:rPr>
      </w:pPr>
    </w:p>
    <w:p w:rsidR="00316A9B" w:rsidRPr="000922CF" w:rsidRDefault="00316A9B" w:rsidP="000922CF">
      <w:pPr>
        <w:jc w:val="both"/>
      </w:pPr>
      <w:r w:rsidRPr="000922CF">
        <w:t>VKP = 68 920 000 x 1,43 = 98 555 600</w:t>
      </w:r>
    </w:p>
    <w:p w:rsidR="00316A9B" w:rsidRPr="000922CF" w:rsidRDefault="00316A9B" w:rsidP="000922CF">
      <w:pPr>
        <w:jc w:val="both"/>
      </w:pPr>
      <w:r w:rsidRPr="000922CF">
        <w:t xml:space="preserve">VDF = </w:t>
      </w:r>
      <w:r w:rsidR="00C1737E" w:rsidRPr="000922CF">
        <w:t>12 </w:t>
      </w:r>
      <w:r w:rsidR="00315336" w:rsidRPr="000922CF">
        <w:t>1</w:t>
      </w:r>
      <w:r w:rsidR="00C1737E" w:rsidRPr="000922CF">
        <w:t>49 000</w:t>
      </w:r>
    </w:p>
    <w:p w:rsidR="00C1737E" w:rsidRPr="000922CF" w:rsidRDefault="00C1737E" w:rsidP="000922CF">
      <w:pPr>
        <w:jc w:val="both"/>
      </w:pPr>
      <w:r w:rsidRPr="000922CF">
        <w:t>VKP + VDF = 110 </w:t>
      </w:r>
      <w:r w:rsidR="00315336" w:rsidRPr="000922CF">
        <w:t>7</w:t>
      </w:r>
      <w:r w:rsidRPr="000922CF">
        <w:t>04 600</w:t>
      </w:r>
    </w:p>
    <w:p w:rsidR="00316A9B" w:rsidRPr="000922CF" w:rsidRDefault="00A806E9" w:rsidP="000922CF">
      <w:pPr>
        <w:jc w:val="both"/>
      </w:pPr>
      <w:r>
        <w:br w:type="page"/>
      </w:r>
      <w:r w:rsidR="00316A9B" w:rsidRPr="000922CF">
        <w:lastRenderedPageBreak/>
        <w:t xml:space="preserve">Coût du capital = </w:t>
      </w:r>
      <w:proofErr w:type="gramStart"/>
      <w:r w:rsidR="00316A9B" w:rsidRPr="000922CF">
        <w:t>CKP(</w:t>
      </w:r>
      <w:proofErr w:type="gramEnd"/>
      <w:r w:rsidR="00316A9B" w:rsidRPr="000922CF">
        <w:t>VKP/VKP+VDF) + CDF(VDF/VKP+VDF)</w:t>
      </w:r>
      <w:r w:rsidR="00485DBB" w:rsidRPr="000922CF">
        <w:t>(1-tauxIS)</w:t>
      </w:r>
    </w:p>
    <w:p w:rsidR="00316A9B" w:rsidRPr="000922CF" w:rsidRDefault="00316A9B" w:rsidP="000922CF">
      <w:pPr>
        <w:jc w:val="both"/>
      </w:pPr>
      <w:r w:rsidRPr="000922CF">
        <w:tab/>
      </w:r>
      <w:r w:rsidRPr="000922CF">
        <w:tab/>
        <w:t xml:space="preserve">   = 10,66</w:t>
      </w:r>
      <w:r w:rsidR="00C1737E" w:rsidRPr="000922CF">
        <w:t>% x 98 555,6 / 110 </w:t>
      </w:r>
      <w:r w:rsidR="00315336" w:rsidRPr="000922CF">
        <w:t>7</w:t>
      </w:r>
      <w:r w:rsidR="00C1737E" w:rsidRPr="000922CF">
        <w:t>04,6 + 6% x 12 </w:t>
      </w:r>
      <w:r w:rsidR="00315336" w:rsidRPr="000922CF">
        <w:t>1</w:t>
      </w:r>
      <w:r w:rsidR="00C1737E" w:rsidRPr="000922CF">
        <w:t>49 / 110 </w:t>
      </w:r>
      <w:r w:rsidR="00315336" w:rsidRPr="000922CF">
        <w:t>7</w:t>
      </w:r>
      <w:r w:rsidR="00C1737E" w:rsidRPr="000922CF">
        <w:t>04,6 x 2/3</w:t>
      </w:r>
    </w:p>
    <w:p w:rsidR="00C1737E" w:rsidRPr="000922CF" w:rsidRDefault="00C1737E" w:rsidP="000922CF">
      <w:pPr>
        <w:jc w:val="both"/>
      </w:pPr>
      <w:r w:rsidRPr="000922CF">
        <w:tab/>
      </w:r>
      <w:r w:rsidRPr="000922CF">
        <w:tab/>
        <w:t xml:space="preserve">   = 9,49% + 0,4</w:t>
      </w:r>
      <w:r w:rsidR="000922CF" w:rsidRPr="000922CF">
        <w:t>4</w:t>
      </w:r>
      <w:r w:rsidRPr="000922CF">
        <w:t>%</w:t>
      </w:r>
    </w:p>
    <w:p w:rsidR="00C1737E" w:rsidRDefault="00C1737E" w:rsidP="000922CF">
      <w:pPr>
        <w:jc w:val="both"/>
      </w:pPr>
      <w:r w:rsidRPr="000922CF">
        <w:tab/>
      </w:r>
      <w:r w:rsidRPr="000922CF">
        <w:tab/>
        <w:t xml:space="preserve">    = 9,93% soit environ 10%</w:t>
      </w:r>
    </w:p>
    <w:p w:rsidR="00C1737E" w:rsidRDefault="00DB2CB9" w:rsidP="00855587">
      <w:pPr>
        <w:jc w:val="both"/>
      </w:pPr>
      <w:r>
        <w:t>Le coût du capital représente la moyenne pondérée du coût des capitaux propres et du coût de la dette. C’est donc le taux moyen de rentabilité attendu par l’ensemble des investisseurs.</w:t>
      </w:r>
    </w:p>
    <w:p w:rsidR="00DB2CB9" w:rsidRDefault="00DB2CB9" w:rsidP="00855587">
      <w:pPr>
        <w:jc w:val="both"/>
      </w:pPr>
    </w:p>
    <w:p w:rsidR="00C1737E" w:rsidRDefault="00C1737E" w:rsidP="00855587">
      <w:pPr>
        <w:jc w:val="both"/>
      </w:pPr>
      <w:r>
        <w:t>Dans un calcul de création de valeur a priori, par exemple pour déterminer la rentabilité économique d’un investissement</w:t>
      </w:r>
      <w:r w:rsidR="00DB2CB9">
        <w:t xml:space="preserve"> (calcul de VAN ou de TRI), </w:t>
      </w:r>
      <w:r w:rsidR="00B2367B">
        <w:t>on utilise traditionnellement le coût du capital pour actualiser les flux prévisionnels de l’investissement à la condition que l’investissement présente un niveau de risque économique et une structure de financement comparables aux activités traditionnelles de l’entreprise.</w:t>
      </w:r>
      <w:r w:rsidR="00694480">
        <w:t xml:space="preserve"> Dans un cas contraire, il faut utiliser un autre taux adapté au niveau de risque de l’investissement.</w:t>
      </w:r>
    </w:p>
    <w:p w:rsidR="00694480" w:rsidRDefault="00694480" w:rsidP="00855587">
      <w:pPr>
        <w:jc w:val="both"/>
      </w:pPr>
      <w:r>
        <w:t xml:space="preserve">A noter que dans la méthode de la VAN ajustée, la VAN de base est </w:t>
      </w:r>
      <w:proofErr w:type="gramStart"/>
      <w:r>
        <w:t>déterminée</w:t>
      </w:r>
      <w:proofErr w:type="gramEnd"/>
      <w:r>
        <w:t xml:space="preserve"> en actualisant les flux économiques au coût des capitaux propres.</w:t>
      </w:r>
    </w:p>
    <w:p w:rsidR="00694480" w:rsidRPr="006B20F9" w:rsidRDefault="00694480" w:rsidP="00855587">
      <w:pPr>
        <w:jc w:val="both"/>
      </w:pPr>
      <w:r>
        <w:t>Dans un calcul de création de valeur a posteriori, par exemple dans le calcul de l’</w:t>
      </w:r>
      <w:proofErr w:type="spellStart"/>
      <w:r>
        <w:t>Economic</w:t>
      </w:r>
      <w:proofErr w:type="spellEnd"/>
      <w:r>
        <w:t xml:space="preserve"> Value </w:t>
      </w:r>
      <w:proofErr w:type="spellStart"/>
      <w:r>
        <w:t>Added</w:t>
      </w:r>
      <w:proofErr w:type="spellEnd"/>
      <w:r>
        <w:t xml:space="preserve"> (EVA)</w:t>
      </w:r>
      <w:r w:rsidR="00485DBB">
        <w:t>, le taux de rentabilité économique observé est comparé au taux de rentabilité attendu (le coût du capital) : la différence appliquée au montant des capitaux investis (ou employés) permet de mesurer la création (ou la destruction) de valeur.</w:t>
      </w:r>
    </w:p>
    <w:p w:rsidR="001B6017" w:rsidRPr="006B20F9" w:rsidRDefault="001B6017" w:rsidP="00855587">
      <w:pPr>
        <w:jc w:val="both"/>
        <w:rPr>
          <w:b/>
        </w:rPr>
      </w:pPr>
    </w:p>
    <w:p w:rsidR="00855587" w:rsidRPr="00784D9B" w:rsidRDefault="00855587" w:rsidP="00855587">
      <w:pPr>
        <w:jc w:val="both"/>
        <w:rPr>
          <w:b/>
        </w:rPr>
      </w:pPr>
      <w:r w:rsidRPr="00784D9B">
        <w:rPr>
          <w:b/>
        </w:rPr>
        <w:t>3. Offre publique d’échange (annexe 4)</w:t>
      </w:r>
    </w:p>
    <w:p w:rsidR="00855587" w:rsidRPr="00784D9B" w:rsidRDefault="00855587" w:rsidP="00855587">
      <w:pPr>
        <w:jc w:val="both"/>
        <w:rPr>
          <w:b/>
        </w:rPr>
      </w:pPr>
      <w:r w:rsidRPr="00784D9B">
        <w:rPr>
          <w:b/>
        </w:rPr>
        <w:t>Indiquez les caractéristiques d’une OPE, ses avantages et inconvénients pour les différentes parties en présence.</w:t>
      </w:r>
    </w:p>
    <w:p w:rsidR="00855587" w:rsidRPr="00784D9B" w:rsidRDefault="00855587" w:rsidP="00855587">
      <w:pPr>
        <w:jc w:val="both"/>
        <w:rPr>
          <w:b/>
        </w:rPr>
      </w:pPr>
      <w:r w:rsidRPr="00784D9B">
        <w:rPr>
          <w:b/>
        </w:rPr>
        <w:t>Vous déterminerez ensuite les conséquences des deux parités envisagées</w:t>
      </w:r>
      <w:r>
        <w:rPr>
          <w:b/>
        </w:rPr>
        <w:t xml:space="preserve"> pour les actionnaires des deux sociétés</w:t>
      </w:r>
      <w:r w:rsidRPr="00784D9B">
        <w:rPr>
          <w:b/>
        </w:rPr>
        <w:t xml:space="preserve">, </w:t>
      </w:r>
      <w:r w:rsidRPr="000922CF">
        <w:rPr>
          <w:b/>
        </w:rPr>
        <w:t xml:space="preserve">en particulier en </w:t>
      </w:r>
      <w:proofErr w:type="gramStart"/>
      <w:r w:rsidRPr="000922CF">
        <w:rPr>
          <w:b/>
        </w:rPr>
        <w:t xml:space="preserve">terme </w:t>
      </w:r>
      <w:r w:rsidR="000922CF" w:rsidRPr="000922CF">
        <w:rPr>
          <w:b/>
        </w:rPr>
        <w:t>d’impact</w:t>
      </w:r>
      <w:proofErr w:type="gramEnd"/>
      <w:r w:rsidR="000922CF" w:rsidRPr="000922CF">
        <w:rPr>
          <w:b/>
        </w:rPr>
        <w:t xml:space="preserve"> sur le</w:t>
      </w:r>
      <w:r w:rsidRPr="000922CF">
        <w:rPr>
          <w:b/>
        </w:rPr>
        <w:t xml:space="preserve"> bénéfice par action.</w:t>
      </w:r>
    </w:p>
    <w:p w:rsidR="00855587" w:rsidRDefault="00855587" w:rsidP="00855587">
      <w:pPr>
        <w:jc w:val="both"/>
        <w:rPr>
          <w:b/>
        </w:rPr>
      </w:pPr>
      <w:r w:rsidRPr="00784D9B">
        <w:rPr>
          <w:b/>
        </w:rPr>
        <w:t xml:space="preserve"> </w:t>
      </w:r>
    </w:p>
    <w:p w:rsidR="00CA4877" w:rsidRDefault="00CA4877" w:rsidP="00855587">
      <w:pPr>
        <w:jc w:val="both"/>
      </w:pPr>
      <w:r w:rsidRPr="00CA4877">
        <w:t>Une</w:t>
      </w:r>
      <w:r>
        <w:t xml:space="preserve"> offre publique d’échange est l’une des modalités de prise de contrôle d’une entreprise (la cible) par une autre (l’initiateur) qui poursuit une stratégie de croissance externe. C’est une offre publique, ce qui suppose que la cible soit cotée, qui concerne l’ensemble des titres composant le capital de la cible. Dans une OPE, les porteurs de titres de la cible vont être rémunérés par des titres de l’initiateur, en général créés par augmentation de son capital. Cette opération a le plus souvent un caractère amical, c’est à dire qu’elle suppose un accord préalable des dirigeants des deux sociétés sur ses objectifs </w:t>
      </w:r>
      <w:r w:rsidR="00F7275A">
        <w:t xml:space="preserve">(synergie attendue du regroupement des deux entités économiques) </w:t>
      </w:r>
      <w:r>
        <w:t>et ses modalités de déroulement, en particulier dans la détermination de la parité d’échange. Cette modalité d’offre publique s’oppose aux OPA où les actionnaires de la cible sont payés en cash</w:t>
      </w:r>
      <w:r w:rsidR="00F7275A">
        <w:t xml:space="preserve"> et non en titres</w:t>
      </w:r>
      <w:r>
        <w:t>.</w:t>
      </w:r>
    </w:p>
    <w:p w:rsidR="00A806E9" w:rsidRDefault="00A806E9" w:rsidP="00855587">
      <w:pPr>
        <w:jc w:val="both"/>
      </w:pPr>
    </w:p>
    <w:p w:rsidR="00F7275A" w:rsidRDefault="00F7275A" w:rsidP="00855587">
      <w:pPr>
        <w:jc w:val="both"/>
      </w:pPr>
      <w:r>
        <w:t>Parmi les avantages et inconvénients de l’opération, on pourra citer :</w:t>
      </w:r>
    </w:p>
    <w:p w:rsidR="00F7275A" w:rsidRDefault="00F7275A" w:rsidP="00F7275A">
      <w:pPr>
        <w:pStyle w:val="Paragraphedeliste"/>
        <w:numPr>
          <w:ilvl w:val="0"/>
          <w:numId w:val="2"/>
        </w:numPr>
        <w:jc w:val="both"/>
      </w:pPr>
      <w:r>
        <w:t xml:space="preserve">Pour les actionnaires de la cible : la prime qui leur est proposée peut être complétée par les effets positifs (synergies) du regroupement au cours des périodes qui suivront l’opération (en général, la prime est plus élevée en cas d’OPA), ce qui reste aléatoire ; en revanche l’opération se traduit souvent par des effets relutifs sur le BPA ; le poids des anciens actionnaires de la cible dans la nouvelle société dépend du nombre d’actions créées et </w:t>
      </w:r>
      <w:r w:rsidR="005A4D9B">
        <w:t xml:space="preserve">de </w:t>
      </w:r>
      <w:r>
        <w:t>la structure antérieure du capital.</w:t>
      </w:r>
    </w:p>
    <w:p w:rsidR="00F7275A" w:rsidRDefault="00F7275A" w:rsidP="00F7275A">
      <w:pPr>
        <w:pStyle w:val="Paragraphedeliste"/>
        <w:numPr>
          <w:ilvl w:val="0"/>
          <w:numId w:val="2"/>
        </w:numPr>
        <w:jc w:val="both"/>
      </w:pPr>
      <w:r>
        <w:t>Pour les actionnaires de l’initiateur</w:t>
      </w:r>
      <w:r w:rsidR="005A4D9B">
        <w:t> : les effets sur le BPA et la diminution (voire perte) obligatoire du contrôle des anciens actionnaires dépendent des conditions de l’opération ; un actionnaire qui possédait tout juste la majorité ou bien une minorité de blocage va la perdre lors de l’augmentation de capital dont il est nécessairement exclu. Le levier d’endettement baisse mécaniquement du fait de l’augmentation des capitaux propres.</w:t>
      </w:r>
    </w:p>
    <w:p w:rsidR="005A4D9B" w:rsidRDefault="005A4D9B" w:rsidP="00F7275A">
      <w:pPr>
        <w:pStyle w:val="Paragraphedeliste"/>
        <w:numPr>
          <w:ilvl w:val="0"/>
          <w:numId w:val="2"/>
        </w:numPr>
        <w:jc w:val="both"/>
      </w:pPr>
      <w:r>
        <w:t xml:space="preserve">Pour les dirigeants et pour les salariés des deux entreprises (probablement plus pour ceux de la cible), l’opération, même amicale, se traduit le plus souvent par des destructions de postes, perçues comme le vecteur essentiel des synergies attendues et </w:t>
      </w:r>
      <w:r w:rsidR="009C0FE2">
        <w:t xml:space="preserve">comme </w:t>
      </w:r>
      <w:r>
        <w:t>compensation du coût de l’opération proprement dite.</w:t>
      </w:r>
    </w:p>
    <w:p w:rsidR="00874FEA" w:rsidRDefault="00A806E9" w:rsidP="00855587">
      <w:pPr>
        <w:jc w:val="both"/>
      </w:pPr>
      <w:r>
        <w:br w:type="page"/>
      </w:r>
      <w:r w:rsidR="005E21EB" w:rsidRPr="005E21EB">
        <w:lastRenderedPageBreak/>
        <w:t>Parité 1CC pour 5PS</w:t>
      </w:r>
      <w:r w:rsidR="005E21EB">
        <w:t> :</w:t>
      </w:r>
    </w:p>
    <w:p w:rsidR="001051DA" w:rsidRDefault="001051DA" w:rsidP="00855587">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276"/>
        <w:gridCol w:w="1417"/>
        <w:gridCol w:w="4568"/>
      </w:tblGrid>
      <w:tr w:rsidR="005E21EB">
        <w:tc>
          <w:tcPr>
            <w:tcW w:w="1951" w:type="dxa"/>
          </w:tcPr>
          <w:p w:rsidR="005E21EB" w:rsidRPr="00D56A43" w:rsidRDefault="005E21EB" w:rsidP="00D56A43">
            <w:pPr>
              <w:jc w:val="both"/>
              <w:rPr>
                <w:sz w:val="22"/>
                <w:szCs w:val="22"/>
              </w:rPr>
            </w:pPr>
          </w:p>
        </w:tc>
        <w:tc>
          <w:tcPr>
            <w:tcW w:w="1276" w:type="dxa"/>
          </w:tcPr>
          <w:p w:rsidR="005E21EB" w:rsidRPr="00D56A43" w:rsidRDefault="005E21EB" w:rsidP="00D56A43">
            <w:pPr>
              <w:jc w:val="center"/>
              <w:rPr>
                <w:sz w:val="22"/>
                <w:szCs w:val="22"/>
              </w:rPr>
            </w:pPr>
            <w:r w:rsidRPr="00D56A43">
              <w:rPr>
                <w:sz w:val="22"/>
                <w:szCs w:val="22"/>
              </w:rPr>
              <w:t>Cible PS</w:t>
            </w:r>
          </w:p>
        </w:tc>
        <w:tc>
          <w:tcPr>
            <w:tcW w:w="1417" w:type="dxa"/>
          </w:tcPr>
          <w:p w:rsidR="005E21EB" w:rsidRPr="00D56A43" w:rsidRDefault="005E21EB" w:rsidP="00D56A43">
            <w:pPr>
              <w:jc w:val="center"/>
              <w:rPr>
                <w:sz w:val="22"/>
                <w:szCs w:val="22"/>
              </w:rPr>
            </w:pPr>
            <w:r w:rsidRPr="00D56A43">
              <w:rPr>
                <w:sz w:val="22"/>
                <w:szCs w:val="22"/>
              </w:rPr>
              <w:t>Initiateur CC</w:t>
            </w:r>
          </w:p>
        </w:tc>
        <w:tc>
          <w:tcPr>
            <w:tcW w:w="4568" w:type="dxa"/>
          </w:tcPr>
          <w:p w:rsidR="005E21EB" w:rsidRPr="00D56A43" w:rsidRDefault="005E21EB" w:rsidP="00D56A43">
            <w:pPr>
              <w:jc w:val="center"/>
              <w:rPr>
                <w:sz w:val="22"/>
                <w:szCs w:val="22"/>
              </w:rPr>
            </w:pPr>
            <w:r w:rsidRPr="00D56A43">
              <w:rPr>
                <w:sz w:val="22"/>
                <w:szCs w:val="22"/>
              </w:rPr>
              <w:t>Société CC après</w:t>
            </w:r>
          </w:p>
        </w:tc>
      </w:tr>
      <w:tr w:rsidR="005E21EB">
        <w:tc>
          <w:tcPr>
            <w:tcW w:w="1951" w:type="dxa"/>
          </w:tcPr>
          <w:p w:rsidR="005E21EB" w:rsidRPr="00D56A43" w:rsidRDefault="005E21EB" w:rsidP="00D56A43">
            <w:pPr>
              <w:jc w:val="both"/>
              <w:rPr>
                <w:sz w:val="22"/>
                <w:szCs w:val="22"/>
              </w:rPr>
            </w:pPr>
            <w:r w:rsidRPr="00D56A43">
              <w:rPr>
                <w:sz w:val="22"/>
                <w:szCs w:val="22"/>
              </w:rPr>
              <w:t>Résultat (k€)</w:t>
            </w:r>
          </w:p>
        </w:tc>
        <w:tc>
          <w:tcPr>
            <w:tcW w:w="1276" w:type="dxa"/>
          </w:tcPr>
          <w:p w:rsidR="005E21EB" w:rsidRPr="00D56A43" w:rsidRDefault="005E21EB" w:rsidP="00D56A43">
            <w:pPr>
              <w:jc w:val="center"/>
              <w:rPr>
                <w:sz w:val="22"/>
                <w:szCs w:val="22"/>
              </w:rPr>
            </w:pPr>
            <w:r w:rsidRPr="00D56A43">
              <w:rPr>
                <w:sz w:val="22"/>
                <w:szCs w:val="22"/>
              </w:rPr>
              <w:t>51 690</w:t>
            </w:r>
          </w:p>
        </w:tc>
        <w:tc>
          <w:tcPr>
            <w:tcW w:w="1417" w:type="dxa"/>
          </w:tcPr>
          <w:p w:rsidR="005E21EB" w:rsidRPr="00D56A43" w:rsidRDefault="00D740F0" w:rsidP="00D56A43">
            <w:pPr>
              <w:jc w:val="center"/>
              <w:rPr>
                <w:sz w:val="22"/>
                <w:szCs w:val="22"/>
              </w:rPr>
            </w:pPr>
            <w:r w:rsidRPr="00D56A43">
              <w:rPr>
                <w:sz w:val="22"/>
                <w:szCs w:val="22"/>
              </w:rPr>
              <w:t>125 434,4</w:t>
            </w:r>
          </w:p>
        </w:tc>
        <w:tc>
          <w:tcPr>
            <w:tcW w:w="4568" w:type="dxa"/>
          </w:tcPr>
          <w:p w:rsidR="005E21EB" w:rsidRPr="00D56A43" w:rsidRDefault="00D740F0" w:rsidP="00D56A43">
            <w:pPr>
              <w:jc w:val="center"/>
              <w:rPr>
                <w:sz w:val="22"/>
                <w:szCs w:val="22"/>
              </w:rPr>
            </w:pPr>
            <w:r w:rsidRPr="00D56A43">
              <w:rPr>
                <w:sz w:val="22"/>
                <w:szCs w:val="22"/>
              </w:rPr>
              <w:t>(51690+125434,4)1,1 = 194 836,84</w:t>
            </w:r>
          </w:p>
        </w:tc>
      </w:tr>
      <w:tr w:rsidR="005E21EB">
        <w:tc>
          <w:tcPr>
            <w:tcW w:w="1951" w:type="dxa"/>
          </w:tcPr>
          <w:p w:rsidR="005E21EB" w:rsidRPr="00D56A43" w:rsidRDefault="005E21EB" w:rsidP="00D56A43">
            <w:pPr>
              <w:jc w:val="both"/>
              <w:rPr>
                <w:sz w:val="22"/>
                <w:szCs w:val="22"/>
              </w:rPr>
            </w:pPr>
            <w:r w:rsidRPr="00D56A43">
              <w:rPr>
                <w:sz w:val="22"/>
                <w:szCs w:val="22"/>
              </w:rPr>
              <w:t>Nombre d’actions</w:t>
            </w:r>
          </w:p>
        </w:tc>
        <w:tc>
          <w:tcPr>
            <w:tcW w:w="1276" w:type="dxa"/>
          </w:tcPr>
          <w:p w:rsidR="005E21EB" w:rsidRPr="00D56A43" w:rsidRDefault="005E21EB" w:rsidP="00D56A43">
            <w:pPr>
              <w:jc w:val="center"/>
              <w:rPr>
                <w:sz w:val="22"/>
                <w:szCs w:val="22"/>
              </w:rPr>
            </w:pPr>
            <w:r w:rsidRPr="00D56A43">
              <w:rPr>
                <w:sz w:val="22"/>
                <w:szCs w:val="22"/>
              </w:rPr>
              <w:t>68 920 000</w:t>
            </w:r>
          </w:p>
        </w:tc>
        <w:tc>
          <w:tcPr>
            <w:tcW w:w="1417" w:type="dxa"/>
          </w:tcPr>
          <w:p w:rsidR="005E21EB" w:rsidRPr="00D56A43" w:rsidRDefault="005E21EB" w:rsidP="00D56A43">
            <w:pPr>
              <w:jc w:val="center"/>
              <w:rPr>
                <w:sz w:val="22"/>
                <w:szCs w:val="22"/>
              </w:rPr>
            </w:pPr>
            <w:r w:rsidRPr="00D56A43">
              <w:rPr>
                <w:sz w:val="22"/>
                <w:szCs w:val="22"/>
              </w:rPr>
              <w:t>24 122 000</w:t>
            </w:r>
          </w:p>
        </w:tc>
        <w:tc>
          <w:tcPr>
            <w:tcW w:w="4568" w:type="dxa"/>
          </w:tcPr>
          <w:p w:rsidR="005E21EB" w:rsidRPr="00D56A43" w:rsidRDefault="005E21EB" w:rsidP="00D56A43">
            <w:pPr>
              <w:jc w:val="center"/>
              <w:rPr>
                <w:sz w:val="22"/>
                <w:szCs w:val="22"/>
              </w:rPr>
            </w:pPr>
            <w:r w:rsidRPr="00D56A43">
              <w:rPr>
                <w:sz w:val="22"/>
                <w:szCs w:val="22"/>
              </w:rPr>
              <w:t>24122000+68920000</w:t>
            </w:r>
            <w:r w:rsidR="00D740F0" w:rsidRPr="00D56A43">
              <w:rPr>
                <w:sz w:val="22"/>
                <w:szCs w:val="22"/>
              </w:rPr>
              <w:t>/5</w:t>
            </w:r>
            <w:r w:rsidRPr="00D56A43">
              <w:rPr>
                <w:sz w:val="22"/>
                <w:szCs w:val="22"/>
              </w:rPr>
              <w:t xml:space="preserve"> = </w:t>
            </w:r>
            <w:r w:rsidR="00D740F0" w:rsidRPr="00D56A43">
              <w:rPr>
                <w:sz w:val="22"/>
                <w:szCs w:val="22"/>
              </w:rPr>
              <w:t>37 906 000</w:t>
            </w:r>
          </w:p>
        </w:tc>
      </w:tr>
      <w:tr w:rsidR="005E21EB">
        <w:tc>
          <w:tcPr>
            <w:tcW w:w="1951" w:type="dxa"/>
          </w:tcPr>
          <w:p w:rsidR="005E21EB" w:rsidRPr="00D56A43" w:rsidRDefault="005E21EB" w:rsidP="00D56A43">
            <w:pPr>
              <w:jc w:val="both"/>
              <w:rPr>
                <w:sz w:val="22"/>
                <w:szCs w:val="22"/>
              </w:rPr>
            </w:pPr>
            <w:r w:rsidRPr="00D56A43">
              <w:rPr>
                <w:sz w:val="22"/>
                <w:szCs w:val="22"/>
              </w:rPr>
              <w:t>BPA</w:t>
            </w:r>
            <w:r w:rsidR="00D740F0" w:rsidRPr="00D56A43">
              <w:rPr>
                <w:sz w:val="22"/>
                <w:szCs w:val="22"/>
              </w:rPr>
              <w:t xml:space="preserve"> (€)</w:t>
            </w:r>
          </w:p>
        </w:tc>
        <w:tc>
          <w:tcPr>
            <w:tcW w:w="1276" w:type="dxa"/>
          </w:tcPr>
          <w:p w:rsidR="005E21EB" w:rsidRPr="00D56A43" w:rsidRDefault="00D740F0" w:rsidP="00D56A43">
            <w:pPr>
              <w:jc w:val="center"/>
              <w:rPr>
                <w:sz w:val="22"/>
                <w:szCs w:val="22"/>
              </w:rPr>
            </w:pPr>
            <w:r w:rsidRPr="00D56A43">
              <w:rPr>
                <w:sz w:val="22"/>
                <w:szCs w:val="22"/>
              </w:rPr>
              <w:t>0,75</w:t>
            </w:r>
          </w:p>
        </w:tc>
        <w:tc>
          <w:tcPr>
            <w:tcW w:w="1417" w:type="dxa"/>
          </w:tcPr>
          <w:p w:rsidR="005E21EB" w:rsidRPr="00D56A43" w:rsidRDefault="004841C7" w:rsidP="00D56A43">
            <w:pPr>
              <w:jc w:val="center"/>
              <w:rPr>
                <w:sz w:val="22"/>
                <w:szCs w:val="22"/>
              </w:rPr>
            </w:pPr>
            <w:r w:rsidRPr="00D56A43">
              <w:rPr>
                <w:sz w:val="22"/>
                <w:szCs w:val="22"/>
              </w:rPr>
              <w:t>7,8/1,5=</w:t>
            </w:r>
            <w:r w:rsidR="00D740F0" w:rsidRPr="00D56A43">
              <w:rPr>
                <w:sz w:val="22"/>
                <w:szCs w:val="22"/>
              </w:rPr>
              <w:t>5,2</w:t>
            </w:r>
          </w:p>
        </w:tc>
        <w:tc>
          <w:tcPr>
            <w:tcW w:w="4568" w:type="dxa"/>
          </w:tcPr>
          <w:p w:rsidR="005E21EB" w:rsidRPr="00D56A43" w:rsidRDefault="00D740F0" w:rsidP="00D56A43">
            <w:pPr>
              <w:jc w:val="center"/>
              <w:rPr>
                <w:sz w:val="22"/>
                <w:szCs w:val="22"/>
              </w:rPr>
            </w:pPr>
            <w:r w:rsidRPr="00D56A43">
              <w:rPr>
                <w:sz w:val="22"/>
                <w:szCs w:val="22"/>
              </w:rPr>
              <w:t>5,14</w:t>
            </w:r>
          </w:p>
        </w:tc>
      </w:tr>
      <w:tr w:rsidR="005E21EB">
        <w:tc>
          <w:tcPr>
            <w:tcW w:w="1951" w:type="dxa"/>
          </w:tcPr>
          <w:p w:rsidR="005E21EB" w:rsidRPr="00D56A43" w:rsidRDefault="005E21EB" w:rsidP="00D56A43">
            <w:pPr>
              <w:jc w:val="both"/>
              <w:rPr>
                <w:sz w:val="22"/>
                <w:szCs w:val="22"/>
              </w:rPr>
            </w:pPr>
            <w:r w:rsidRPr="00D56A43">
              <w:rPr>
                <w:sz w:val="22"/>
                <w:szCs w:val="22"/>
              </w:rPr>
              <w:t>BPA équivalent</w:t>
            </w:r>
          </w:p>
        </w:tc>
        <w:tc>
          <w:tcPr>
            <w:tcW w:w="1276" w:type="dxa"/>
          </w:tcPr>
          <w:p w:rsidR="005E21EB" w:rsidRPr="00D56A43" w:rsidRDefault="00D740F0" w:rsidP="00D56A43">
            <w:pPr>
              <w:jc w:val="center"/>
              <w:rPr>
                <w:sz w:val="22"/>
                <w:szCs w:val="22"/>
              </w:rPr>
            </w:pPr>
            <w:r w:rsidRPr="00D56A43">
              <w:rPr>
                <w:sz w:val="22"/>
                <w:szCs w:val="22"/>
              </w:rPr>
              <w:t>3,75</w:t>
            </w:r>
          </w:p>
        </w:tc>
        <w:tc>
          <w:tcPr>
            <w:tcW w:w="1417" w:type="dxa"/>
          </w:tcPr>
          <w:p w:rsidR="005E21EB" w:rsidRPr="00D56A43" w:rsidRDefault="005E21EB" w:rsidP="00D56A43">
            <w:pPr>
              <w:jc w:val="center"/>
              <w:rPr>
                <w:sz w:val="22"/>
                <w:szCs w:val="22"/>
              </w:rPr>
            </w:pPr>
          </w:p>
        </w:tc>
        <w:tc>
          <w:tcPr>
            <w:tcW w:w="4568" w:type="dxa"/>
          </w:tcPr>
          <w:p w:rsidR="005E21EB" w:rsidRPr="00D56A43" w:rsidRDefault="005E21EB" w:rsidP="00D56A43">
            <w:pPr>
              <w:jc w:val="center"/>
              <w:rPr>
                <w:sz w:val="22"/>
                <w:szCs w:val="22"/>
              </w:rPr>
            </w:pPr>
          </w:p>
        </w:tc>
      </w:tr>
      <w:tr w:rsidR="005E21EB">
        <w:tc>
          <w:tcPr>
            <w:tcW w:w="1951" w:type="dxa"/>
          </w:tcPr>
          <w:p w:rsidR="005E21EB" w:rsidRPr="00D56A43" w:rsidRDefault="005E21EB" w:rsidP="00D56A43">
            <w:pPr>
              <w:jc w:val="both"/>
              <w:rPr>
                <w:sz w:val="22"/>
                <w:szCs w:val="22"/>
              </w:rPr>
            </w:pPr>
            <w:r w:rsidRPr="00D56A43">
              <w:rPr>
                <w:sz w:val="22"/>
                <w:szCs w:val="22"/>
              </w:rPr>
              <w:t>Effet sur BPA</w:t>
            </w:r>
          </w:p>
        </w:tc>
        <w:tc>
          <w:tcPr>
            <w:tcW w:w="1276" w:type="dxa"/>
          </w:tcPr>
          <w:p w:rsidR="005E21EB" w:rsidRPr="00D56A43" w:rsidRDefault="00D740F0" w:rsidP="00D56A43">
            <w:pPr>
              <w:jc w:val="center"/>
              <w:rPr>
                <w:sz w:val="22"/>
                <w:szCs w:val="22"/>
              </w:rPr>
            </w:pPr>
            <w:r w:rsidRPr="00D56A43">
              <w:rPr>
                <w:sz w:val="22"/>
                <w:szCs w:val="22"/>
              </w:rPr>
              <w:t>Relutif de 37</w:t>
            </w:r>
            <w:r w:rsidR="004841C7" w:rsidRPr="00D56A43">
              <w:rPr>
                <w:sz w:val="22"/>
                <w:szCs w:val="22"/>
              </w:rPr>
              <w:t>,1</w:t>
            </w:r>
            <w:r w:rsidRPr="00D56A43">
              <w:rPr>
                <w:sz w:val="22"/>
                <w:szCs w:val="22"/>
              </w:rPr>
              <w:t>%</w:t>
            </w:r>
          </w:p>
        </w:tc>
        <w:tc>
          <w:tcPr>
            <w:tcW w:w="1417" w:type="dxa"/>
          </w:tcPr>
          <w:p w:rsidR="005E21EB" w:rsidRPr="00D56A43" w:rsidRDefault="00D740F0" w:rsidP="00D56A43">
            <w:pPr>
              <w:jc w:val="center"/>
              <w:rPr>
                <w:sz w:val="22"/>
                <w:szCs w:val="22"/>
              </w:rPr>
            </w:pPr>
            <w:r w:rsidRPr="00D56A43">
              <w:rPr>
                <w:sz w:val="22"/>
                <w:szCs w:val="22"/>
              </w:rPr>
              <w:t>Dilutif de 1</w:t>
            </w:r>
            <w:r w:rsidR="004841C7" w:rsidRPr="00D56A43">
              <w:rPr>
                <w:sz w:val="22"/>
                <w:szCs w:val="22"/>
              </w:rPr>
              <w:t>,2</w:t>
            </w:r>
            <w:r w:rsidRPr="00D56A43">
              <w:rPr>
                <w:sz w:val="22"/>
                <w:szCs w:val="22"/>
              </w:rPr>
              <w:t>%</w:t>
            </w:r>
          </w:p>
        </w:tc>
        <w:tc>
          <w:tcPr>
            <w:tcW w:w="4568" w:type="dxa"/>
          </w:tcPr>
          <w:p w:rsidR="005E21EB" w:rsidRPr="00D56A43" w:rsidRDefault="005E21EB" w:rsidP="00D56A43">
            <w:pPr>
              <w:jc w:val="center"/>
              <w:rPr>
                <w:sz w:val="22"/>
                <w:szCs w:val="22"/>
              </w:rPr>
            </w:pPr>
          </w:p>
        </w:tc>
      </w:tr>
    </w:tbl>
    <w:p w:rsidR="005E21EB" w:rsidRPr="005E21EB" w:rsidRDefault="005E21EB" w:rsidP="00855587">
      <w:pPr>
        <w:jc w:val="both"/>
      </w:pPr>
    </w:p>
    <w:p w:rsidR="00874FEA" w:rsidRDefault="00D740F0" w:rsidP="00855587">
      <w:pPr>
        <w:jc w:val="both"/>
      </w:pPr>
      <w:r>
        <w:t>Parité de 3CC pour 20PS :</w:t>
      </w:r>
    </w:p>
    <w:p w:rsidR="001051DA" w:rsidRDefault="001051DA" w:rsidP="00855587">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276"/>
        <w:gridCol w:w="1417"/>
        <w:gridCol w:w="4568"/>
      </w:tblGrid>
      <w:tr w:rsidR="00D740F0">
        <w:tc>
          <w:tcPr>
            <w:tcW w:w="1951" w:type="dxa"/>
          </w:tcPr>
          <w:p w:rsidR="00D740F0" w:rsidRPr="00D56A43" w:rsidRDefault="00D740F0" w:rsidP="00D56A43">
            <w:pPr>
              <w:jc w:val="both"/>
              <w:rPr>
                <w:sz w:val="22"/>
                <w:szCs w:val="22"/>
              </w:rPr>
            </w:pPr>
          </w:p>
        </w:tc>
        <w:tc>
          <w:tcPr>
            <w:tcW w:w="1276" w:type="dxa"/>
          </w:tcPr>
          <w:p w:rsidR="00D740F0" w:rsidRPr="00D56A43" w:rsidRDefault="00D740F0" w:rsidP="00D56A43">
            <w:pPr>
              <w:jc w:val="center"/>
              <w:rPr>
                <w:sz w:val="22"/>
                <w:szCs w:val="22"/>
              </w:rPr>
            </w:pPr>
            <w:r w:rsidRPr="00D56A43">
              <w:rPr>
                <w:sz w:val="22"/>
                <w:szCs w:val="22"/>
              </w:rPr>
              <w:t>Cible PS</w:t>
            </w:r>
          </w:p>
        </w:tc>
        <w:tc>
          <w:tcPr>
            <w:tcW w:w="1417" w:type="dxa"/>
          </w:tcPr>
          <w:p w:rsidR="00D740F0" w:rsidRPr="00D56A43" w:rsidRDefault="00D740F0" w:rsidP="00D56A43">
            <w:pPr>
              <w:jc w:val="center"/>
              <w:rPr>
                <w:sz w:val="22"/>
                <w:szCs w:val="22"/>
              </w:rPr>
            </w:pPr>
            <w:r w:rsidRPr="00D56A43">
              <w:rPr>
                <w:sz w:val="22"/>
                <w:szCs w:val="22"/>
              </w:rPr>
              <w:t>Initiateur CC</w:t>
            </w:r>
          </w:p>
        </w:tc>
        <w:tc>
          <w:tcPr>
            <w:tcW w:w="4568" w:type="dxa"/>
          </w:tcPr>
          <w:p w:rsidR="00D740F0" w:rsidRPr="00D56A43" w:rsidRDefault="00D740F0" w:rsidP="00D56A43">
            <w:pPr>
              <w:jc w:val="center"/>
              <w:rPr>
                <w:sz w:val="22"/>
                <w:szCs w:val="22"/>
              </w:rPr>
            </w:pPr>
            <w:r w:rsidRPr="00D56A43">
              <w:rPr>
                <w:sz w:val="22"/>
                <w:szCs w:val="22"/>
              </w:rPr>
              <w:t>Société CC après</w:t>
            </w:r>
          </w:p>
        </w:tc>
      </w:tr>
      <w:tr w:rsidR="00D740F0">
        <w:tc>
          <w:tcPr>
            <w:tcW w:w="1951" w:type="dxa"/>
          </w:tcPr>
          <w:p w:rsidR="00D740F0" w:rsidRPr="00D56A43" w:rsidRDefault="00D740F0" w:rsidP="00D56A43">
            <w:pPr>
              <w:jc w:val="both"/>
              <w:rPr>
                <w:sz w:val="22"/>
                <w:szCs w:val="22"/>
              </w:rPr>
            </w:pPr>
            <w:r w:rsidRPr="00D56A43">
              <w:rPr>
                <w:sz w:val="22"/>
                <w:szCs w:val="22"/>
              </w:rPr>
              <w:t>Résultat (k€)</w:t>
            </w:r>
          </w:p>
        </w:tc>
        <w:tc>
          <w:tcPr>
            <w:tcW w:w="1276" w:type="dxa"/>
          </w:tcPr>
          <w:p w:rsidR="00D740F0" w:rsidRPr="00D56A43" w:rsidRDefault="00D740F0" w:rsidP="00D56A43">
            <w:pPr>
              <w:jc w:val="center"/>
              <w:rPr>
                <w:sz w:val="22"/>
                <w:szCs w:val="22"/>
              </w:rPr>
            </w:pPr>
            <w:r w:rsidRPr="00D56A43">
              <w:rPr>
                <w:sz w:val="22"/>
                <w:szCs w:val="22"/>
              </w:rPr>
              <w:t>51 690</w:t>
            </w:r>
          </w:p>
        </w:tc>
        <w:tc>
          <w:tcPr>
            <w:tcW w:w="1417" w:type="dxa"/>
          </w:tcPr>
          <w:p w:rsidR="00D740F0" w:rsidRPr="00D56A43" w:rsidRDefault="00D740F0" w:rsidP="00D56A43">
            <w:pPr>
              <w:jc w:val="center"/>
              <w:rPr>
                <w:sz w:val="22"/>
                <w:szCs w:val="22"/>
              </w:rPr>
            </w:pPr>
            <w:r w:rsidRPr="00D56A43">
              <w:rPr>
                <w:sz w:val="22"/>
                <w:szCs w:val="22"/>
              </w:rPr>
              <w:t>125 434,4</w:t>
            </w:r>
          </w:p>
        </w:tc>
        <w:tc>
          <w:tcPr>
            <w:tcW w:w="4568" w:type="dxa"/>
          </w:tcPr>
          <w:p w:rsidR="00D740F0" w:rsidRPr="00D56A43" w:rsidRDefault="00D740F0" w:rsidP="00D56A43">
            <w:pPr>
              <w:jc w:val="center"/>
              <w:rPr>
                <w:sz w:val="22"/>
                <w:szCs w:val="22"/>
              </w:rPr>
            </w:pPr>
            <w:r w:rsidRPr="00D56A43">
              <w:rPr>
                <w:sz w:val="22"/>
                <w:szCs w:val="22"/>
              </w:rPr>
              <w:t>(51690+125434,4)1,1 = 194 836,84</w:t>
            </w:r>
          </w:p>
        </w:tc>
      </w:tr>
      <w:tr w:rsidR="00D740F0">
        <w:tc>
          <w:tcPr>
            <w:tcW w:w="1951" w:type="dxa"/>
          </w:tcPr>
          <w:p w:rsidR="00D740F0" w:rsidRPr="00D56A43" w:rsidRDefault="00D740F0" w:rsidP="00D56A43">
            <w:pPr>
              <w:jc w:val="both"/>
              <w:rPr>
                <w:sz w:val="22"/>
                <w:szCs w:val="22"/>
              </w:rPr>
            </w:pPr>
            <w:r w:rsidRPr="00D56A43">
              <w:rPr>
                <w:sz w:val="22"/>
                <w:szCs w:val="22"/>
              </w:rPr>
              <w:t>Nombre d’actions</w:t>
            </w:r>
          </w:p>
        </w:tc>
        <w:tc>
          <w:tcPr>
            <w:tcW w:w="1276" w:type="dxa"/>
          </w:tcPr>
          <w:p w:rsidR="00D740F0" w:rsidRPr="00D56A43" w:rsidRDefault="00D740F0" w:rsidP="00D56A43">
            <w:pPr>
              <w:jc w:val="center"/>
              <w:rPr>
                <w:sz w:val="22"/>
                <w:szCs w:val="22"/>
              </w:rPr>
            </w:pPr>
            <w:r w:rsidRPr="00D56A43">
              <w:rPr>
                <w:sz w:val="22"/>
                <w:szCs w:val="22"/>
              </w:rPr>
              <w:t>68 920 000</w:t>
            </w:r>
          </w:p>
        </w:tc>
        <w:tc>
          <w:tcPr>
            <w:tcW w:w="1417" w:type="dxa"/>
          </w:tcPr>
          <w:p w:rsidR="00D740F0" w:rsidRPr="00D56A43" w:rsidRDefault="00D740F0" w:rsidP="00D56A43">
            <w:pPr>
              <w:jc w:val="center"/>
              <w:rPr>
                <w:sz w:val="22"/>
                <w:szCs w:val="22"/>
              </w:rPr>
            </w:pPr>
            <w:r w:rsidRPr="00D56A43">
              <w:rPr>
                <w:sz w:val="22"/>
                <w:szCs w:val="22"/>
              </w:rPr>
              <w:t>24 122 000</w:t>
            </w:r>
          </w:p>
        </w:tc>
        <w:tc>
          <w:tcPr>
            <w:tcW w:w="4568" w:type="dxa"/>
          </w:tcPr>
          <w:p w:rsidR="00D740F0" w:rsidRPr="00D56A43" w:rsidRDefault="00D740F0" w:rsidP="00D56A43">
            <w:pPr>
              <w:jc w:val="center"/>
              <w:rPr>
                <w:sz w:val="22"/>
                <w:szCs w:val="22"/>
              </w:rPr>
            </w:pPr>
            <w:r w:rsidRPr="00D56A43">
              <w:rPr>
                <w:sz w:val="22"/>
                <w:szCs w:val="22"/>
              </w:rPr>
              <w:t>24122000+68920000*3/20= 34 460 000</w:t>
            </w:r>
          </w:p>
        </w:tc>
      </w:tr>
      <w:tr w:rsidR="00D740F0">
        <w:tc>
          <w:tcPr>
            <w:tcW w:w="1951" w:type="dxa"/>
          </w:tcPr>
          <w:p w:rsidR="00D740F0" w:rsidRPr="00D56A43" w:rsidRDefault="00D740F0" w:rsidP="00D56A43">
            <w:pPr>
              <w:jc w:val="both"/>
              <w:rPr>
                <w:sz w:val="22"/>
                <w:szCs w:val="22"/>
              </w:rPr>
            </w:pPr>
            <w:r w:rsidRPr="00D56A43">
              <w:rPr>
                <w:sz w:val="22"/>
                <w:szCs w:val="22"/>
              </w:rPr>
              <w:t>BPA (€)</w:t>
            </w:r>
          </w:p>
        </w:tc>
        <w:tc>
          <w:tcPr>
            <w:tcW w:w="1276" w:type="dxa"/>
          </w:tcPr>
          <w:p w:rsidR="00D740F0" w:rsidRPr="00D56A43" w:rsidRDefault="00D740F0" w:rsidP="00D56A43">
            <w:pPr>
              <w:jc w:val="center"/>
              <w:rPr>
                <w:sz w:val="22"/>
                <w:szCs w:val="22"/>
              </w:rPr>
            </w:pPr>
            <w:r w:rsidRPr="00D56A43">
              <w:rPr>
                <w:sz w:val="22"/>
                <w:szCs w:val="22"/>
              </w:rPr>
              <w:t>0,75</w:t>
            </w:r>
          </w:p>
        </w:tc>
        <w:tc>
          <w:tcPr>
            <w:tcW w:w="1417" w:type="dxa"/>
          </w:tcPr>
          <w:p w:rsidR="00D740F0" w:rsidRPr="00D56A43" w:rsidRDefault="00D740F0" w:rsidP="00D56A43">
            <w:pPr>
              <w:jc w:val="center"/>
              <w:rPr>
                <w:sz w:val="22"/>
                <w:szCs w:val="22"/>
              </w:rPr>
            </w:pPr>
            <w:r w:rsidRPr="00D56A43">
              <w:rPr>
                <w:sz w:val="22"/>
                <w:szCs w:val="22"/>
              </w:rPr>
              <w:t>5,2</w:t>
            </w:r>
          </w:p>
        </w:tc>
        <w:tc>
          <w:tcPr>
            <w:tcW w:w="4568" w:type="dxa"/>
          </w:tcPr>
          <w:p w:rsidR="00D740F0" w:rsidRPr="00D56A43" w:rsidRDefault="00D740F0" w:rsidP="00D56A43">
            <w:pPr>
              <w:jc w:val="center"/>
              <w:rPr>
                <w:sz w:val="22"/>
                <w:szCs w:val="22"/>
              </w:rPr>
            </w:pPr>
            <w:r w:rsidRPr="00D56A43">
              <w:rPr>
                <w:sz w:val="22"/>
                <w:szCs w:val="22"/>
              </w:rPr>
              <w:t>5,654</w:t>
            </w:r>
          </w:p>
        </w:tc>
      </w:tr>
      <w:tr w:rsidR="00D740F0">
        <w:tc>
          <w:tcPr>
            <w:tcW w:w="1951" w:type="dxa"/>
          </w:tcPr>
          <w:p w:rsidR="00D740F0" w:rsidRPr="00D56A43" w:rsidRDefault="00D740F0" w:rsidP="00D56A43">
            <w:pPr>
              <w:jc w:val="both"/>
              <w:rPr>
                <w:sz w:val="22"/>
                <w:szCs w:val="22"/>
              </w:rPr>
            </w:pPr>
            <w:r w:rsidRPr="00D56A43">
              <w:rPr>
                <w:sz w:val="22"/>
                <w:szCs w:val="22"/>
              </w:rPr>
              <w:t>BPA équivalent</w:t>
            </w:r>
          </w:p>
        </w:tc>
        <w:tc>
          <w:tcPr>
            <w:tcW w:w="1276" w:type="dxa"/>
          </w:tcPr>
          <w:p w:rsidR="00D740F0" w:rsidRPr="00D56A43" w:rsidRDefault="00D740F0" w:rsidP="00D56A43">
            <w:pPr>
              <w:jc w:val="center"/>
              <w:rPr>
                <w:sz w:val="22"/>
                <w:szCs w:val="22"/>
              </w:rPr>
            </w:pPr>
            <w:r w:rsidRPr="00D56A43">
              <w:rPr>
                <w:sz w:val="22"/>
                <w:szCs w:val="22"/>
              </w:rPr>
              <w:t>5</w:t>
            </w:r>
          </w:p>
        </w:tc>
        <w:tc>
          <w:tcPr>
            <w:tcW w:w="1417" w:type="dxa"/>
          </w:tcPr>
          <w:p w:rsidR="00D740F0" w:rsidRPr="00D56A43" w:rsidRDefault="00D740F0" w:rsidP="00D56A43">
            <w:pPr>
              <w:jc w:val="center"/>
              <w:rPr>
                <w:sz w:val="22"/>
                <w:szCs w:val="22"/>
              </w:rPr>
            </w:pPr>
          </w:p>
        </w:tc>
        <w:tc>
          <w:tcPr>
            <w:tcW w:w="4568" w:type="dxa"/>
          </w:tcPr>
          <w:p w:rsidR="00D740F0" w:rsidRPr="00D56A43" w:rsidRDefault="00D740F0" w:rsidP="00D56A43">
            <w:pPr>
              <w:jc w:val="center"/>
              <w:rPr>
                <w:sz w:val="22"/>
                <w:szCs w:val="22"/>
              </w:rPr>
            </w:pPr>
          </w:p>
        </w:tc>
      </w:tr>
      <w:tr w:rsidR="00D740F0">
        <w:tc>
          <w:tcPr>
            <w:tcW w:w="1951" w:type="dxa"/>
          </w:tcPr>
          <w:p w:rsidR="00D740F0" w:rsidRPr="00D56A43" w:rsidRDefault="00D740F0" w:rsidP="00D56A43">
            <w:pPr>
              <w:jc w:val="both"/>
              <w:rPr>
                <w:sz w:val="22"/>
                <w:szCs w:val="22"/>
              </w:rPr>
            </w:pPr>
            <w:r w:rsidRPr="00D56A43">
              <w:rPr>
                <w:sz w:val="22"/>
                <w:szCs w:val="22"/>
              </w:rPr>
              <w:t>Effet sur BPA</w:t>
            </w:r>
          </w:p>
        </w:tc>
        <w:tc>
          <w:tcPr>
            <w:tcW w:w="1276" w:type="dxa"/>
          </w:tcPr>
          <w:p w:rsidR="00D740F0" w:rsidRPr="00D56A43" w:rsidRDefault="00D740F0" w:rsidP="00D56A43">
            <w:pPr>
              <w:jc w:val="center"/>
              <w:rPr>
                <w:sz w:val="22"/>
                <w:szCs w:val="22"/>
              </w:rPr>
            </w:pPr>
            <w:r w:rsidRPr="00D56A43">
              <w:rPr>
                <w:sz w:val="22"/>
                <w:szCs w:val="22"/>
              </w:rPr>
              <w:t>Relutif de 11,3%</w:t>
            </w:r>
          </w:p>
        </w:tc>
        <w:tc>
          <w:tcPr>
            <w:tcW w:w="1417" w:type="dxa"/>
          </w:tcPr>
          <w:p w:rsidR="00D740F0" w:rsidRPr="00D56A43" w:rsidRDefault="004841C7" w:rsidP="00D56A43">
            <w:pPr>
              <w:jc w:val="center"/>
              <w:rPr>
                <w:sz w:val="22"/>
                <w:szCs w:val="22"/>
              </w:rPr>
            </w:pPr>
            <w:r w:rsidRPr="00D56A43">
              <w:rPr>
                <w:sz w:val="22"/>
                <w:szCs w:val="22"/>
              </w:rPr>
              <w:t>Re</w:t>
            </w:r>
            <w:r w:rsidR="00D740F0" w:rsidRPr="00D56A43">
              <w:rPr>
                <w:sz w:val="22"/>
                <w:szCs w:val="22"/>
              </w:rPr>
              <w:t xml:space="preserve">lutif de </w:t>
            </w:r>
            <w:r w:rsidRPr="00D56A43">
              <w:rPr>
                <w:sz w:val="22"/>
                <w:szCs w:val="22"/>
              </w:rPr>
              <w:t>7</w:t>
            </w:r>
            <w:r w:rsidR="00D740F0" w:rsidRPr="00D56A43">
              <w:rPr>
                <w:sz w:val="22"/>
                <w:szCs w:val="22"/>
              </w:rPr>
              <w:t>%</w:t>
            </w:r>
          </w:p>
        </w:tc>
        <w:tc>
          <w:tcPr>
            <w:tcW w:w="4568" w:type="dxa"/>
          </w:tcPr>
          <w:p w:rsidR="00D740F0" w:rsidRPr="00D56A43" w:rsidRDefault="00D740F0" w:rsidP="00D56A43">
            <w:pPr>
              <w:jc w:val="center"/>
              <w:rPr>
                <w:sz w:val="22"/>
                <w:szCs w:val="22"/>
              </w:rPr>
            </w:pPr>
          </w:p>
        </w:tc>
      </w:tr>
    </w:tbl>
    <w:p w:rsidR="00D740F0" w:rsidRPr="00D740F0" w:rsidRDefault="00D740F0" w:rsidP="00855587">
      <w:pPr>
        <w:jc w:val="both"/>
      </w:pPr>
    </w:p>
    <w:p w:rsidR="00874FEA" w:rsidRDefault="004841C7" w:rsidP="00855587">
      <w:pPr>
        <w:jc w:val="both"/>
      </w:pPr>
      <w:r>
        <w:t xml:space="preserve">La parité 1 pour 5 est favorable aux actionnaires de Phone </w:t>
      </w:r>
      <w:proofErr w:type="spellStart"/>
      <w:r>
        <w:t>Solving</w:t>
      </w:r>
      <w:proofErr w:type="spellEnd"/>
      <w:r>
        <w:t xml:space="preserve"> et leur confère une minorité de blocage dans la nouvelle entité : les 13 784 000 actions qui leur sont attribuées représentent 36% du capital.</w:t>
      </w:r>
    </w:p>
    <w:p w:rsidR="00A806E9" w:rsidRDefault="00A806E9" w:rsidP="00855587">
      <w:pPr>
        <w:jc w:val="both"/>
      </w:pPr>
    </w:p>
    <w:p w:rsidR="004841C7" w:rsidRDefault="004841C7" w:rsidP="00855587">
      <w:pPr>
        <w:jc w:val="both"/>
      </w:pPr>
      <w:r>
        <w:t xml:space="preserve">La parité de 3 pour 20 est plus équilibrée dans la mesure où les actionnaires des deux sociétés se partagent le fruit des synergies escomptées. Par ailleurs les 10 338 000 actions créées représentent 30% du capital. Les actionnaires de Phone </w:t>
      </w:r>
      <w:proofErr w:type="spellStart"/>
      <w:r>
        <w:t>Solving</w:t>
      </w:r>
      <w:proofErr w:type="spellEnd"/>
      <w:r w:rsidR="001051DA">
        <w:t xml:space="preserve"> n’étant pas particulièrement intéressées par le contrôle de </w:t>
      </w:r>
      <w:proofErr w:type="spellStart"/>
      <w:r w:rsidR="001051DA">
        <w:t>Calling</w:t>
      </w:r>
      <w:proofErr w:type="spellEnd"/>
      <w:r w:rsidR="001051DA">
        <w:t xml:space="preserve"> Corporation (actionnariat émietté, recherche de plus-value rapide en cédant les titres), leurs dirigeants risquent de se voir contraints d’accepter cette parité.</w:t>
      </w:r>
    </w:p>
    <w:p w:rsidR="004841C7" w:rsidRDefault="004841C7" w:rsidP="00855587">
      <w:pPr>
        <w:jc w:val="both"/>
      </w:pPr>
    </w:p>
    <w:p w:rsidR="00855587" w:rsidRDefault="00855587" w:rsidP="00855587">
      <w:pPr>
        <w:jc w:val="both"/>
        <w:rPr>
          <w:b/>
        </w:rPr>
      </w:pPr>
      <w:r>
        <w:rPr>
          <w:b/>
        </w:rPr>
        <w:t>4. Gestion du risque de change (annexe 5)</w:t>
      </w:r>
    </w:p>
    <w:p w:rsidR="00855587" w:rsidRDefault="00855587" w:rsidP="00855587">
      <w:pPr>
        <w:jc w:val="both"/>
        <w:rPr>
          <w:b/>
        </w:rPr>
      </w:pPr>
      <w:r>
        <w:rPr>
          <w:b/>
        </w:rPr>
        <w:t>Après avoir identifié</w:t>
      </w:r>
      <w:r w:rsidR="001B6017">
        <w:rPr>
          <w:b/>
        </w:rPr>
        <w:t>s</w:t>
      </w:r>
      <w:r>
        <w:rPr>
          <w:b/>
        </w:rPr>
        <w:t xml:space="preserve"> la position et le risque de change couru par la société Phone </w:t>
      </w:r>
      <w:proofErr w:type="spellStart"/>
      <w:r>
        <w:rPr>
          <w:b/>
        </w:rPr>
        <w:t>Solving</w:t>
      </w:r>
      <w:proofErr w:type="spellEnd"/>
      <w:r>
        <w:rPr>
          <w:b/>
        </w:rPr>
        <w:t>, vous décrirez et chiffrerez, à partir des informations fournies en annexe, les modalités de couverture possibles.</w:t>
      </w:r>
    </w:p>
    <w:p w:rsidR="00855587" w:rsidRDefault="00855587" w:rsidP="00855587">
      <w:pPr>
        <w:jc w:val="both"/>
        <w:rPr>
          <w:b/>
        </w:rPr>
      </w:pPr>
      <w:r>
        <w:rPr>
          <w:b/>
        </w:rPr>
        <w:t>Indiquez leurs avantages et inconvénients respectifs.</w:t>
      </w:r>
    </w:p>
    <w:p w:rsidR="00855587" w:rsidRPr="001051DA" w:rsidRDefault="00855587" w:rsidP="00855587">
      <w:pPr>
        <w:jc w:val="both"/>
      </w:pPr>
    </w:p>
    <w:p w:rsidR="00855587" w:rsidRDefault="00376F15" w:rsidP="00855587">
      <w:pPr>
        <w:jc w:val="both"/>
      </w:pPr>
      <w:r>
        <w:t xml:space="preserve">Phone </w:t>
      </w:r>
      <w:proofErr w:type="spellStart"/>
      <w:r>
        <w:t>Solving</w:t>
      </w:r>
      <w:proofErr w:type="spellEnd"/>
      <w:r>
        <w:t xml:space="preserve"> doit 80% de 850 000 USD soit 680 000 USD à son fournisseur. Elle est donc en position dite « courte » et craint une appréciation du dollar face à l’euro entre le 15/1/2010 et le 15/3/2010.</w:t>
      </w:r>
    </w:p>
    <w:p w:rsidR="00376F15" w:rsidRDefault="00376F15" w:rsidP="00855587">
      <w:pPr>
        <w:jc w:val="both"/>
      </w:pPr>
      <w:r>
        <w:t>Pour se couvrir contre ce risque de change, elle dispose de 3 couvertures possibles :</w:t>
      </w:r>
    </w:p>
    <w:p w:rsidR="00072D34" w:rsidRDefault="00072D34" w:rsidP="00855587">
      <w:pPr>
        <w:jc w:val="both"/>
      </w:pPr>
    </w:p>
    <w:p w:rsidR="00376F15" w:rsidRDefault="00376F15" w:rsidP="00376F15">
      <w:pPr>
        <w:pStyle w:val="Paragraphedeliste"/>
        <w:numPr>
          <w:ilvl w:val="0"/>
          <w:numId w:val="2"/>
        </w:numPr>
        <w:jc w:val="both"/>
      </w:pPr>
      <w:r>
        <w:t>L’achat à terme de 680 000 USD sur la base du cours à terme, échéance 15/3, donc au prix de 680000/1,4883 = 456 897,13</w:t>
      </w:r>
      <w:r w:rsidR="00D87972">
        <w:t xml:space="preserve"> </w:t>
      </w:r>
      <w:r>
        <w:t>€. Cette couverture est ferme, c’est</w:t>
      </w:r>
      <w:r w:rsidR="00C566BB">
        <w:t>-à-</w:t>
      </w:r>
      <w:r>
        <w:t>dire que les positions sont fixées définitivement, sans possibilité d’en sortir dans le cas d’une dépréciation du dollar.</w:t>
      </w:r>
    </w:p>
    <w:p w:rsidR="00072D34" w:rsidRDefault="00072D34" w:rsidP="00072D34">
      <w:pPr>
        <w:jc w:val="both"/>
      </w:pPr>
    </w:p>
    <w:p w:rsidR="00BC433E" w:rsidRDefault="00376F15" w:rsidP="002E6127">
      <w:pPr>
        <w:pStyle w:val="Paragraphedeliste"/>
        <w:numPr>
          <w:ilvl w:val="0"/>
          <w:numId w:val="2"/>
        </w:numPr>
        <w:jc w:val="both"/>
      </w:pPr>
      <w:r>
        <w:t xml:space="preserve">L’achat d’une option d’achat de 680 000 </w:t>
      </w:r>
      <w:r w:rsidR="00BC433E">
        <w:t>USD au prix d’exercice de 1,49 moyennant le paiement d’une prime de 680000*1,</w:t>
      </w:r>
      <w:r w:rsidR="00364511">
        <w:t>7</w:t>
      </w:r>
      <w:r w:rsidR="00BC433E">
        <w:t xml:space="preserve">5% = </w:t>
      </w:r>
      <w:r w:rsidR="00364511">
        <w:t>11 9</w:t>
      </w:r>
      <w:r w:rsidR="00BC433E">
        <w:t xml:space="preserve">00 USD </w:t>
      </w:r>
    </w:p>
    <w:p w:rsidR="00376F15" w:rsidRDefault="00BC433E" w:rsidP="00BC433E">
      <w:pPr>
        <w:pStyle w:val="Paragraphedeliste"/>
        <w:jc w:val="both"/>
      </w:pPr>
      <w:proofErr w:type="gramStart"/>
      <w:r>
        <w:t>soit</w:t>
      </w:r>
      <w:proofErr w:type="gramEnd"/>
      <w:r>
        <w:t xml:space="preserve"> un coût de 1</w:t>
      </w:r>
      <w:r w:rsidR="00364511">
        <w:t>19</w:t>
      </w:r>
      <w:r>
        <w:t xml:space="preserve">00/1,4967 = </w:t>
      </w:r>
      <w:r w:rsidR="00364511">
        <w:t>7 950,83</w:t>
      </w:r>
      <w:r w:rsidR="00D87972">
        <w:t xml:space="preserve"> </w:t>
      </w:r>
      <w:r>
        <w:t>€</w:t>
      </w:r>
    </w:p>
    <w:p w:rsidR="00BC433E" w:rsidRDefault="00BC433E" w:rsidP="00BC433E">
      <w:pPr>
        <w:pStyle w:val="Paragraphedeliste"/>
        <w:jc w:val="both"/>
      </w:pPr>
      <w:r>
        <w:t>L’entreprise exercera l’option d’achat si le cours de l’euro est inférieur à 1,49 USD et l’abandonnera sinon.</w:t>
      </w:r>
    </w:p>
    <w:p w:rsidR="00BC433E" w:rsidRDefault="00BC433E" w:rsidP="00BC433E">
      <w:pPr>
        <w:pStyle w:val="Paragraphedeliste"/>
        <w:jc w:val="both"/>
      </w:pPr>
      <w:r>
        <w:t>Cette possibilité d’abandonner l’option lui permet de bénéficier d’une évolution favorable du dollar contre le paiement certain de la prime.</w:t>
      </w:r>
    </w:p>
    <w:p w:rsidR="00072D34" w:rsidRDefault="00072D34" w:rsidP="00BC433E">
      <w:pPr>
        <w:pStyle w:val="Paragraphedeliste"/>
        <w:jc w:val="both"/>
      </w:pPr>
    </w:p>
    <w:p w:rsidR="00BC433E" w:rsidRPr="000922CF" w:rsidRDefault="00BC433E" w:rsidP="00BC433E">
      <w:pPr>
        <w:pStyle w:val="Paragraphedeliste"/>
        <w:numPr>
          <w:ilvl w:val="0"/>
          <w:numId w:val="2"/>
        </w:numPr>
        <w:jc w:val="both"/>
      </w:pPr>
      <w:r>
        <w:lastRenderedPageBreak/>
        <w:t xml:space="preserve">L’achat de </w:t>
      </w:r>
      <w:proofErr w:type="spellStart"/>
      <w:r>
        <w:t>puts</w:t>
      </w:r>
      <w:proofErr w:type="spellEnd"/>
      <w:r>
        <w:t xml:space="preserve"> warrants EUR/USD </w:t>
      </w:r>
      <w:r w:rsidR="00CD5049">
        <w:t>(</w:t>
      </w:r>
      <w:r>
        <w:t>parité</w:t>
      </w:r>
      <w:r w:rsidR="00CD5049">
        <w:t xml:space="preserve"> 1/10, </w:t>
      </w:r>
      <w:r w:rsidR="008169F6">
        <w:t>delta -0,</w:t>
      </w:r>
      <w:r w:rsidR="00364511">
        <w:t>71</w:t>
      </w:r>
      <w:r w:rsidR="008169F6">
        <w:t xml:space="preserve">, </w:t>
      </w:r>
      <w:r w:rsidR="00CD5049">
        <w:t xml:space="preserve">multiple de 500). Sur la base du cours spot, il lui faut </w:t>
      </w:r>
      <w:r w:rsidR="008169F6">
        <w:t xml:space="preserve">couvrir 680000/1,4967 = 454 332,87€ et donc </w:t>
      </w:r>
      <w:r w:rsidR="00CD5049">
        <w:t xml:space="preserve">acquérir </w:t>
      </w:r>
      <w:r w:rsidR="008169F6">
        <w:t>454332,87</w:t>
      </w:r>
      <w:r w:rsidR="00CD5049">
        <w:t>*</w:t>
      </w:r>
      <w:r w:rsidR="008169F6">
        <w:t>0,1/0,71</w:t>
      </w:r>
      <w:r w:rsidR="00CD5049">
        <w:t xml:space="preserve"> = </w:t>
      </w:r>
      <w:r w:rsidR="008169F6">
        <w:t>63 990</w:t>
      </w:r>
      <w:r w:rsidR="00CD5049">
        <w:t xml:space="preserve"> arrondi à </w:t>
      </w:r>
      <w:r w:rsidR="008169F6">
        <w:t>64 000</w:t>
      </w:r>
      <w:r w:rsidR="00CD5049">
        <w:t xml:space="preserve"> warrants, moyennant le paiement d’une </w:t>
      </w:r>
      <w:r w:rsidR="00CD5049" w:rsidRPr="000922CF">
        <w:t xml:space="preserve">prime de : </w:t>
      </w:r>
      <w:r w:rsidR="008169F6" w:rsidRPr="000922CF">
        <w:t>64000*0,2</w:t>
      </w:r>
      <w:r w:rsidR="000922CF" w:rsidRPr="000922CF">
        <w:t>9</w:t>
      </w:r>
      <w:r w:rsidR="008169F6" w:rsidRPr="000922CF">
        <w:t xml:space="preserve"> = </w:t>
      </w:r>
      <w:r w:rsidR="000922CF" w:rsidRPr="000922CF">
        <w:t>18</w:t>
      </w:r>
      <w:r w:rsidR="00D87972">
        <w:t> </w:t>
      </w:r>
      <w:r w:rsidR="000922CF" w:rsidRPr="000922CF">
        <w:t>560</w:t>
      </w:r>
      <w:r w:rsidR="00D87972">
        <w:t xml:space="preserve"> </w:t>
      </w:r>
      <w:r w:rsidR="008169F6" w:rsidRPr="000922CF">
        <w:t>€</w:t>
      </w:r>
    </w:p>
    <w:p w:rsidR="00364511" w:rsidRDefault="00364511" w:rsidP="00364511">
      <w:pPr>
        <w:pStyle w:val="Paragraphedeliste"/>
        <w:jc w:val="both"/>
      </w:pPr>
      <w:r>
        <w:t>Comme dans le cas de l’option d’achat d’USD, l’entreprise pourra exercer les warrants si à l’échéance le cours de l’euro est inférieur au prix d’exercice, soit 1,485 USD ou l’abandonner en cas contraire, bénéficiant ainsi de l’évolution favorable du dollar.</w:t>
      </w:r>
    </w:p>
    <w:p w:rsidR="00364511" w:rsidRDefault="00364511" w:rsidP="00364511">
      <w:pPr>
        <w:pStyle w:val="Paragraphedeliste"/>
        <w:jc w:val="both"/>
      </w:pPr>
      <w:r>
        <w:t>Les warrants permettent</w:t>
      </w:r>
      <w:r w:rsidR="00072D34">
        <w:t>,</w:t>
      </w:r>
      <w:r>
        <w:t xml:space="preserve"> en plus de cette</w:t>
      </w:r>
      <w:r w:rsidR="00072D34">
        <w:t xml:space="preserve"> fonction de couverture, de spéculer sur la valeur de sous-jacent (ici l’euro). Il est en effet possible de revendre le warrant sans attendre l’échéance, sa valeur évoluant en sens inverse du sous-jacent.</w:t>
      </w:r>
    </w:p>
    <w:p w:rsidR="00072D34" w:rsidRDefault="00072D34" w:rsidP="00364511">
      <w:pPr>
        <w:pStyle w:val="Paragraphedeliste"/>
        <w:jc w:val="both"/>
      </w:pPr>
      <w:r>
        <w:t>Cette fonction spéculative n’intéresse que peu l’entreprise qui cherche simplement à se protéger contre l’appréciation de sa dette en devise. L’option d’achat est ici préférable aux warrants en raison de son coût beaucoup plus faible.</w:t>
      </w:r>
    </w:p>
    <w:p w:rsidR="009C2DEB" w:rsidRPr="001051DA" w:rsidRDefault="009C2DEB" w:rsidP="00364511">
      <w:pPr>
        <w:jc w:val="both"/>
      </w:pPr>
    </w:p>
    <w:p w:rsidR="00855587" w:rsidRPr="004E10C2" w:rsidRDefault="00855587" w:rsidP="00855587">
      <w:pPr>
        <w:pBdr>
          <w:top w:val="single" w:sz="4" w:space="1" w:color="auto"/>
          <w:left w:val="single" w:sz="4" w:space="4" w:color="auto"/>
          <w:bottom w:val="single" w:sz="4" w:space="1" w:color="auto"/>
          <w:right w:val="single" w:sz="4" w:space="4" w:color="auto"/>
        </w:pBdr>
        <w:jc w:val="center"/>
        <w:rPr>
          <w:b/>
          <w:bCs/>
          <w:sz w:val="32"/>
          <w:szCs w:val="32"/>
        </w:rPr>
      </w:pPr>
      <w:r>
        <w:rPr>
          <w:b/>
          <w:bCs/>
          <w:sz w:val="32"/>
          <w:szCs w:val="32"/>
        </w:rPr>
        <w:t>Dossier 2 -</w:t>
      </w:r>
      <w:r w:rsidRPr="004E10C2">
        <w:rPr>
          <w:b/>
          <w:bCs/>
          <w:sz w:val="32"/>
          <w:szCs w:val="32"/>
        </w:rPr>
        <w:t xml:space="preserve"> REFLEXION SUR </w:t>
      </w:r>
      <w:smartTag w:uri="urn:schemas-microsoft-com:office:smarttags" w:element="PersonName">
        <w:smartTagPr>
          <w:attr w:name="ProductID" w:val="LA STRUCTURE FINANCIERE"/>
        </w:smartTagPr>
        <w:r w:rsidRPr="004E10C2">
          <w:rPr>
            <w:b/>
            <w:bCs/>
            <w:sz w:val="32"/>
            <w:szCs w:val="32"/>
          </w:rPr>
          <w:t>LA STRUCTURE FINANCIERE</w:t>
        </w:r>
      </w:smartTag>
    </w:p>
    <w:p w:rsidR="00855587" w:rsidRPr="00A806E9" w:rsidRDefault="00855587" w:rsidP="00855587">
      <w:pPr>
        <w:jc w:val="center"/>
        <w:rPr>
          <w:b/>
          <w:bCs/>
          <w:sz w:val="12"/>
          <w:szCs w:val="12"/>
        </w:rPr>
      </w:pPr>
    </w:p>
    <w:p w:rsidR="00855587" w:rsidRPr="00CB0453" w:rsidRDefault="00855587" w:rsidP="00855587">
      <w:pPr>
        <w:jc w:val="center"/>
        <w:rPr>
          <w:b/>
          <w:bCs/>
        </w:rPr>
      </w:pPr>
      <w:r w:rsidRPr="00CB0453">
        <w:rPr>
          <w:b/>
          <w:bCs/>
        </w:rPr>
        <w:t xml:space="preserve">Sujet : Structure financière et création de valeur actionnariale </w:t>
      </w:r>
    </w:p>
    <w:p w:rsidR="00855587" w:rsidRPr="00A806E9" w:rsidRDefault="00855587" w:rsidP="00855587">
      <w:pPr>
        <w:rPr>
          <w:sz w:val="12"/>
          <w:szCs w:val="12"/>
        </w:rPr>
      </w:pPr>
    </w:p>
    <w:p w:rsidR="00855587" w:rsidRPr="001B6017" w:rsidRDefault="00855587" w:rsidP="00855587">
      <w:pPr>
        <w:jc w:val="both"/>
      </w:pPr>
      <w:r w:rsidRPr="001B6017">
        <w:t xml:space="preserve">En vous référant aux théories et aux pratiques financières et en vous appuyant sur les deux textes figurant en annexe (annexes 6 et 7), il vous appartient d’éclairer la question suivante: </w:t>
      </w:r>
    </w:p>
    <w:p w:rsidR="00855587" w:rsidRPr="001B6017" w:rsidRDefault="00855587" w:rsidP="00855587">
      <w:pPr>
        <w:jc w:val="both"/>
      </w:pPr>
    </w:p>
    <w:p w:rsidR="005A4242" w:rsidRPr="001B6017" w:rsidRDefault="00855587" w:rsidP="00A806E9">
      <w:pPr>
        <w:jc w:val="center"/>
        <w:rPr>
          <w:b/>
        </w:rPr>
      </w:pPr>
      <w:r w:rsidRPr="001B6017">
        <w:rPr>
          <w:b/>
        </w:rPr>
        <w:t>La structure financière a-t-elle un impact sur la création de valeur actionnariale ?</w:t>
      </w:r>
    </w:p>
    <w:p w:rsidR="00DA3C14" w:rsidRPr="001B6017" w:rsidRDefault="00DA3C14" w:rsidP="00A806E9">
      <w:pPr>
        <w:jc w:val="both"/>
      </w:pPr>
    </w:p>
    <w:p w:rsidR="00DA3C14" w:rsidRPr="00A806E9" w:rsidRDefault="00DA3C14" w:rsidP="00A806E9">
      <w:pPr>
        <w:pStyle w:val="NormalWeb"/>
        <w:spacing w:before="0" w:beforeAutospacing="0" w:after="0" w:afterAutospacing="0"/>
        <w:rPr>
          <w:b/>
          <w:bCs/>
        </w:rPr>
      </w:pPr>
      <w:r w:rsidRPr="00A806E9">
        <w:rPr>
          <w:b/>
          <w:bCs/>
        </w:rPr>
        <w:t>Définition des termes du sujet :</w:t>
      </w:r>
    </w:p>
    <w:p w:rsidR="00A806E9" w:rsidRDefault="00A806E9" w:rsidP="00A806E9">
      <w:pPr>
        <w:pStyle w:val="NormalWeb"/>
        <w:spacing w:before="0" w:beforeAutospacing="0" w:after="0" w:afterAutospacing="0"/>
        <w:jc w:val="both"/>
        <w:rPr>
          <w:u w:val="single"/>
        </w:rPr>
      </w:pPr>
    </w:p>
    <w:p w:rsidR="00DA3C14" w:rsidRPr="00A806E9" w:rsidRDefault="00DA3C14" w:rsidP="00A806E9">
      <w:pPr>
        <w:pStyle w:val="NormalWeb"/>
        <w:spacing w:before="0" w:beforeAutospacing="0" w:after="0" w:afterAutospacing="0"/>
        <w:jc w:val="both"/>
      </w:pPr>
      <w:r w:rsidRPr="00A806E9">
        <w:t xml:space="preserve">La notion de création de valeur se réfère au concept de </w:t>
      </w:r>
      <w:smartTag w:uri="urn:schemas-microsoft-com:office:smarttags" w:element="PersonName">
        <w:smartTagPr>
          <w:attr w:name="ProductID" w:val="la VAN. La"/>
        </w:smartTagPr>
        <w:r w:rsidRPr="00A806E9">
          <w:t>la VAN. La</w:t>
        </w:r>
      </w:smartTag>
      <w:r w:rsidRPr="00A806E9">
        <w:t xml:space="preserve"> création de valeur existe dès lors que les investissements de l'entreprise dégagent une rentabilité supérieure au taux de rentabilité exigé par ses apporteurs de capitaux. Toutefois l’expression « création de valeur » est ambiguë car elle occulte les conflits éventuels d’intérêt entre les actionnaires (</w:t>
      </w:r>
      <w:proofErr w:type="spellStart"/>
      <w:r w:rsidRPr="00A806E9">
        <w:rPr>
          <w:i/>
          <w:iCs/>
        </w:rPr>
        <w:t>shareholders</w:t>
      </w:r>
      <w:proofErr w:type="spellEnd"/>
      <w:r w:rsidRPr="00A806E9">
        <w:t>) et les autres parties prenantes (</w:t>
      </w:r>
      <w:proofErr w:type="spellStart"/>
      <w:r w:rsidRPr="00A806E9">
        <w:rPr>
          <w:i/>
          <w:iCs/>
        </w:rPr>
        <w:t>stakeholders</w:t>
      </w:r>
      <w:proofErr w:type="spellEnd"/>
      <w:r w:rsidRPr="00A806E9">
        <w:t>). Or</w:t>
      </w:r>
      <w:r w:rsidR="00A85CC9" w:rsidRPr="00A806E9">
        <w:t>,</w:t>
      </w:r>
      <w:r w:rsidRPr="00A806E9">
        <w:t xml:space="preserve"> L’objectif assigné à la finance d’entreprise par la théorie néoclassique est la maximisation de la richesse des actionnaires. Le qualificatif « actionnariale » associé à la création de valeur sous-entend donc que la création de valeur est réalisée au profit des seuls actionnaires. </w:t>
      </w:r>
    </w:p>
    <w:p w:rsidR="00A806E9" w:rsidRDefault="00A806E9" w:rsidP="00A806E9">
      <w:pPr>
        <w:pStyle w:val="NormalWeb"/>
        <w:spacing w:before="0" w:beforeAutospacing="0" w:after="0" w:afterAutospacing="0"/>
        <w:jc w:val="both"/>
        <w:rPr>
          <w:u w:val="single"/>
        </w:rPr>
      </w:pPr>
    </w:p>
    <w:p w:rsidR="00DA3C14" w:rsidRPr="00A806E9" w:rsidRDefault="00DA3C14" w:rsidP="00A806E9">
      <w:pPr>
        <w:pStyle w:val="NormalWeb"/>
        <w:spacing w:before="0" w:beforeAutospacing="0" w:after="0" w:afterAutospacing="0"/>
        <w:jc w:val="both"/>
      </w:pPr>
      <w:r w:rsidRPr="00A806E9">
        <w:t xml:space="preserve">La structure financière est une combinaison de dettes financières et de capitaux propres à laquelle l'entreprise a recours pour financer ses choix stratégiques. Elle se caractérise par la proportion prise par chacune des  sources de financement. </w:t>
      </w:r>
    </w:p>
    <w:p w:rsidR="00A806E9" w:rsidRDefault="00A806E9" w:rsidP="00A806E9">
      <w:pPr>
        <w:jc w:val="both"/>
        <w:rPr>
          <w:b/>
          <w:bCs/>
        </w:rPr>
      </w:pPr>
    </w:p>
    <w:p w:rsidR="00DA3C14" w:rsidRPr="001B6017" w:rsidRDefault="00DA3C14" w:rsidP="00A806E9">
      <w:pPr>
        <w:jc w:val="both"/>
        <w:rPr>
          <w:b/>
          <w:bCs/>
        </w:rPr>
      </w:pPr>
      <w:r w:rsidRPr="001B6017">
        <w:rPr>
          <w:b/>
          <w:bCs/>
        </w:rPr>
        <w:t xml:space="preserve">Le lien entre les deux termes du sujet : </w:t>
      </w:r>
    </w:p>
    <w:p w:rsidR="00DA3C14" w:rsidRPr="001B6017" w:rsidRDefault="00DA3C14" w:rsidP="00A806E9">
      <w:pPr>
        <w:jc w:val="both"/>
      </w:pPr>
    </w:p>
    <w:p w:rsidR="00DA3C14" w:rsidRPr="001B6017" w:rsidRDefault="00DA3C14" w:rsidP="00DA3C14">
      <w:pPr>
        <w:jc w:val="both"/>
      </w:pPr>
      <w:r w:rsidRPr="001B6017">
        <w:t xml:space="preserve">Pour créer de la valeur actionnariale,  l’entreprise doit investir dans des activités dont le rendement est supérieur au coût du capital  et minimiser le coût du capital. Pour ce faire, l’entreprise peut agir sur </w:t>
      </w:r>
      <w:proofErr w:type="gramStart"/>
      <w:r w:rsidRPr="001B6017">
        <w:t>la combinaison capitaux</w:t>
      </w:r>
      <w:proofErr w:type="gramEnd"/>
      <w:r w:rsidRPr="001B6017">
        <w:t xml:space="preserve"> propres/dettes financières. </w:t>
      </w:r>
    </w:p>
    <w:p w:rsidR="00DA3C14" w:rsidRPr="001B6017" w:rsidRDefault="00DA3C14" w:rsidP="00A806E9">
      <w:pPr>
        <w:jc w:val="both"/>
      </w:pPr>
    </w:p>
    <w:p w:rsidR="00DA3C14" w:rsidRPr="001B6017" w:rsidRDefault="00DA3C14" w:rsidP="00DA3C14">
      <w:pPr>
        <w:jc w:val="both"/>
        <w:rPr>
          <w:b/>
          <w:bCs/>
        </w:rPr>
      </w:pPr>
      <w:r w:rsidRPr="001B6017">
        <w:rPr>
          <w:b/>
          <w:bCs/>
        </w:rPr>
        <w:t>La problématique</w:t>
      </w:r>
      <w:r w:rsidR="00A806E9">
        <w:rPr>
          <w:b/>
          <w:bCs/>
        </w:rPr>
        <w:t> :</w:t>
      </w:r>
    </w:p>
    <w:p w:rsidR="00DA3C14" w:rsidRPr="001B6017" w:rsidRDefault="00DA3C14" w:rsidP="00DA3C14">
      <w:pPr>
        <w:jc w:val="both"/>
      </w:pPr>
    </w:p>
    <w:p w:rsidR="00DA3C14" w:rsidRPr="001B6017" w:rsidRDefault="00DA3C14" w:rsidP="0030290E">
      <w:pPr>
        <w:jc w:val="both"/>
      </w:pPr>
      <w:r w:rsidRPr="001B6017">
        <w:t xml:space="preserve">Existe t-il une combinaison de capitaux propres et de dettes financières  « optimale » </w:t>
      </w:r>
      <w:r w:rsidR="00A85CC9">
        <w:t>c’est-</w:t>
      </w:r>
      <w:r w:rsidR="0030290E" w:rsidRPr="001B6017">
        <w:t>à</w:t>
      </w:r>
      <w:r w:rsidR="00A85CC9">
        <w:t>-</w:t>
      </w:r>
      <w:r w:rsidR="0030290E" w:rsidRPr="001B6017">
        <w:t xml:space="preserve">dire </w:t>
      </w:r>
      <w:r w:rsidRPr="001B6017">
        <w:t>qui permet de maximiser la création de valeur actionnariale</w:t>
      </w:r>
      <w:r w:rsidR="00A85CC9">
        <w:t xml:space="preserve"> </w:t>
      </w:r>
      <w:r w:rsidRPr="001B6017">
        <w:t>?</w:t>
      </w:r>
    </w:p>
    <w:p w:rsidR="00DA3C14" w:rsidRPr="001B6017" w:rsidRDefault="00DA3C14" w:rsidP="00DA3C14">
      <w:pPr>
        <w:jc w:val="both"/>
        <w:rPr>
          <w:bCs/>
        </w:rPr>
      </w:pPr>
    </w:p>
    <w:p w:rsidR="00DA3C14" w:rsidRPr="00A806E9" w:rsidRDefault="00DA3C14" w:rsidP="00DA3C14">
      <w:pPr>
        <w:jc w:val="both"/>
        <w:rPr>
          <w:b/>
          <w:bCs/>
        </w:rPr>
      </w:pPr>
      <w:r w:rsidRPr="00A806E9">
        <w:rPr>
          <w:b/>
          <w:bCs/>
        </w:rPr>
        <w:t xml:space="preserve">Les références théoriques : </w:t>
      </w:r>
    </w:p>
    <w:p w:rsidR="00DA3C14" w:rsidRPr="001B6017" w:rsidRDefault="00DA3C14" w:rsidP="00DA3C14">
      <w:pPr>
        <w:jc w:val="both"/>
        <w:rPr>
          <w:bCs/>
        </w:rPr>
      </w:pPr>
    </w:p>
    <w:p w:rsidR="00DA3C14" w:rsidRPr="001B6017" w:rsidRDefault="00DA3C14" w:rsidP="00DA3C14">
      <w:pPr>
        <w:jc w:val="both"/>
        <w:rPr>
          <w:bCs/>
        </w:rPr>
      </w:pPr>
      <w:r w:rsidRPr="001B6017">
        <w:rPr>
          <w:bCs/>
        </w:rPr>
        <w:t xml:space="preserve">L’arbitrage entre les modes de financement a été abondamment traité dans la littérature financière. </w:t>
      </w:r>
      <w:r w:rsidR="0030290E" w:rsidRPr="001B6017">
        <w:rPr>
          <w:bCs/>
        </w:rPr>
        <w:t xml:space="preserve">La minimisation du coût du capital (coût moyen pondéré des sources de financement) a un impact direct sur la création de valeur. </w:t>
      </w:r>
    </w:p>
    <w:p w:rsidR="0030290E" w:rsidRPr="00717066" w:rsidRDefault="00A806E9" w:rsidP="00DA3C14">
      <w:pPr>
        <w:jc w:val="both"/>
        <w:rPr>
          <w:b/>
          <w:bCs/>
        </w:rPr>
      </w:pPr>
      <w:r>
        <w:rPr>
          <w:bCs/>
        </w:rPr>
        <w:br w:type="page"/>
      </w:r>
      <w:r w:rsidR="0030290E" w:rsidRPr="00717066">
        <w:rPr>
          <w:b/>
          <w:bCs/>
        </w:rPr>
        <w:lastRenderedPageBreak/>
        <w:t xml:space="preserve">Structure financière et </w:t>
      </w:r>
      <w:r w:rsidRPr="00717066">
        <w:rPr>
          <w:b/>
          <w:bCs/>
        </w:rPr>
        <w:t>minimisation du coût du capital</w:t>
      </w:r>
      <w:r w:rsidR="00717066">
        <w:rPr>
          <w:b/>
          <w:bCs/>
        </w:rPr>
        <w:t> :</w:t>
      </w:r>
    </w:p>
    <w:p w:rsidR="00A806E9" w:rsidRPr="00A806E9" w:rsidRDefault="00A806E9" w:rsidP="00DA3C14">
      <w:pPr>
        <w:jc w:val="both"/>
        <w:rPr>
          <w:bCs/>
        </w:rPr>
      </w:pPr>
    </w:p>
    <w:p w:rsidR="00DA3C14" w:rsidRPr="001B6017" w:rsidRDefault="00DA3C14" w:rsidP="00DA3C14">
      <w:pPr>
        <w:jc w:val="both"/>
        <w:rPr>
          <w:bCs/>
        </w:rPr>
      </w:pPr>
      <w:r w:rsidRPr="001B6017">
        <w:rPr>
          <w:bCs/>
        </w:rPr>
        <w:t xml:space="preserve">Selon l’approche traditionnelle, il existerait une structure du capital qui minimise son coût. En effet, le coût de la dette est inférieur à celui des capitaux propres du fait de risques moindres et d’autre part, les charges d’intérêt sont déductibles de l’impôt alors que les dividendes ne le sont pas. </w:t>
      </w:r>
    </w:p>
    <w:p w:rsidR="00DA3C14" w:rsidRPr="001B6017" w:rsidRDefault="00DA3C14" w:rsidP="00DA3C14">
      <w:pPr>
        <w:jc w:val="both"/>
        <w:rPr>
          <w:bCs/>
        </w:rPr>
      </w:pPr>
      <w:r w:rsidRPr="001B6017">
        <w:rPr>
          <w:bCs/>
        </w:rPr>
        <w:t xml:space="preserve">Si on augmente progressivement la part des dettes, le coût moyen du capital va commencer par diminuer. Mais à partir d’un certain niveau d’endettement, les actionnaires vont exiger un taux de rentabilité plus élevé pour rémunérer le risque lié au supplément d’endettement et les créanciers vont augmenter leurs exigences. Le coût du capital va alors remonter. Il existe bien un minimum qui est la caractéristique d’une structure financière optimale. </w:t>
      </w:r>
    </w:p>
    <w:p w:rsidR="00DA3C14" w:rsidRPr="001B6017" w:rsidRDefault="00DA3C14" w:rsidP="00DA3C14">
      <w:pPr>
        <w:jc w:val="both"/>
        <w:rPr>
          <w:bCs/>
        </w:rPr>
      </w:pPr>
    </w:p>
    <w:p w:rsidR="00DA3C14" w:rsidRPr="001B6017" w:rsidRDefault="00DA3C14" w:rsidP="00DA3C14">
      <w:pPr>
        <w:jc w:val="both"/>
        <w:rPr>
          <w:bCs/>
        </w:rPr>
      </w:pPr>
      <w:r w:rsidRPr="001B6017">
        <w:rPr>
          <w:bCs/>
        </w:rPr>
        <w:t xml:space="preserve">Dès 1958, Modigliani et Miller se sont interrogés sur l’existence d’une structure financière optimale. Ils montrent que dans un marché de capitaux  parfait, sans asymétrie d’information, sans impôt et sans coûts de transaction liés à l’achat et à la vente de titres, la répartition du financement entre les dettes et les fonds propres est sans incidence sur la valeur globale de l’entreprise. Se plaçant du côté des investisseurs, ils estiment que dans un marché efficient, les arbitrages conduisent à une égalisation de la valeur des actifs indépendamment de leur mode de financement. Comme l’avait expliqué Merton Miller lorsqu’il reçut le prix Nobel d’Economie : « la taille d’une pizza ne dépend pas de la façon dont on la coupe ».  Dans leur proposition 2, ils montrent aussi que le coût moyen pondéré du capital est indépendant de la structure de financement et est égal à la rentabilité économique. En effet, l’accroissement du risque lié à l’endettement est parfaitement intégré dans le taux de rentabilité exigé par les actionnaires qui s’accroît proportionnellement au ratio dettes/ capitaux propres. </w:t>
      </w:r>
    </w:p>
    <w:p w:rsidR="00DA3C14" w:rsidRPr="001B6017" w:rsidRDefault="00DA3C14" w:rsidP="00DA3C14">
      <w:pPr>
        <w:jc w:val="both"/>
        <w:rPr>
          <w:bCs/>
        </w:rPr>
      </w:pPr>
    </w:p>
    <w:p w:rsidR="00DA3C14" w:rsidRPr="001B6017" w:rsidRDefault="00DA3C14" w:rsidP="00DA3C14">
      <w:pPr>
        <w:jc w:val="both"/>
      </w:pPr>
      <w:r w:rsidRPr="001B6017">
        <w:rPr>
          <w:bCs/>
        </w:rPr>
        <w:t xml:space="preserve">En 1963, Modigliani et Miller reformulent leur modèle en incorporant l’impact de l’impôt sur les sociétés. Cette économie d’impôt financée par l’Etat revient intégralement aux actionnaires car le revenu des créanciers reste identique. Il est alors possible d’en déduire que le coût du capital décroît quand l’endettement augmente. </w:t>
      </w:r>
      <w:r w:rsidRPr="001B6017">
        <w:t xml:space="preserve">La prise en compte de l'impôt conduit donc à privilégier la dette par rapport aux fonds propres. </w:t>
      </w:r>
    </w:p>
    <w:p w:rsidR="00DA3C14" w:rsidRPr="001B6017" w:rsidRDefault="00DA3C14" w:rsidP="00DA3C14">
      <w:pPr>
        <w:jc w:val="both"/>
        <w:rPr>
          <w:bCs/>
        </w:rPr>
      </w:pPr>
    </w:p>
    <w:p w:rsidR="00DA3C14" w:rsidRPr="001B6017" w:rsidRDefault="00DA3C14" w:rsidP="00DA3C14">
      <w:pPr>
        <w:jc w:val="both"/>
        <w:rPr>
          <w:bCs/>
        </w:rPr>
      </w:pPr>
      <w:r w:rsidRPr="001B6017">
        <w:rPr>
          <w:bCs/>
        </w:rPr>
        <w:t xml:space="preserve">Même si l’endettement semble a priori favoriser la création de valeur, la structure financière de la majorité des  entreprises s’apparente à une combinaison de dettes et de fonds propres. Cela s’explique par le fait que le risque de faillite  s’accroît avec l’endettement de l’entreprise. Le risque de faillite peut être appréhendé à travers l’estimation de la probabilité que l’entreprise se trouve dans l’incapacité à faire face à ses engagements. La faillite s’accompagne de coûts importants: frais de liquidation, d’avocats, etc. et induit des conséquences dommageables: une perte de confiance des fournisseurs et  des clients et la démotivation des salariés. L’ensemble de ces coûts se révèle au final plus élevé que les avantages tirés de l’endettement et peut entraîner une destruction de valeur.  </w:t>
      </w:r>
    </w:p>
    <w:p w:rsidR="00DA3C14" w:rsidRPr="001B6017" w:rsidRDefault="00DA3C14" w:rsidP="00DA3C14">
      <w:pPr>
        <w:jc w:val="both"/>
        <w:rPr>
          <w:bCs/>
        </w:rPr>
      </w:pPr>
    </w:p>
    <w:p w:rsidR="00DA3C14" w:rsidRPr="001B6017" w:rsidRDefault="00DA3C14" w:rsidP="00DA3C14">
      <w:pPr>
        <w:jc w:val="both"/>
      </w:pPr>
      <w:r w:rsidRPr="001B6017">
        <w:t xml:space="preserve">Cependant la constatation qu’une dette « maîtrisée » conduit à diminuer le coût du capital n’est pas le seul argument en faveur de l’endettement. Le fait simplement de s’endetter plutôt que d’augmenter le capital peut se traduire par de la création de valeur. </w:t>
      </w:r>
    </w:p>
    <w:p w:rsidR="0030290E" w:rsidRPr="001B6017" w:rsidRDefault="0030290E" w:rsidP="00DA3C14">
      <w:pPr>
        <w:jc w:val="both"/>
      </w:pPr>
    </w:p>
    <w:p w:rsidR="0030290E" w:rsidRPr="00A806E9" w:rsidRDefault="0030290E" w:rsidP="00DA3C14">
      <w:pPr>
        <w:jc w:val="both"/>
        <w:rPr>
          <w:b/>
        </w:rPr>
      </w:pPr>
      <w:r w:rsidRPr="00A806E9">
        <w:rPr>
          <w:b/>
        </w:rPr>
        <w:t>Endettement et création de valeur</w:t>
      </w:r>
      <w:r w:rsidR="00A806E9" w:rsidRPr="00A806E9">
        <w:rPr>
          <w:b/>
        </w:rPr>
        <w:t> :</w:t>
      </w:r>
    </w:p>
    <w:p w:rsidR="0030290E" w:rsidRPr="001B6017" w:rsidRDefault="0030290E" w:rsidP="00DA3C14">
      <w:pPr>
        <w:jc w:val="both"/>
      </w:pPr>
    </w:p>
    <w:p w:rsidR="00DA3C14" w:rsidRPr="001B6017" w:rsidRDefault="00DA3C14" w:rsidP="00DA3C14">
      <w:pPr>
        <w:jc w:val="both"/>
      </w:pPr>
      <w:r w:rsidRPr="001B6017">
        <w:t xml:space="preserve">La dette constitue « une discipline créatrice ». La création de valeur résulte moins des économies fiscales que de l’obligation qui s’impose aux dirigeants de dégager des flux de trésorerie (Free Cash Flow) conséquents  pour les affecter au remboursement de la dette. L'intérêt des actionnaires est ainsi mieux préservé car les dirigeants ne peuvent plus allouer de manière discrétionnaire les ressources de l'entreprise. Par ailleurs, il devient possible de rapprocher les intérêts des dirigeants et des actionnaires en faisant prendre aux premiers une part significative du capital comme le préconise la théorie de l’agence. </w:t>
      </w:r>
    </w:p>
    <w:p w:rsidR="00DA3C14" w:rsidRPr="001B6017" w:rsidRDefault="00A806E9" w:rsidP="00DA3C14">
      <w:pPr>
        <w:jc w:val="both"/>
      </w:pPr>
      <w:r>
        <w:br w:type="page"/>
      </w:r>
      <w:r w:rsidR="00DA3C14" w:rsidRPr="001B6017">
        <w:lastRenderedPageBreak/>
        <w:t xml:space="preserve">Enfin, en raison d'une asymétrie d'information entre dirigeants et actionnaires, l'augmentation de l'endettement est souvent interprétée comme un signal positif pour le marché: le management informe les investisseurs que l'entreprise est en mesure de payer ses charges financières  et de rembourser sa dette. Si le marché accueille favorablement cette décision, il s’en suit une augmentation de la capitalisation boursière qui peut être interprétée comme une création de valeur actionnariale. </w:t>
      </w:r>
    </w:p>
    <w:p w:rsidR="00DA3C14" w:rsidRPr="001B6017" w:rsidRDefault="00DA3C14" w:rsidP="00DA3C14">
      <w:pPr>
        <w:jc w:val="both"/>
        <w:rPr>
          <w:bCs/>
        </w:rPr>
      </w:pPr>
    </w:p>
    <w:p w:rsidR="0030290E" w:rsidRPr="00717066" w:rsidRDefault="00A806E9" w:rsidP="00DA3C14">
      <w:pPr>
        <w:jc w:val="both"/>
        <w:rPr>
          <w:b/>
          <w:bCs/>
        </w:rPr>
      </w:pPr>
      <w:r w:rsidRPr="00717066">
        <w:rPr>
          <w:b/>
          <w:bCs/>
        </w:rPr>
        <w:t>Approche empirique :</w:t>
      </w:r>
    </w:p>
    <w:p w:rsidR="00F65775" w:rsidRPr="001B6017" w:rsidRDefault="00F65775" w:rsidP="00DA3C14">
      <w:pPr>
        <w:jc w:val="both"/>
        <w:rPr>
          <w:bCs/>
        </w:rPr>
      </w:pPr>
    </w:p>
    <w:p w:rsidR="00DA3C14" w:rsidRPr="001B6017" w:rsidRDefault="00DA3C14" w:rsidP="00F65775">
      <w:pPr>
        <w:jc w:val="both"/>
        <w:rPr>
          <w:bCs/>
        </w:rPr>
      </w:pPr>
      <w:r w:rsidRPr="001B6017">
        <w:rPr>
          <w:bCs/>
        </w:rPr>
        <w:t xml:space="preserve">Ainsi, il est possible de considérer que même si la structure financière influe sur le niveau de création de valeur actionnariale, </w:t>
      </w:r>
      <w:r w:rsidR="0030290E" w:rsidRPr="001B6017">
        <w:rPr>
          <w:bCs/>
        </w:rPr>
        <w:t xml:space="preserve">cette dernière </w:t>
      </w:r>
      <w:r w:rsidRPr="001B6017">
        <w:rPr>
          <w:bCs/>
        </w:rPr>
        <w:t>est avant tout déterminée par la pertinence des choix stratégiques exercés par les dirigeants</w:t>
      </w:r>
      <w:r w:rsidR="0030290E" w:rsidRPr="001B6017">
        <w:rPr>
          <w:bCs/>
        </w:rPr>
        <w:t xml:space="preserve"> : remodeler le portefeuille d’activités, se recentrer sur son cœur de métier, se désengager </w:t>
      </w:r>
      <w:r w:rsidR="00F65775" w:rsidRPr="001B6017">
        <w:rPr>
          <w:bCs/>
        </w:rPr>
        <w:t xml:space="preserve">des activités dont le rendement est insuffisant etc. </w:t>
      </w:r>
      <w:r w:rsidRPr="001B6017">
        <w:t xml:space="preserve">Le dirigeant se focalise alors sur les options stratégiques et leurs potentialités et </w:t>
      </w:r>
      <w:r w:rsidRPr="001B6017">
        <w:rPr>
          <w:bCs/>
        </w:rPr>
        <w:t>la structure financière  n’est alors qu’une résultante, fr</w:t>
      </w:r>
      <w:r w:rsidR="00F65775" w:rsidRPr="001B6017">
        <w:rPr>
          <w:bCs/>
        </w:rPr>
        <w:t xml:space="preserve">uit à la fois des opportunités </w:t>
      </w:r>
      <w:r w:rsidRPr="001B6017">
        <w:rPr>
          <w:bCs/>
        </w:rPr>
        <w:t>offertes par l’environnement (niveau des taux d’intérêt par exemple) et des contraintes externes subies par l’entreprise (</w:t>
      </w:r>
      <w:r w:rsidRPr="001B6017">
        <w:t>les créanciers imposent des critères en matière de garantie,  de respect de règles d’orthodoxie financière ou de certains ratios d’endettement)</w:t>
      </w:r>
      <w:r w:rsidRPr="001B6017">
        <w:rPr>
          <w:bCs/>
        </w:rPr>
        <w:t xml:space="preserve">. In fine, les décisions de financement </w:t>
      </w:r>
      <w:r w:rsidRPr="001B6017">
        <w:t xml:space="preserve"> intègrent  aussi le degré d’aversion du dirigeant pour le risque.  </w:t>
      </w:r>
      <w:r w:rsidRPr="001B6017">
        <w:rPr>
          <w:bCs/>
        </w:rPr>
        <w:t xml:space="preserve">La minimisation du coût du capital n’est alors qu’un élément parmi d’autres du  choix entre dettes financières et capitaux propres. </w:t>
      </w:r>
    </w:p>
    <w:p w:rsidR="00DA3C14" w:rsidRPr="001B6017" w:rsidRDefault="00DA3C14" w:rsidP="00DA3C14">
      <w:pPr>
        <w:jc w:val="both"/>
      </w:pPr>
      <w:r w:rsidRPr="001B6017">
        <w:t>Ces règles et principes induisent des pratiques standardisées et une dépendance vis-à-vis des organismes financiers, (notamment pour les PME qui sont le plus souvent contraintes de financer leur croissance soit par autofinancement ou par emprunt bancaire).</w:t>
      </w:r>
    </w:p>
    <w:p w:rsidR="0030290E" w:rsidRPr="001B6017" w:rsidRDefault="0030290E" w:rsidP="00DA3C14">
      <w:pPr>
        <w:jc w:val="both"/>
      </w:pPr>
    </w:p>
    <w:p w:rsidR="0042445E" w:rsidRDefault="00DA3C14" w:rsidP="00072D34">
      <w:pPr>
        <w:jc w:val="both"/>
        <w:rPr>
          <w:b/>
        </w:rPr>
      </w:pPr>
      <w:r w:rsidRPr="001B6017">
        <w:t xml:space="preserve">Finalement, la création de valeur actionnariale résulte de la capacité du dirigeant à maximiser le rendement des actifs dont il a la charge tout en contenant la pression en matière de rémunération des capitaux investis exercée par les marchés financiers. Dans ce contexte,  le rapport de forces entre le dirigeant et ses actionnaires et  le niveau de risque que l’entreprise est prête à assumer apparaissent  comme des variables essentielles de la conduite d’une organisation. A travers le choix entre dettes financières et capitaux propres, le dirigeant ne se contente pas de modifier les proportions des sources de financement afin d’abaisser le coût du capital. Il remet en cause l’équilibre des pouvoirs  entre les parties prenantes et donc fait évoluer </w:t>
      </w:r>
      <w:r w:rsidR="00717066">
        <w:t>la gouvernance de l’entreprise.</w:t>
      </w:r>
    </w:p>
    <w:sectPr w:rsidR="0042445E" w:rsidSect="006C3290">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943" w:rsidRDefault="00EE3943">
      <w:r>
        <w:separator/>
      </w:r>
    </w:p>
  </w:endnote>
  <w:endnote w:type="continuationSeparator" w:id="0">
    <w:p w:rsidR="00EE3943" w:rsidRDefault="00EE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17" w:rsidRDefault="001B6017" w:rsidP="009C2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B6017" w:rsidRDefault="001B6017" w:rsidP="009C2DE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17" w:rsidRPr="006C3290" w:rsidRDefault="006C3290" w:rsidP="006C3290">
    <w:pPr>
      <w:pStyle w:val="Pieddepage"/>
      <w:tabs>
        <w:tab w:val="left" w:pos="709"/>
      </w:tabs>
      <w:ind w:right="357"/>
      <w:rPr>
        <w:sz w:val="20"/>
        <w:szCs w:val="20"/>
      </w:rPr>
    </w:pPr>
    <w:r w:rsidRPr="00642AF9">
      <w:rPr>
        <w:sz w:val="20"/>
        <w:szCs w:val="20"/>
      </w:rPr>
      <w:t xml:space="preserve">©Comptazine – Reproduction interdite – DSCG </w:t>
    </w:r>
    <w:r>
      <w:rPr>
        <w:sz w:val="20"/>
        <w:szCs w:val="20"/>
      </w:rPr>
      <w:t>Finance</w:t>
    </w:r>
    <w:r w:rsidRPr="00642AF9">
      <w:rPr>
        <w:sz w:val="20"/>
        <w:szCs w:val="20"/>
      </w:rPr>
      <w:t xml:space="preserve"> </w:t>
    </w:r>
    <w:r w:rsidRPr="00642AF9">
      <w:rPr>
        <w:sz w:val="20"/>
        <w:szCs w:val="20"/>
      </w:rPr>
      <w:t>20</w:t>
    </w:r>
    <w:r>
      <w:rPr>
        <w:sz w:val="20"/>
        <w:szCs w:val="20"/>
      </w:rPr>
      <w:t>10</w:t>
    </w:r>
    <w:bookmarkStart w:id="0" w:name="_GoBack"/>
    <w:bookmarkEnd w:id="0"/>
    <w:r w:rsidRPr="00642AF9">
      <w:rPr>
        <w:bCs/>
        <w:sz w:val="20"/>
        <w:szCs w:val="20"/>
      </w:rPr>
      <w:tab/>
    </w:r>
    <w:r w:rsidRPr="00642AF9">
      <w:rPr>
        <w:rStyle w:val="Numrodepage"/>
        <w:bCs/>
        <w:sz w:val="20"/>
        <w:szCs w:val="20"/>
      </w:rPr>
      <w:fldChar w:fldCharType="begin"/>
    </w:r>
    <w:r w:rsidRPr="00642AF9">
      <w:rPr>
        <w:rStyle w:val="Numrodepage"/>
        <w:bCs/>
        <w:sz w:val="20"/>
        <w:szCs w:val="20"/>
      </w:rPr>
      <w:instrText xml:space="preserve"> PAGE </w:instrText>
    </w:r>
    <w:r w:rsidRPr="00642AF9">
      <w:rPr>
        <w:rStyle w:val="Numrodepage"/>
        <w:bCs/>
        <w:sz w:val="20"/>
        <w:szCs w:val="20"/>
      </w:rPr>
      <w:fldChar w:fldCharType="separate"/>
    </w:r>
    <w:r w:rsidR="00A109BE">
      <w:rPr>
        <w:rStyle w:val="Numrodepage"/>
        <w:bCs/>
        <w:noProof/>
        <w:sz w:val="20"/>
        <w:szCs w:val="20"/>
      </w:rPr>
      <w:t>1</w:t>
    </w:r>
    <w:r w:rsidRPr="00642AF9">
      <w:rPr>
        <w:rStyle w:val="Numrodepage"/>
        <w:bCs/>
        <w:sz w:val="20"/>
        <w:szCs w:val="20"/>
      </w:rPr>
      <w:fldChar w:fldCharType="end"/>
    </w:r>
    <w:r w:rsidRPr="00642AF9">
      <w:rPr>
        <w:rStyle w:val="Numrodepage"/>
        <w:bCs/>
        <w:sz w:val="20"/>
        <w:szCs w:val="20"/>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90" w:rsidRDefault="006C32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943" w:rsidRDefault="00EE3943">
      <w:r>
        <w:separator/>
      </w:r>
    </w:p>
  </w:footnote>
  <w:footnote w:type="continuationSeparator" w:id="0">
    <w:p w:rsidR="00EE3943" w:rsidRDefault="00EE3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90" w:rsidRDefault="006C32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90" w:rsidRDefault="006D2C40" w:rsidP="006C3290">
    <w:pPr>
      <w:pStyle w:val="En-tte"/>
      <w:ind w:left="3252" w:right="849" w:firstLine="3828"/>
    </w:pPr>
    <w:r>
      <w:rPr>
        <w:noProof/>
      </w:rPr>
      <w:drawing>
        <wp:anchor distT="0" distB="0" distL="114300" distR="114300" simplePos="0" relativeHeight="251659264" behindDoc="1" locked="0" layoutInCell="1" allowOverlap="1">
          <wp:simplePos x="0" y="0"/>
          <wp:positionH relativeFrom="margin">
            <wp:posOffset>5678805</wp:posOffset>
          </wp:positionH>
          <wp:positionV relativeFrom="margin">
            <wp:posOffset>-495300</wp:posOffset>
          </wp:positionV>
          <wp:extent cx="381000" cy="381000"/>
          <wp:effectExtent l="0" t="0" r="0" b="0"/>
          <wp:wrapNone/>
          <wp:docPr id="1" name="Image 6" descr="Description : Description : C:\Mes documents\ACCOUNTANCY SIMPLY\Projet\logos_Comptazine_FB_TW-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C:\Mes documents\ACCOUNTANCY SIMPLY\Projet\logos_Comptazine_FB_TW-40-x-4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6C3290">
        <w:rPr>
          <w:rStyle w:val="Lienhypertexte"/>
          <w:rFonts w:ascii="Calibri" w:hAnsi="Calibri" w:cs="Calibri"/>
          <w:color w:val="E36C0A"/>
          <w:sz w:val="18"/>
        </w:rPr>
        <w:t>www.comptazine.fr</w:t>
      </w:r>
    </w:hyperlink>
    <w:r w:rsidR="006C329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2013490" o:spid="_x0000_s2050" type="#_x0000_t75" style="position:absolute;left:0;text-align:left;margin-left:0;margin-top:0;width:495.9pt;height:495.9pt;z-index:-251656192;mso-position-horizontal:center;mso-position-horizontal-relative:margin;mso-position-vertical:center;mso-position-vertical-relative:margin" o:allowincell="f">
          <v:imagedata r:id="rId3" o:title="logos_Comptazine_NB-OPACITE-20-200-x-200"/>
          <w10:wrap anchorx="margin" anchory="margin"/>
        </v:shape>
      </w:pict>
    </w:r>
  </w:p>
  <w:p w:rsidR="006C3290" w:rsidRPr="006C3290" w:rsidRDefault="006C3290" w:rsidP="006C329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90" w:rsidRDefault="006C32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0CE9"/>
    <w:multiLevelType w:val="hybridMultilevel"/>
    <w:tmpl w:val="B016D1B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593158C"/>
    <w:multiLevelType w:val="hybridMultilevel"/>
    <w:tmpl w:val="2BB41F3C"/>
    <w:lvl w:ilvl="0" w:tplc="4776C9EE">
      <w:start w:val="1"/>
      <w:numFmt w:val="decimal"/>
      <w:lvlText w:val="(%1)"/>
      <w:lvlJc w:val="left"/>
      <w:pPr>
        <w:tabs>
          <w:tab w:val="num" w:pos="420"/>
        </w:tabs>
        <w:ind w:left="420" w:hanging="360"/>
      </w:pPr>
      <w:rPr>
        <w:rFonts w:ascii="Times New Roman" w:hAnsi="Times New Roman" w:cs="Times New Roman" w:hint="default"/>
      </w:rPr>
    </w:lvl>
    <w:lvl w:ilvl="1" w:tplc="040C0019">
      <w:start w:val="1"/>
      <w:numFmt w:val="lowerLetter"/>
      <w:lvlText w:val="%2."/>
      <w:lvlJc w:val="left"/>
      <w:pPr>
        <w:tabs>
          <w:tab w:val="num" w:pos="1140"/>
        </w:tabs>
        <w:ind w:left="1140" w:hanging="360"/>
      </w:pPr>
    </w:lvl>
    <w:lvl w:ilvl="2" w:tplc="040C001B">
      <w:start w:val="1"/>
      <w:numFmt w:val="lowerRoman"/>
      <w:lvlText w:val="%3."/>
      <w:lvlJc w:val="right"/>
      <w:pPr>
        <w:tabs>
          <w:tab w:val="num" w:pos="1860"/>
        </w:tabs>
        <w:ind w:left="1860" w:hanging="180"/>
      </w:pPr>
    </w:lvl>
    <w:lvl w:ilvl="3" w:tplc="040C000F">
      <w:start w:val="1"/>
      <w:numFmt w:val="decimal"/>
      <w:lvlText w:val="%4."/>
      <w:lvlJc w:val="left"/>
      <w:pPr>
        <w:tabs>
          <w:tab w:val="num" w:pos="2580"/>
        </w:tabs>
        <w:ind w:left="2580" w:hanging="360"/>
      </w:pPr>
    </w:lvl>
    <w:lvl w:ilvl="4" w:tplc="040C0019">
      <w:start w:val="1"/>
      <w:numFmt w:val="lowerLetter"/>
      <w:lvlText w:val="%5."/>
      <w:lvlJc w:val="left"/>
      <w:pPr>
        <w:tabs>
          <w:tab w:val="num" w:pos="3300"/>
        </w:tabs>
        <w:ind w:left="3300" w:hanging="360"/>
      </w:pPr>
    </w:lvl>
    <w:lvl w:ilvl="5" w:tplc="040C001B">
      <w:start w:val="1"/>
      <w:numFmt w:val="lowerRoman"/>
      <w:lvlText w:val="%6."/>
      <w:lvlJc w:val="right"/>
      <w:pPr>
        <w:tabs>
          <w:tab w:val="num" w:pos="4020"/>
        </w:tabs>
        <w:ind w:left="4020" w:hanging="180"/>
      </w:pPr>
    </w:lvl>
    <w:lvl w:ilvl="6" w:tplc="040C000F">
      <w:start w:val="1"/>
      <w:numFmt w:val="decimal"/>
      <w:lvlText w:val="%7."/>
      <w:lvlJc w:val="left"/>
      <w:pPr>
        <w:tabs>
          <w:tab w:val="num" w:pos="4740"/>
        </w:tabs>
        <w:ind w:left="4740" w:hanging="360"/>
      </w:pPr>
    </w:lvl>
    <w:lvl w:ilvl="7" w:tplc="040C0019">
      <w:start w:val="1"/>
      <w:numFmt w:val="lowerLetter"/>
      <w:lvlText w:val="%8."/>
      <w:lvlJc w:val="left"/>
      <w:pPr>
        <w:tabs>
          <w:tab w:val="num" w:pos="5460"/>
        </w:tabs>
        <w:ind w:left="5460" w:hanging="360"/>
      </w:pPr>
    </w:lvl>
    <w:lvl w:ilvl="8" w:tplc="040C001B">
      <w:start w:val="1"/>
      <w:numFmt w:val="lowerRoman"/>
      <w:lvlText w:val="%9."/>
      <w:lvlJc w:val="right"/>
      <w:pPr>
        <w:tabs>
          <w:tab w:val="num" w:pos="6180"/>
        </w:tabs>
        <w:ind w:left="6180" w:hanging="180"/>
      </w:pPr>
    </w:lvl>
  </w:abstractNum>
  <w:abstractNum w:abstractNumId="2">
    <w:nsid w:val="0E6B591E"/>
    <w:multiLevelType w:val="hybridMultilevel"/>
    <w:tmpl w:val="56BA7536"/>
    <w:lvl w:ilvl="0" w:tplc="0212B9F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28A7AEB"/>
    <w:multiLevelType w:val="hybridMultilevel"/>
    <w:tmpl w:val="51BAD6AA"/>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nsid w:val="32651427"/>
    <w:multiLevelType w:val="hybridMultilevel"/>
    <w:tmpl w:val="4420F78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33E52370"/>
    <w:multiLevelType w:val="hybridMultilevel"/>
    <w:tmpl w:val="4E0207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93022C1"/>
    <w:multiLevelType w:val="hybridMultilevel"/>
    <w:tmpl w:val="F870A2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37E7206"/>
    <w:multiLevelType w:val="hybridMultilevel"/>
    <w:tmpl w:val="2026B6E8"/>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8419AA"/>
    <w:multiLevelType w:val="hybridMultilevel"/>
    <w:tmpl w:val="8CA89490"/>
    <w:lvl w:ilvl="0" w:tplc="EA9C0DC8">
      <w:start w:val="1"/>
      <w:numFmt w:val="decimal"/>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9">
    <w:nsid w:val="6FA96702"/>
    <w:multiLevelType w:val="hybridMultilevel"/>
    <w:tmpl w:val="B568C83A"/>
    <w:lvl w:ilvl="0" w:tplc="868AD584">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0">
    <w:nsid w:val="798E7F0C"/>
    <w:multiLevelType w:val="hybridMultilevel"/>
    <w:tmpl w:val="C186E52C"/>
    <w:lvl w:ilvl="0" w:tplc="8ED896C6">
      <w:start w:val="7"/>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9"/>
  </w:num>
  <w:num w:numId="6">
    <w:abstractNumId w:val="1"/>
  </w:num>
  <w:num w:numId="7">
    <w:abstractNumId w:val="0"/>
  </w:num>
  <w:num w:numId="8">
    <w:abstractNumId w:val="4"/>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587"/>
    <w:rsid w:val="0000088C"/>
    <w:rsid w:val="0000429B"/>
    <w:rsid w:val="00072D34"/>
    <w:rsid w:val="0008680D"/>
    <w:rsid w:val="000922CF"/>
    <w:rsid w:val="000A4035"/>
    <w:rsid w:val="000C219F"/>
    <w:rsid w:val="000C42E7"/>
    <w:rsid w:val="000C7A58"/>
    <w:rsid w:val="001051DA"/>
    <w:rsid w:val="0011407A"/>
    <w:rsid w:val="00122E29"/>
    <w:rsid w:val="00143DF3"/>
    <w:rsid w:val="001773F9"/>
    <w:rsid w:val="001B6017"/>
    <w:rsid w:val="001C17B1"/>
    <w:rsid w:val="001E7EE6"/>
    <w:rsid w:val="00291571"/>
    <w:rsid w:val="002E6127"/>
    <w:rsid w:val="002F4262"/>
    <w:rsid w:val="0030290E"/>
    <w:rsid w:val="00315336"/>
    <w:rsid w:val="00316A9B"/>
    <w:rsid w:val="0036418A"/>
    <w:rsid w:val="00364511"/>
    <w:rsid w:val="00376F15"/>
    <w:rsid w:val="003F67AF"/>
    <w:rsid w:val="0042445E"/>
    <w:rsid w:val="00443969"/>
    <w:rsid w:val="00446F89"/>
    <w:rsid w:val="004841C7"/>
    <w:rsid w:val="00485DBB"/>
    <w:rsid w:val="004B5369"/>
    <w:rsid w:val="00522DB2"/>
    <w:rsid w:val="00595F50"/>
    <w:rsid w:val="005A4242"/>
    <w:rsid w:val="005A4D9B"/>
    <w:rsid w:val="005E21EB"/>
    <w:rsid w:val="005E330B"/>
    <w:rsid w:val="00694480"/>
    <w:rsid w:val="006B20F9"/>
    <w:rsid w:val="006C3290"/>
    <w:rsid w:val="006D2C40"/>
    <w:rsid w:val="006D6FD8"/>
    <w:rsid w:val="006D77C0"/>
    <w:rsid w:val="00705D78"/>
    <w:rsid w:val="00713165"/>
    <w:rsid w:val="00717066"/>
    <w:rsid w:val="007E3B74"/>
    <w:rsid w:val="007F5183"/>
    <w:rsid w:val="00805EF5"/>
    <w:rsid w:val="008169F6"/>
    <w:rsid w:val="00841FB9"/>
    <w:rsid w:val="00855587"/>
    <w:rsid w:val="00874FEA"/>
    <w:rsid w:val="00907BE1"/>
    <w:rsid w:val="009C0FE2"/>
    <w:rsid w:val="009C2DEB"/>
    <w:rsid w:val="00A0006F"/>
    <w:rsid w:val="00A109BE"/>
    <w:rsid w:val="00A42590"/>
    <w:rsid w:val="00A570B5"/>
    <w:rsid w:val="00A806E9"/>
    <w:rsid w:val="00A85CC9"/>
    <w:rsid w:val="00AA29F4"/>
    <w:rsid w:val="00B2367B"/>
    <w:rsid w:val="00B319AF"/>
    <w:rsid w:val="00BC433E"/>
    <w:rsid w:val="00BC7D0F"/>
    <w:rsid w:val="00C04939"/>
    <w:rsid w:val="00C1737E"/>
    <w:rsid w:val="00C566BB"/>
    <w:rsid w:val="00CA4877"/>
    <w:rsid w:val="00CD5049"/>
    <w:rsid w:val="00D27254"/>
    <w:rsid w:val="00D56A43"/>
    <w:rsid w:val="00D740F0"/>
    <w:rsid w:val="00D87972"/>
    <w:rsid w:val="00DA3C14"/>
    <w:rsid w:val="00DB2CB9"/>
    <w:rsid w:val="00E92B2C"/>
    <w:rsid w:val="00EC5BCE"/>
    <w:rsid w:val="00EE3943"/>
    <w:rsid w:val="00EF74B0"/>
    <w:rsid w:val="00F65775"/>
    <w:rsid w:val="00F66E5C"/>
    <w:rsid w:val="00F7275A"/>
    <w:rsid w:val="00F958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87"/>
    <w:rPr>
      <w:rFonts w:ascii="Times New Roman" w:eastAsia="Times New Roman" w:hAnsi="Times New Roman"/>
      <w:sz w:val="24"/>
      <w:szCs w:val="24"/>
    </w:rPr>
  </w:style>
  <w:style w:type="paragraph" w:styleId="Titre1">
    <w:name w:val="heading 1"/>
    <w:basedOn w:val="Normal"/>
    <w:next w:val="Normal"/>
    <w:qFormat/>
    <w:rsid w:val="00A42590"/>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qFormat/>
    <w:rsid w:val="005A4242"/>
    <w:pPr>
      <w:keepNext/>
      <w:autoSpaceDE w:val="0"/>
      <w:autoSpaceDN w:val="0"/>
      <w:jc w:val="center"/>
      <w:outlineLvl w:val="2"/>
    </w:pPr>
  </w:style>
  <w:style w:type="paragraph" w:styleId="Titre4">
    <w:name w:val="heading 4"/>
    <w:basedOn w:val="Normal"/>
    <w:next w:val="Normal"/>
    <w:link w:val="Titre4Car"/>
    <w:qFormat/>
    <w:rsid w:val="005A4242"/>
    <w:pPr>
      <w:keepNext/>
      <w:autoSpaceDE w:val="0"/>
      <w:autoSpaceDN w:val="0"/>
      <w:spacing w:after="160"/>
      <w:jc w:val="center"/>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A40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34"/>
    <w:qFormat/>
    <w:rsid w:val="00291571"/>
    <w:pPr>
      <w:ind w:left="720"/>
      <w:contextualSpacing/>
    </w:pPr>
  </w:style>
  <w:style w:type="character" w:customStyle="1" w:styleId="Titre3Car">
    <w:name w:val="Titre 3 Car"/>
    <w:basedOn w:val="Policepardfaut"/>
    <w:link w:val="Titre3"/>
    <w:rsid w:val="005A4242"/>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5A4242"/>
    <w:rPr>
      <w:rFonts w:ascii="Times New Roman" w:eastAsia="Times New Roman" w:hAnsi="Times New Roman" w:cs="Times New Roman"/>
      <w:b/>
      <w:bCs/>
      <w:sz w:val="24"/>
      <w:szCs w:val="24"/>
      <w:lang w:eastAsia="fr-FR"/>
    </w:rPr>
  </w:style>
  <w:style w:type="paragraph" w:styleId="Corpsdetexte">
    <w:name w:val="Body Text"/>
    <w:basedOn w:val="Normal"/>
    <w:link w:val="CorpsdetexteCar"/>
    <w:semiHidden/>
    <w:rsid w:val="005A4242"/>
    <w:pPr>
      <w:autoSpaceDE w:val="0"/>
      <w:autoSpaceDN w:val="0"/>
    </w:pPr>
    <w:rPr>
      <w:sz w:val="22"/>
      <w:szCs w:val="22"/>
    </w:rPr>
  </w:style>
  <w:style w:type="character" w:customStyle="1" w:styleId="CorpsdetexteCar">
    <w:name w:val="Corps de texte Car"/>
    <w:basedOn w:val="Policepardfaut"/>
    <w:link w:val="Corpsdetexte"/>
    <w:semiHidden/>
    <w:rsid w:val="005A4242"/>
    <w:rPr>
      <w:rFonts w:ascii="Times New Roman" w:eastAsia="Times New Roman" w:hAnsi="Times New Roman" w:cs="Times New Roman"/>
      <w:lang w:eastAsia="fr-FR"/>
    </w:rPr>
  </w:style>
  <w:style w:type="paragraph" w:styleId="Pieddepage">
    <w:name w:val="footer"/>
    <w:basedOn w:val="Normal"/>
    <w:link w:val="PieddepageCar"/>
    <w:uiPriority w:val="99"/>
    <w:rsid w:val="005A4242"/>
    <w:pPr>
      <w:tabs>
        <w:tab w:val="center" w:pos="4536"/>
        <w:tab w:val="right" w:pos="9072"/>
      </w:tabs>
      <w:autoSpaceDE w:val="0"/>
      <w:autoSpaceDN w:val="0"/>
    </w:pPr>
  </w:style>
  <w:style w:type="character" w:customStyle="1" w:styleId="PieddepageCar">
    <w:name w:val="Pied de page Car"/>
    <w:basedOn w:val="Policepardfaut"/>
    <w:link w:val="Pieddepage"/>
    <w:uiPriority w:val="99"/>
    <w:rsid w:val="005A4242"/>
    <w:rPr>
      <w:rFonts w:ascii="Times New Roman" w:eastAsia="Times New Roman" w:hAnsi="Times New Roman" w:cs="Times New Roman"/>
      <w:sz w:val="24"/>
      <w:szCs w:val="24"/>
      <w:lang w:eastAsia="fr-FR"/>
    </w:rPr>
  </w:style>
  <w:style w:type="paragraph" w:customStyle="1" w:styleId="Enumrationpuce">
    <w:name w:val="Enumération puce"/>
    <w:basedOn w:val="Normal"/>
    <w:rsid w:val="005A4242"/>
    <w:pPr>
      <w:tabs>
        <w:tab w:val="num" w:pos="360"/>
        <w:tab w:val="left" w:pos="2977"/>
      </w:tabs>
      <w:autoSpaceDE w:val="0"/>
      <w:autoSpaceDN w:val="0"/>
      <w:spacing w:after="40"/>
      <w:jc w:val="both"/>
    </w:pPr>
  </w:style>
  <w:style w:type="paragraph" w:customStyle="1" w:styleId="Annexetitre">
    <w:name w:val="Annexe titre"/>
    <w:basedOn w:val="Normal"/>
    <w:rsid w:val="005A4242"/>
    <w:pPr>
      <w:tabs>
        <w:tab w:val="left" w:pos="2977"/>
      </w:tabs>
      <w:autoSpaceDE w:val="0"/>
      <w:autoSpaceDN w:val="0"/>
      <w:spacing w:after="120"/>
      <w:jc w:val="center"/>
    </w:pPr>
    <w:rPr>
      <w:b/>
      <w:bCs/>
      <w:sz w:val="22"/>
      <w:szCs w:val="22"/>
    </w:rPr>
  </w:style>
  <w:style w:type="paragraph" w:customStyle="1" w:styleId="Annexen">
    <w:name w:val="Annexe n°"/>
    <w:basedOn w:val="Normal"/>
    <w:rsid w:val="005A4242"/>
    <w:pPr>
      <w:tabs>
        <w:tab w:val="left" w:pos="2977"/>
      </w:tabs>
      <w:autoSpaceDE w:val="0"/>
      <w:autoSpaceDN w:val="0"/>
      <w:spacing w:after="120"/>
      <w:jc w:val="center"/>
    </w:pPr>
    <w:rPr>
      <w:b/>
      <w:bCs/>
      <w:smallCaps/>
      <w:sz w:val="20"/>
      <w:szCs w:val="20"/>
    </w:rPr>
  </w:style>
  <w:style w:type="paragraph" w:customStyle="1" w:styleId="Annexetexte">
    <w:name w:val="Annexe texte"/>
    <w:basedOn w:val="Normal"/>
    <w:rsid w:val="005A4242"/>
    <w:pPr>
      <w:tabs>
        <w:tab w:val="left" w:pos="2977"/>
      </w:tabs>
      <w:autoSpaceDE w:val="0"/>
      <w:autoSpaceDN w:val="0"/>
      <w:jc w:val="both"/>
    </w:pPr>
    <w:rPr>
      <w:sz w:val="22"/>
      <w:szCs w:val="22"/>
    </w:rPr>
  </w:style>
  <w:style w:type="paragraph" w:styleId="Corpsdetexte2">
    <w:name w:val="Body Text 2"/>
    <w:basedOn w:val="Normal"/>
    <w:link w:val="Corpsdetexte2Car"/>
    <w:uiPriority w:val="99"/>
    <w:unhideWhenUsed/>
    <w:rsid w:val="005A4242"/>
    <w:pPr>
      <w:spacing w:after="120" w:line="480" w:lineRule="auto"/>
    </w:pPr>
  </w:style>
  <w:style w:type="character" w:customStyle="1" w:styleId="Corpsdetexte2Car">
    <w:name w:val="Corps de texte 2 Car"/>
    <w:basedOn w:val="Policepardfaut"/>
    <w:link w:val="Corpsdetexte2"/>
    <w:uiPriority w:val="99"/>
    <w:rsid w:val="005A4242"/>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5A4242"/>
    <w:pPr>
      <w:spacing w:after="120"/>
    </w:pPr>
    <w:rPr>
      <w:sz w:val="16"/>
      <w:szCs w:val="16"/>
    </w:rPr>
  </w:style>
  <w:style w:type="character" w:customStyle="1" w:styleId="Corpsdetexte3Car">
    <w:name w:val="Corps de texte 3 Car"/>
    <w:basedOn w:val="Policepardfaut"/>
    <w:link w:val="Corpsdetexte3"/>
    <w:uiPriority w:val="99"/>
    <w:semiHidden/>
    <w:rsid w:val="005A4242"/>
    <w:rPr>
      <w:rFonts w:ascii="Times New Roman" w:eastAsia="Times New Roman" w:hAnsi="Times New Roman" w:cs="Times New Roman"/>
      <w:sz w:val="16"/>
      <w:szCs w:val="16"/>
      <w:lang w:eastAsia="fr-FR"/>
    </w:rPr>
  </w:style>
  <w:style w:type="paragraph" w:styleId="NormalWeb">
    <w:name w:val="Normal (Web)"/>
    <w:basedOn w:val="Normal"/>
    <w:rsid w:val="00DA3C14"/>
    <w:pPr>
      <w:spacing w:before="100" w:beforeAutospacing="1" w:after="100" w:afterAutospacing="1"/>
    </w:pPr>
  </w:style>
  <w:style w:type="character" w:styleId="Marquedecommentaire">
    <w:name w:val="annotation reference"/>
    <w:basedOn w:val="Policepardfaut"/>
    <w:semiHidden/>
    <w:rsid w:val="0000429B"/>
    <w:rPr>
      <w:sz w:val="16"/>
      <w:szCs w:val="16"/>
    </w:rPr>
  </w:style>
  <w:style w:type="paragraph" w:styleId="Commentaire">
    <w:name w:val="annotation text"/>
    <w:basedOn w:val="Normal"/>
    <w:semiHidden/>
    <w:rsid w:val="0000429B"/>
    <w:rPr>
      <w:sz w:val="20"/>
      <w:szCs w:val="20"/>
    </w:rPr>
  </w:style>
  <w:style w:type="paragraph" w:styleId="Objetducommentaire">
    <w:name w:val="annotation subject"/>
    <w:basedOn w:val="Commentaire"/>
    <w:next w:val="Commentaire"/>
    <w:semiHidden/>
    <w:rsid w:val="0000429B"/>
    <w:rPr>
      <w:b/>
      <w:bCs/>
    </w:rPr>
  </w:style>
  <w:style w:type="paragraph" w:styleId="Textedebulles">
    <w:name w:val="Balloon Text"/>
    <w:basedOn w:val="Normal"/>
    <w:semiHidden/>
    <w:rsid w:val="0000429B"/>
    <w:rPr>
      <w:rFonts w:ascii="Tahoma" w:hAnsi="Tahoma" w:cs="Tahoma"/>
      <w:sz w:val="16"/>
      <w:szCs w:val="16"/>
    </w:rPr>
  </w:style>
  <w:style w:type="character" w:styleId="Numrodepage">
    <w:name w:val="page number"/>
    <w:basedOn w:val="Policepardfaut"/>
    <w:rsid w:val="001B6017"/>
  </w:style>
  <w:style w:type="paragraph" w:styleId="Titre">
    <w:name w:val="Title"/>
    <w:basedOn w:val="Normal"/>
    <w:qFormat/>
    <w:rsid w:val="00A42590"/>
    <w:pPr>
      <w:widowControl w:val="0"/>
      <w:overflowPunct w:val="0"/>
      <w:autoSpaceDE w:val="0"/>
      <w:autoSpaceDN w:val="0"/>
      <w:adjustRightInd w:val="0"/>
      <w:jc w:val="center"/>
    </w:pPr>
    <w:rPr>
      <w:noProof/>
      <w:sz w:val="28"/>
      <w:szCs w:val="28"/>
    </w:rPr>
  </w:style>
  <w:style w:type="paragraph" w:styleId="En-tte">
    <w:name w:val="header"/>
    <w:basedOn w:val="Normal"/>
    <w:link w:val="En-tteCar"/>
    <w:rsid w:val="009C2DEB"/>
    <w:pPr>
      <w:tabs>
        <w:tab w:val="center" w:pos="4536"/>
        <w:tab w:val="right" w:pos="9072"/>
      </w:tabs>
    </w:pPr>
  </w:style>
  <w:style w:type="character" w:styleId="Lienhypertexte">
    <w:name w:val="Hyperlink"/>
    <w:basedOn w:val="Policepardfaut"/>
    <w:unhideWhenUsed/>
    <w:rsid w:val="00A806E9"/>
    <w:rPr>
      <w:color w:val="0000FF"/>
      <w:u w:val="single"/>
    </w:rPr>
  </w:style>
  <w:style w:type="character" w:customStyle="1" w:styleId="En-tteCar">
    <w:name w:val="En-tête Car"/>
    <w:link w:val="En-tte"/>
    <w:rsid w:val="006C329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87"/>
    <w:rPr>
      <w:rFonts w:ascii="Times New Roman" w:eastAsia="Times New Roman" w:hAnsi="Times New Roman"/>
      <w:sz w:val="24"/>
      <w:szCs w:val="24"/>
    </w:rPr>
  </w:style>
  <w:style w:type="paragraph" w:styleId="Titre1">
    <w:name w:val="heading 1"/>
    <w:basedOn w:val="Normal"/>
    <w:next w:val="Normal"/>
    <w:qFormat/>
    <w:rsid w:val="00A42590"/>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qFormat/>
    <w:rsid w:val="005A4242"/>
    <w:pPr>
      <w:keepNext/>
      <w:autoSpaceDE w:val="0"/>
      <w:autoSpaceDN w:val="0"/>
      <w:jc w:val="center"/>
      <w:outlineLvl w:val="2"/>
    </w:pPr>
  </w:style>
  <w:style w:type="paragraph" w:styleId="Titre4">
    <w:name w:val="heading 4"/>
    <w:basedOn w:val="Normal"/>
    <w:next w:val="Normal"/>
    <w:link w:val="Titre4Car"/>
    <w:qFormat/>
    <w:rsid w:val="005A4242"/>
    <w:pPr>
      <w:keepNext/>
      <w:autoSpaceDE w:val="0"/>
      <w:autoSpaceDN w:val="0"/>
      <w:spacing w:after="160"/>
      <w:jc w:val="center"/>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A40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34"/>
    <w:qFormat/>
    <w:rsid w:val="00291571"/>
    <w:pPr>
      <w:ind w:left="720"/>
      <w:contextualSpacing/>
    </w:pPr>
  </w:style>
  <w:style w:type="character" w:customStyle="1" w:styleId="Titre3Car">
    <w:name w:val="Titre 3 Car"/>
    <w:basedOn w:val="Policepardfaut"/>
    <w:link w:val="Titre3"/>
    <w:rsid w:val="005A4242"/>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5A4242"/>
    <w:rPr>
      <w:rFonts w:ascii="Times New Roman" w:eastAsia="Times New Roman" w:hAnsi="Times New Roman" w:cs="Times New Roman"/>
      <w:b/>
      <w:bCs/>
      <w:sz w:val="24"/>
      <w:szCs w:val="24"/>
      <w:lang w:eastAsia="fr-FR"/>
    </w:rPr>
  </w:style>
  <w:style w:type="paragraph" w:styleId="Corpsdetexte">
    <w:name w:val="Body Text"/>
    <w:basedOn w:val="Normal"/>
    <w:link w:val="CorpsdetexteCar"/>
    <w:semiHidden/>
    <w:rsid w:val="005A4242"/>
    <w:pPr>
      <w:autoSpaceDE w:val="0"/>
      <w:autoSpaceDN w:val="0"/>
    </w:pPr>
    <w:rPr>
      <w:sz w:val="22"/>
      <w:szCs w:val="22"/>
    </w:rPr>
  </w:style>
  <w:style w:type="character" w:customStyle="1" w:styleId="CorpsdetexteCar">
    <w:name w:val="Corps de texte Car"/>
    <w:basedOn w:val="Policepardfaut"/>
    <w:link w:val="Corpsdetexte"/>
    <w:semiHidden/>
    <w:rsid w:val="005A4242"/>
    <w:rPr>
      <w:rFonts w:ascii="Times New Roman" w:eastAsia="Times New Roman" w:hAnsi="Times New Roman" w:cs="Times New Roman"/>
      <w:lang w:eastAsia="fr-FR"/>
    </w:rPr>
  </w:style>
  <w:style w:type="paragraph" w:styleId="Pieddepage">
    <w:name w:val="footer"/>
    <w:basedOn w:val="Normal"/>
    <w:link w:val="PieddepageCar"/>
    <w:uiPriority w:val="99"/>
    <w:rsid w:val="005A4242"/>
    <w:pPr>
      <w:tabs>
        <w:tab w:val="center" w:pos="4536"/>
        <w:tab w:val="right" w:pos="9072"/>
      </w:tabs>
      <w:autoSpaceDE w:val="0"/>
      <w:autoSpaceDN w:val="0"/>
    </w:pPr>
  </w:style>
  <w:style w:type="character" w:customStyle="1" w:styleId="PieddepageCar">
    <w:name w:val="Pied de page Car"/>
    <w:basedOn w:val="Policepardfaut"/>
    <w:link w:val="Pieddepage"/>
    <w:uiPriority w:val="99"/>
    <w:rsid w:val="005A4242"/>
    <w:rPr>
      <w:rFonts w:ascii="Times New Roman" w:eastAsia="Times New Roman" w:hAnsi="Times New Roman" w:cs="Times New Roman"/>
      <w:sz w:val="24"/>
      <w:szCs w:val="24"/>
      <w:lang w:eastAsia="fr-FR"/>
    </w:rPr>
  </w:style>
  <w:style w:type="paragraph" w:customStyle="1" w:styleId="Enumrationpuce">
    <w:name w:val="Enumération puce"/>
    <w:basedOn w:val="Normal"/>
    <w:rsid w:val="005A4242"/>
    <w:pPr>
      <w:tabs>
        <w:tab w:val="num" w:pos="360"/>
        <w:tab w:val="left" w:pos="2977"/>
      </w:tabs>
      <w:autoSpaceDE w:val="0"/>
      <w:autoSpaceDN w:val="0"/>
      <w:spacing w:after="40"/>
      <w:jc w:val="both"/>
    </w:pPr>
  </w:style>
  <w:style w:type="paragraph" w:customStyle="1" w:styleId="Annexetitre">
    <w:name w:val="Annexe titre"/>
    <w:basedOn w:val="Normal"/>
    <w:rsid w:val="005A4242"/>
    <w:pPr>
      <w:tabs>
        <w:tab w:val="left" w:pos="2977"/>
      </w:tabs>
      <w:autoSpaceDE w:val="0"/>
      <w:autoSpaceDN w:val="0"/>
      <w:spacing w:after="120"/>
      <w:jc w:val="center"/>
    </w:pPr>
    <w:rPr>
      <w:b/>
      <w:bCs/>
      <w:sz w:val="22"/>
      <w:szCs w:val="22"/>
    </w:rPr>
  </w:style>
  <w:style w:type="paragraph" w:customStyle="1" w:styleId="Annexen">
    <w:name w:val="Annexe n°"/>
    <w:basedOn w:val="Normal"/>
    <w:rsid w:val="005A4242"/>
    <w:pPr>
      <w:tabs>
        <w:tab w:val="left" w:pos="2977"/>
      </w:tabs>
      <w:autoSpaceDE w:val="0"/>
      <w:autoSpaceDN w:val="0"/>
      <w:spacing w:after="120"/>
      <w:jc w:val="center"/>
    </w:pPr>
    <w:rPr>
      <w:b/>
      <w:bCs/>
      <w:smallCaps/>
      <w:sz w:val="20"/>
      <w:szCs w:val="20"/>
    </w:rPr>
  </w:style>
  <w:style w:type="paragraph" w:customStyle="1" w:styleId="Annexetexte">
    <w:name w:val="Annexe texte"/>
    <w:basedOn w:val="Normal"/>
    <w:rsid w:val="005A4242"/>
    <w:pPr>
      <w:tabs>
        <w:tab w:val="left" w:pos="2977"/>
      </w:tabs>
      <w:autoSpaceDE w:val="0"/>
      <w:autoSpaceDN w:val="0"/>
      <w:jc w:val="both"/>
    </w:pPr>
    <w:rPr>
      <w:sz w:val="22"/>
      <w:szCs w:val="22"/>
    </w:rPr>
  </w:style>
  <w:style w:type="paragraph" w:styleId="Corpsdetexte2">
    <w:name w:val="Body Text 2"/>
    <w:basedOn w:val="Normal"/>
    <w:link w:val="Corpsdetexte2Car"/>
    <w:uiPriority w:val="99"/>
    <w:unhideWhenUsed/>
    <w:rsid w:val="005A4242"/>
    <w:pPr>
      <w:spacing w:after="120" w:line="480" w:lineRule="auto"/>
    </w:pPr>
  </w:style>
  <w:style w:type="character" w:customStyle="1" w:styleId="Corpsdetexte2Car">
    <w:name w:val="Corps de texte 2 Car"/>
    <w:basedOn w:val="Policepardfaut"/>
    <w:link w:val="Corpsdetexte2"/>
    <w:uiPriority w:val="99"/>
    <w:rsid w:val="005A4242"/>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5A4242"/>
    <w:pPr>
      <w:spacing w:after="120"/>
    </w:pPr>
    <w:rPr>
      <w:sz w:val="16"/>
      <w:szCs w:val="16"/>
    </w:rPr>
  </w:style>
  <w:style w:type="character" w:customStyle="1" w:styleId="Corpsdetexte3Car">
    <w:name w:val="Corps de texte 3 Car"/>
    <w:basedOn w:val="Policepardfaut"/>
    <w:link w:val="Corpsdetexte3"/>
    <w:uiPriority w:val="99"/>
    <w:semiHidden/>
    <w:rsid w:val="005A4242"/>
    <w:rPr>
      <w:rFonts w:ascii="Times New Roman" w:eastAsia="Times New Roman" w:hAnsi="Times New Roman" w:cs="Times New Roman"/>
      <w:sz w:val="16"/>
      <w:szCs w:val="16"/>
      <w:lang w:eastAsia="fr-FR"/>
    </w:rPr>
  </w:style>
  <w:style w:type="paragraph" w:styleId="NormalWeb">
    <w:name w:val="Normal (Web)"/>
    <w:basedOn w:val="Normal"/>
    <w:rsid w:val="00DA3C14"/>
    <w:pPr>
      <w:spacing w:before="100" w:beforeAutospacing="1" w:after="100" w:afterAutospacing="1"/>
    </w:pPr>
  </w:style>
  <w:style w:type="character" w:styleId="Marquedecommentaire">
    <w:name w:val="annotation reference"/>
    <w:basedOn w:val="Policepardfaut"/>
    <w:semiHidden/>
    <w:rsid w:val="0000429B"/>
    <w:rPr>
      <w:sz w:val="16"/>
      <w:szCs w:val="16"/>
    </w:rPr>
  </w:style>
  <w:style w:type="paragraph" w:styleId="Commentaire">
    <w:name w:val="annotation text"/>
    <w:basedOn w:val="Normal"/>
    <w:semiHidden/>
    <w:rsid w:val="0000429B"/>
    <w:rPr>
      <w:sz w:val="20"/>
      <w:szCs w:val="20"/>
    </w:rPr>
  </w:style>
  <w:style w:type="paragraph" w:styleId="Objetducommentaire">
    <w:name w:val="annotation subject"/>
    <w:basedOn w:val="Commentaire"/>
    <w:next w:val="Commentaire"/>
    <w:semiHidden/>
    <w:rsid w:val="0000429B"/>
    <w:rPr>
      <w:b/>
      <w:bCs/>
    </w:rPr>
  </w:style>
  <w:style w:type="paragraph" w:styleId="Textedebulles">
    <w:name w:val="Balloon Text"/>
    <w:basedOn w:val="Normal"/>
    <w:semiHidden/>
    <w:rsid w:val="0000429B"/>
    <w:rPr>
      <w:rFonts w:ascii="Tahoma" w:hAnsi="Tahoma" w:cs="Tahoma"/>
      <w:sz w:val="16"/>
      <w:szCs w:val="16"/>
    </w:rPr>
  </w:style>
  <w:style w:type="character" w:styleId="Numrodepage">
    <w:name w:val="page number"/>
    <w:basedOn w:val="Policepardfaut"/>
    <w:rsid w:val="001B6017"/>
  </w:style>
  <w:style w:type="paragraph" w:styleId="Titre">
    <w:name w:val="Title"/>
    <w:basedOn w:val="Normal"/>
    <w:qFormat/>
    <w:rsid w:val="00A42590"/>
    <w:pPr>
      <w:widowControl w:val="0"/>
      <w:overflowPunct w:val="0"/>
      <w:autoSpaceDE w:val="0"/>
      <w:autoSpaceDN w:val="0"/>
      <w:adjustRightInd w:val="0"/>
      <w:jc w:val="center"/>
    </w:pPr>
    <w:rPr>
      <w:noProof/>
      <w:sz w:val="28"/>
      <w:szCs w:val="28"/>
    </w:rPr>
  </w:style>
  <w:style w:type="paragraph" w:styleId="En-tte">
    <w:name w:val="header"/>
    <w:basedOn w:val="Normal"/>
    <w:link w:val="En-tteCar"/>
    <w:rsid w:val="009C2DEB"/>
    <w:pPr>
      <w:tabs>
        <w:tab w:val="center" w:pos="4536"/>
        <w:tab w:val="right" w:pos="9072"/>
      </w:tabs>
    </w:pPr>
  </w:style>
  <w:style w:type="character" w:styleId="Lienhypertexte">
    <w:name w:val="Hyperlink"/>
    <w:basedOn w:val="Policepardfaut"/>
    <w:unhideWhenUsed/>
    <w:rsid w:val="00A806E9"/>
    <w:rPr>
      <w:color w:val="0000FF"/>
      <w:u w:val="single"/>
    </w:rPr>
  </w:style>
  <w:style w:type="character" w:customStyle="1" w:styleId="En-tteCar">
    <w:name w:val="En-tête Car"/>
    <w:link w:val="En-tte"/>
    <w:rsid w:val="006C329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53257">
      <w:bodyDiv w:val="1"/>
      <w:marLeft w:val="0"/>
      <w:marRight w:val="0"/>
      <w:marTop w:val="0"/>
      <w:marBottom w:val="0"/>
      <w:divBdr>
        <w:top w:val="none" w:sz="0" w:space="0" w:color="auto"/>
        <w:left w:val="none" w:sz="0" w:space="0" w:color="auto"/>
        <w:bottom w:val="none" w:sz="0" w:space="0" w:color="auto"/>
        <w:right w:val="none" w:sz="0" w:space="0" w:color="auto"/>
      </w:divBdr>
    </w:div>
    <w:div w:id="376975474">
      <w:bodyDiv w:val="1"/>
      <w:marLeft w:val="0"/>
      <w:marRight w:val="0"/>
      <w:marTop w:val="0"/>
      <w:marBottom w:val="0"/>
      <w:divBdr>
        <w:top w:val="none" w:sz="0" w:space="0" w:color="auto"/>
        <w:left w:val="none" w:sz="0" w:space="0" w:color="auto"/>
        <w:bottom w:val="none" w:sz="0" w:space="0" w:color="auto"/>
        <w:right w:val="none" w:sz="0" w:space="0" w:color="auto"/>
      </w:divBdr>
    </w:div>
    <w:div w:id="201499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comptazine.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3373</Words>
  <Characters>18553</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21883</CharactersWithSpaces>
  <SharedDoc>false</SharedDoc>
  <HLinks>
    <vt:vector size="6" baseType="variant">
      <vt:variant>
        <vt:i4>1638468</vt:i4>
      </vt:variant>
      <vt:variant>
        <vt:i4>0</vt:i4>
      </vt:variant>
      <vt:variant>
        <vt:i4>0</vt:i4>
      </vt:variant>
      <vt:variant>
        <vt:i4>5</vt:i4>
      </vt:variant>
      <vt:variant>
        <vt:lpwstr>http://www.comptazine.fr/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Comptazine</dc:creator>
  <cp:lastModifiedBy>Sébastien Demay</cp:lastModifiedBy>
  <cp:revision>3</cp:revision>
  <cp:lastPrinted>2014-04-05T21:12:00Z</cp:lastPrinted>
  <dcterms:created xsi:type="dcterms:W3CDTF">2014-04-05T21:11:00Z</dcterms:created>
  <dcterms:modified xsi:type="dcterms:W3CDTF">2014-04-05T21:12:00Z</dcterms:modified>
</cp:coreProperties>
</file>