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6F" w:rsidRPr="0090290F" w:rsidRDefault="00DB7C6F" w:rsidP="00DB7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N w:val="0"/>
        <w:adjustRightInd w:val="0"/>
        <w:jc w:val="center"/>
        <w:textAlignment w:val="baseline"/>
        <w:rPr>
          <w:b/>
          <w:bCs/>
          <w:noProof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</w:rPr>
        <w:t>DSCG session 2012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  <w:t xml:space="preserve">          UE2 Finance</w:t>
      </w:r>
      <w:r w:rsidRPr="0090290F"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 xml:space="preserve">                          </w:t>
      </w:r>
      <w:r w:rsidRPr="0090290F">
        <w:rPr>
          <w:b/>
          <w:bCs/>
          <w:noProof/>
          <w:sz w:val="22"/>
          <w:szCs w:val="22"/>
        </w:rPr>
        <w:tab/>
        <w:t>Corrigé indicatif</w:t>
      </w:r>
    </w:p>
    <w:p w:rsidR="001770FD" w:rsidRPr="00574FF1" w:rsidRDefault="001770FD" w:rsidP="001770FD">
      <w:pPr>
        <w:rPr>
          <w:rFonts w:ascii="Calibri" w:hAnsi="Calibri"/>
          <w:color w:val="000000"/>
          <w:spacing w:val="-7"/>
          <w:sz w:val="16"/>
          <w:szCs w:val="16"/>
        </w:rPr>
      </w:pPr>
    </w:p>
    <w:p w:rsidR="008405B4" w:rsidRDefault="008405B4" w:rsidP="0003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Dossier 1 – ETUDE DE CAS</w:t>
      </w:r>
    </w:p>
    <w:p w:rsidR="00B4525E" w:rsidRPr="005A1441" w:rsidRDefault="00B4525E" w:rsidP="005A1441">
      <w:pPr>
        <w:rPr>
          <w:b/>
          <w:u w:val="single"/>
        </w:rPr>
      </w:pPr>
    </w:p>
    <w:p w:rsidR="00F21506" w:rsidRDefault="00C00EEE" w:rsidP="00165B53">
      <w:pPr>
        <w:numPr>
          <w:ilvl w:val="0"/>
          <w:numId w:val="1"/>
        </w:numPr>
      </w:pPr>
      <w:r w:rsidRPr="00C00EEE">
        <w:rPr>
          <w:b/>
          <w:u w:val="single"/>
        </w:rPr>
        <w:t xml:space="preserve">Evaluation de  </w:t>
      </w:r>
      <w:r w:rsidR="001A2B07">
        <w:rPr>
          <w:b/>
          <w:u w:val="single"/>
        </w:rPr>
        <w:t>GRENELLE</w:t>
      </w:r>
      <w:r>
        <w:t>:</w:t>
      </w:r>
    </w:p>
    <w:p w:rsidR="005A1441" w:rsidRDefault="005A1441" w:rsidP="00C00EEE"/>
    <w:p w:rsidR="00C00EEE" w:rsidRDefault="00C00EEE" w:rsidP="00C00EEE">
      <w:pPr>
        <w:numPr>
          <w:ilvl w:val="1"/>
          <w:numId w:val="1"/>
        </w:numPr>
        <w:rPr>
          <w:b/>
        </w:rPr>
      </w:pPr>
      <w:r w:rsidRPr="00C00EEE">
        <w:rPr>
          <w:b/>
        </w:rPr>
        <w:t>Valeur des fonds propres Vcp par la méthode des DCF</w:t>
      </w:r>
    </w:p>
    <w:p w:rsidR="008F39BE" w:rsidRPr="00C00EEE" w:rsidRDefault="008F39BE" w:rsidP="008F39BE">
      <w:pPr>
        <w:rPr>
          <w:b/>
        </w:rPr>
      </w:pPr>
    </w:p>
    <w:p w:rsidR="00F21506" w:rsidRDefault="002234B0" w:rsidP="00F21506">
      <w:pPr>
        <w:rPr>
          <w:b/>
        </w:rPr>
      </w:pPr>
      <w:r w:rsidRPr="008F39BE">
        <w:rPr>
          <w:b/>
        </w:rPr>
        <w:t>Evolution du chiffre d’affaires (TCAM : 6,7%)</w:t>
      </w:r>
      <w:r w:rsidR="008F39BE">
        <w:rPr>
          <w:b/>
        </w:rPr>
        <w:t xml:space="preserve"> et du BFR</w:t>
      </w:r>
    </w:p>
    <w:p w:rsidR="009952B8" w:rsidRPr="008F39BE" w:rsidRDefault="009952B8" w:rsidP="00F215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281"/>
        <w:gridCol w:w="1417"/>
        <w:gridCol w:w="1276"/>
        <w:gridCol w:w="1276"/>
        <w:gridCol w:w="1134"/>
        <w:gridCol w:w="992"/>
      </w:tblGrid>
      <w:tr w:rsidR="002234B0" w:rsidRPr="00EB243D" w:rsidTr="00B363BB">
        <w:trPr>
          <w:trHeight w:val="241"/>
        </w:trPr>
        <w:tc>
          <w:tcPr>
            <w:tcW w:w="3080" w:type="dxa"/>
          </w:tcPr>
          <w:p w:rsidR="002234B0" w:rsidRPr="009107EC" w:rsidRDefault="002234B0" w:rsidP="00B363BB">
            <w:pPr>
              <w:jc w:val="center"/>
            </w:pPr>
            <w:r w:rsidRPr="009107EC">
              <w:t>En M€</w:t>
            </w:r>
          </w:p>
        </w:tc>
        <w:tc>
          <w:tcPr>
            <w:tcW w:w="1281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17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276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276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992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2234B0" w:rsidRPr="00665D14" w:rsidTr="008F39BE">
        <w:trPr>
          <w:trHeight w:val="737"/>
        </w:trPr>
        <w:tc>
          <w:tcPr>
            <w:tcW w:w="3080" w:type="dxa"/>
            <w:vAlign w:val="center"/>
          </w:tcPr>
          <w:p w:rsidR="002234B0" w:rsidRPr="00665D14" w:rsidRDefault="002234B0" w:rsidP="008F39BE">
            <w:pPr>
              <w:jc w:val="center"/>
            </w:pPr>
            <w:r>
              <w:t>CA 2011 : 710</w:t>
            </w:r>
          </w:p>
        </w:tc>
        <w:tc>
          <w:tcPr>
            <w:tcW w:w="1281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758</w:t>
            </w:r>
          </w:p>
        </w:tc>
        <w:tc>
          <w:tcPr>
            <w:tcW w:w="1417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808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862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920</w:t>
            </w:r>
          </w:p>
        </w:tc>
        <w:tc>
          <w:tcPr>
            <w:tcW w:w="1134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982</w:t>
            </w:r>
          </w:p>
        </w:tc>
        <w:tc>
          <w:tcPr>
            <w:tcW w:w="992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1048</w:t>
            </w:r>
          </w:p>
        </w:tc>
      </w:tr>
      <w:tr w:rsidR="002234B0" w:rsidRPr="00665D14" w:rsidTr="008F39BE">
        <w:trPr>
          <w:trHeight w:val="737"/>
        </w:trPr>
        <w:tc>
          <w:tcPr>
            <w:tcW w:w="3080" w:type="dxa"/>
            <w:vAlign w:val="center"/>
          </w:tcPr>
          <w:p w:rsidR="002234B0" w:rsidRDefault="002234B0" w:rsidP="008F39BE">
            <w:pPr>
              <w:jc w:val="center"/>
            </w:pPr>
            <w:r>
              <w:t>BFR 2011 :128</w:t>
            </w:r>
          </w:p>
        </w:tc>
        <w:tc>
          <w:tcPr>
            <w:tcW w:w="1281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1417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1134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992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</w:tr>
    </w:tbl>
    <w:p w:rsidR="002234B0" w:rsidRDefault="002234B0" w:rsidP="00F21506"/>
    <w:p w:rsidR="00E33070" w:rsidRDefault="006B30AF" w:rsidP="002234B0">
      <w:pPr>
        <w:rPr>
          <w:b/>
        </w:rPr>
      </w:pPr>
      <w:r w:rsidRPr="00C00EEE">
        <w:rPr>
          <w:b/>
        </w:rPr>
        <w:t>Etablissement du business plan</w:t>
      </w:r>
    </w:p>
    <w:p w:rsidR="009952B8" w:rsidRPr="00C00EEE" w:rsidRDefault="009952B8" w:rsidP="002234B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281"/>
        <w:gridCol w:w="1417"/>
        <w:gridCol w:w="1276"/>
        <w:gridCol w:w="1276"/>
        <w:gridCol w:w="1134"/>
        <w:gridCol w:w="992"/>
      </w:tblGrid>
      <w:tr w:rsidR="002234B0" w:rsidRPr="00EB243D" w:rsidTr="00B363BB">
        <w:trPr>
          <w:trHeight w:val="241"/>
        </w:trPr>
        <w:tc>
          <w:tcPr>
            <w:tcW w:w="3080" w:type="dxa"/>
          </w:tcPr>
          <w:p w:rsidR="002234B0" w:rsidRPr="009107EC" w:rsidRDefault="002234B0" w:rsidP="00B363BB">
            <w:pPr>
              <w:jc w:val="center"/>
            </w:pPr>
            <w:r w:rsidRPr="009107EC">
              <w:t>En M€</w:t>
            </w:r>
          </w:p>
        </w:tc>
        <w:tc>
          <w:tcPr>
            <w:tcW w:w="1281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17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276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276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992" w:type="dxa"/>
            <w:vAlign w:val="bottom"/>
          </w:tcPr>
          <w:p w:rsidR="002234B0" w:rsidRPr="009107EC" w:rsidRDefault="002234B0" w:rsidP="00B36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2234B0" w:rsidRPr="00665D14" w:rsidTr="00A75AEC">
        <w:trPr>
          <w:trHeight w:val="737"/>
        </w:trPr>
        <w:tc>
          <w:tcPr>
            <w:tcW w:w="3080" w:type="dxa"/>
            <w:vAlign w:val="center"/>
          </w:tcPr>
          <w:p w:rsidR="002234B0" w:rsidRPr="00665D14" w:rsidRDefault="002234B0" w:rsidP="00A75AEC">
            <w:pPr>
              <w:jc w:val="center"/>
            </w:pPr>
            <w:r w:rsidRPr="00665D14">
              <w:t>Flux de trésorerie d’exploitation potentiels</w:t>
            </w:r>
            <w:r w:rsidR="00A75AEC">
              <w:t xml:space="preserve"> </w:t>
            </w:r>
            <w:r w:rsidRPr="00665D14">
              <w:t>après impôt</w:t>
            </w:r>
          </w:p>
        </w:tc>
        <w:tc>
          <w:tcPr>
            <w:tcW w:w="1281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64</w:t>
            </w:r>
          </w:p>
        </w:tc>
        <w:tc>
          <w:tcPr>
            <w:tcW w:w="1417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90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97</w:t>
            </w:r>
          </w:p>
        </w:tc>
        <w:tc>
          <w:tcPr>
            <w:tcW w:w="1276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103</w:t>
            </w:r>
          </w:p>
        </w:tc>
        <w:tc>
          <w:tcPr>
            <w:tcW w:w="1134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110</w:t>
            </w:r>
          </w:p>
        </w:tc>
        <w:tc>
          <w:tcPr>
            <w:tcW w:w="992" w:type="dxa"/>
            <w:vAlign w:val="center"/>
          </w:tcPr>
          <w:p w:rsidR="002234B0" w:rsidRPr="00665D14" w:rsidRDefault="002234B0" w:rsidP="00B363BB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105</w:t>
            </w:r>
          </w:p>
        </w:tc>
      </w:tr>
      <w:tr w:rsidR="002234B0" w:rsidRPr="00665D14" w:rsidTr="00A75AEC">
        <w:trPr>
          <w:trHeight w:val="737"/>
        </w:trPr>
        <w:tc>
          <w:tcPr>
            <w:tcW w:w="3080" w:type="dxa"/>
            <w:vAlign w:val="center"/>
          </w:tcPr>
          <w:p w:rsidR="002234B0" w:rsidRPr="00665D14" w:rsidRDefault="008F39BE" w:rsidP="00A75AEC">
            <w:pPr>
              <w:jc w:val="center"/>
            </w:pPr>
            <w:r>
              <w:t>Variation du BFR</w:t>
            </w:r>
          </w:p>
        </w:tc>
        <w:tc>
          <w:tcPr>
            <w:tcW w:w="1281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-9</w:t>
            </w:r>
          </w:p>
        </w:tc>
        <w:tc>
          <w:tcPr>
            <w:tcW w:w="1417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-9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1134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992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-12</w:t>
            </w:r>
          </w:p>
        </w:tc>
      </w:tr>
      <w:tr w:rsidR="002234B0" w:rsidRPr="00665D14" w:rsidTr="00A75AEC">
        <w:trPr>
          <w:trHeight w:val="737"/>
        </w:trPr>
        <w:tc>
          <w:tcPr>
            <w:tcW w:w="3080" w:type="dxa"/>
            <w:vAlign w:val="center"/>
          </w:tcPr>
          <w:p w:rsidR="002234B0" w:rsidRPr="00665D14" w:rsidRDefault="008F39BE" w:rsidP="00A75AEC">
            <w:pPr>
              <w:jc w:val="center"/>
            </w:pPr>
            <w:r>
              <w:t>Investissements</w:t>
            </w:r>
          </w:p>
        </w:tc>
        <w:tc>
          <w:tcPr>
            <w:tcW w:w="1281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  <w:tc>
          <w:tcPr>
            <w:tcW w:w="1417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  <w:tc>
          <w:tcPr>
            <w:tcW w:w="1134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  <w:tc>
          <w:tcPr>
            <w:tcW w:w="992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-20</w:t>
            </w:r>
          </w:p>
        </w:tc>
      </w:tr>
      <w:tr w:rsidR="002234B0" w:rsidRPr="00665D14" w:rsidTr="00A75AEC">
        <w:trPr>
          <w:trHeight w:val="737"/>
        </w:trPr>
        <w:tc>
          <w:tcPr>
            <w:tcW w:w="3080" w:type="dxa"/>
            <w:vAlign w:val="center"/>
          </w:tcPr>
          <w:p w:rsidR="002234B0" w:rsidRPr="00665D14" w:rsidRDefault="008F39BE" w:rsidP="00A75AEC">
            <w:pPr>
              <w:jc w:val="center"/>
            </w:pPr>
            <w:r>
              <w:t>Flux de trésorerie disponibles</w:t>
            </w:r>
          </w:p>
        </w:tc>
        <w:tc>
          <w:tcPr>
            <w:tcW w:w="1281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417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276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134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92" w:type="dxa"/>
            <w:vAlign w:val="center"/>
          </w:tcPr>
          <w:p w:rsidR="002234B0" w:rsidRPr="00665D14" w:rsidRDefault="008F39BE" w:rsidP="00B363BB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</w:tbl>
    <w:p w:rsidR="006B30AF" w:rsidRDefault="006B30AF"/>
    <w:p w:rsidR="008F39BE" w:rsidRDefault="008F39BE" w:rsidP="002234B0">
      <w:pPr>
        <w:pStyle w:val="Liste2"/>
        <w:ind w:left="0" w:firstLine="0"/>
        <w:rPr>
          <w:b/>
        </w:rPr>
      </w:pPr>
      <w:r>
        <w:rPr>
          <w:b/>
        </w:rPr>
        <w:t>Evaluation de la valeur terminale</w:t>
      </w:r>
    </w:p>
    <w:p w:rsidR="009952B8" w:rsidRDefault="009952B8" w:rsidP="002234B0">
      <w:pPr>
        <w:pStyle w:val="Liste2"/>
        <w:ind w:left="0" w:firstLine="0"/>
        <w:rPr>
          <w:b/>
        </w:rPr>
      </w:pPr>
    </w:p>
    <w:p w:rsidR="008F39BE" w:rsidRPr="008F39BE" w:rsidRDefault="008F39BE" w:rsidP="002234B0">
      <w:pPr>
        <w:pStyle w:val="Liste2"/>
        <w:ind w:left="0" w:firstLine="0"/>
      </w:pPr>
      <w:r>
        <w:t xml:space="preserve">VT = CF2017 x g  / (t-g) = </w:t>
      </w:r>
      <w:r w:rsidR="00853E37">
        <w:t>73 x 1.015 / (0,086 – 0,015) = 1044</w:t>
      </w:r>
    </w:p>
    <w:p w:rsidR="008F39BE" w:rsidRDefault="008F39BE" w:rsidP="002234B0">
      <w:pPr>
        <w:pStyle w:val="Liste2"/>
        <w:ind w:left="0" w:firstLine="0"/>
        <w:rPr>
          <w:b/>
        </w:rPr>
      </w:pPr>
    </w:p>
    <w:p w:rsidR="00853E37" w:rsidRDefault="00853E37" w:rsidP="002234B0">
      <w:pPr>
        <w:pStyle w:val="Liste2"/>
        <w:ind w:left="0" w:firstLine="0"/>
        <w:rPr>
          <w:b/>
        </w:rPr>
      </w:pPr>
      <w:r>
        <w:rPr>
          <w:b/>
        </w:rPr>
        <w:t>Evaluation de la firme</w:t>
      </w:r>
    </w:p>
    <w:p w:rsidR="009952B8" w:rsidRDefault="009952B8" w:rsidP="002234B0">
      <w:pPr>
        <w:pStyle w:val="Liste2"/>
        <w:ind w:left="0" w:firstLine="0"/>
        <w:rPr>
          <w:b/>
        </w:rPr>
      </w:pPr>
    </w:p>
    <w:p w:rsidR="00853E37" w:rsidRPr="002037FB" w:rsidRDefault="00853E37" w:rsidP="002234B0">
      <w:pPr>
        <w:pStyle w:val="Liste2"/>
        <w:ind w:left="0" w:firstLine="0"/>
      </w:pPr>
      <w:r>
        <w:t xml:space="preserve">VE = 35 x </w:t>
      </w:r>
      <w:r w:rsidR="002037FB">
        <w:t>1,086</w:t>
      </w:r>
      <w:r w:rsidR="002037FB" w:rsidRPr="002037FB">
        <w:rPr>
          <w:vertAlign w:val="superscript"/>
        </w:rPr>
        <w:t>-1</w:t>
      </w:r>
      <w:r w:rsidR="002037FB">
        <w:t xml:space="preserve"> + 61 x 1,086</w:t>
      </w:r>
      <w:r w:rsidR="002037FB" w:rsidRPr="002037FB">
        <w:rPr>
          <w:vertAlign w:val="superscript"/>
        </w:rPr>
        <w:t>-2</w:t>
      </w:r>
      <w:r w:rsidR="002037FB">
        <w:t xml:space="preserve"> + … + (73 + 1044) x 1,086</w:t>
      </w:r>
      <w:r w:rsidR="002037FB" w:rsidRPr="002037FB">
        <w:rPr>
          <w:vertAlign w:val="superscript"/>
        </w:rPr>
        <w:t>-6</w:t>
      </w:r>
      <w:r w:rsidR="002037FB">
        <w:t xml:space="preserve"> = 921</w:t>
      </w:r>
    </w:p>
    <w:p w:rsidR="00853E37" w:rsidRDefault="00853E37" w:rsidP="002234B0">
      <w:pPr>
        <w:pStyle w:val="Liste2"/>
        <w:ind w:left="0" w:firstLine="0"/>
        <w:rPr>
          <w:b/>
        </w:rPr>
      </w:pPr>
    </w:p>
    <w:p w:rsidR="00470FD5" w:rsidRDefault="00C00EEE" w:rsidP="002234B0">
      <w:pPr>
        <w:pStyle w:val="Liste2"/>
        <w:ind w:left="0" w:firstLine="0"/>
        <w:rPr>
          <w:b/>
        </w:rPr>
      </w:pPr>
      <w:r w:rsidRPr="002234B0">
        <w:rPr>
          <w:b/>
        </w:rPr>
        <w:t>E</w:t>
      </w:r>
      <w:r w:rsidR="009952B8">
        <w:rPr>
          <w:b/>
        </w:rPr>
        <w:t>valuation des capitaux propres </w:t>
      </w:r>
    </w:p>
    <w:p w:rsidR="009952B8" w:rsidRPr="002234B0" w:rsidRDefault="009952B8" w:rsidP="002234B0">
      <w:pPr>
        <w:pStyle w:val="Liste2"/>
        <w:ind w:left="0" w:firstLine="0"/>
        <w:rPr>
          <w:b/>
        </w:rPr>
      </w:pPr>
    </w:p>
    <w:p w:rsidR="00166F0C" w:rsidRDefault="00166F0C">
      <w:r>
        <w:t>Vcp</w:t>
      </w:r>
      <w:r w:rsidR="002037FB">
        <w:t xml:space="preserve"> </w:t>
      </w:r>
      <w:r>
        <w:t xml:space="preserve">= </w:t>
      </w:r>
      <w:r w:rsidR="002037FB" w:rsidRPr="002037FB">
        <w:t>VE</w:t>
      </w:r>
      <w:r w:rsidR="002037FB">
        <w:t xml:space="preserve"> –VDF – intérêts minoritaires – Prov pour retraites</w:t>
      </w:r>
    </w:p>
    <w:p w:rsidR="002037FB" w:rsidRPr="00243D3A" w:rsidRDefault="002037FB">
      <w:r>
        <w:t xml:space="preserve">        = 921 – (328-125) </w:t>
      </w:r>
      <w:r w:rsidR="009952B8">
        <w:t>–</w:t>
      </w:r>
      <w:r>
        <w:t xml:space="preserve"> </w:t>
      </w:r>
      <w:r w:rsidR="009952B8">
        <w:t>9 – 76 = 633</w:t>
      </w:r>
    </w:p>
    <w:p w:rsidR="00166F0C" w:rsidRDefault="00166F0C"/>
    <w:p w:rsidR="009952B8" w:rsidRDefault="009952B8">
      <w:r>
        <w:t>NB : La valeur des dettes financières est celle de l’endettement net (DF-Trésorerie)</w:t>
      </w:r>
    </w:p>
    <w:p w:rsidR="009952B8" w:rsidRDefault="009952B8"/>
    <w:p w:rsidR="00701F16" w:rsidRDefault="00672A6F" w:rsidP="009952B8">
      <w:pPr>
        <w:rPr>
          <w:b/>
        </w:rPr>
      </w:pPr>
      <w:r w:rsidRPr="006505FA">
        <w:rPr>
          <w:b/>
        </w:rPr>
        <w:t xml:space="preserve">Evaluation de l’action de </w:t>
      </w:r>
      <w:r w:rsidR="001A2B07">
        <w:rPr>
          <w:b/>
        </w:rPr>
        <w:t>GRENELLE</w:t>
      </w:r>
    </w:p>
    <w:p w:rsidR="009952B8" w:rsidRPr="006505FA" w:rsidRDefault="009952B8" w:rsidP="009952B8">
      <w:pPr>
        <w:rPr>
          <w:b/>
        </w:rPr>
      </w:pPr>
    </w:p>
    <w:p w:rsidR="00701F16" w:rsidRDefault="00FD73B6">
      <w:r>
        <w:t>N</w:t>
      </w:r>
      <w:r w:rsidRPr="00FD73B6">
        <w:t>ombre d'actions</w:t>
      </w:r>
      <w:r w:rsidRPr="00FD73B6">
        <w:tab/>
      </w:r>
      <w:r w:rsidRPr="00FD73B6">
        <w:tab/>
        <w:t>7763917</w:t>
      </w:r>
    </w:p>
    <w:p w:rsidR="00EA6E6A" w:rsidRDefault="00EA6E6A"/>
    <w:p w:rsidR="00D262D8" w:rsidRPr="00EA6E6A" w:rsidRDefault="00EA6E6A">
      <w:pPr>
        <w:rPr>
          <w:b/>
          <w:u w:val="single"/>
        </w:rPr>
      </w:pPr>
      <w:r w:rsidRPr="00EA6E6A">
        <w:rPr>
          <w:b/>
          <w:u w:val="single"/>
        </w:rPr>
        <w:t xml:space="preserve">Valeur de l’action </w:t>
      </w:r>
      <w:r w:rsidR="009952B8">
        <w:rPr>
          <w:b/>
          <w:u w:val="single"/>
        </w:rPr>
        <w:t>81,5</w:t>
      </w:r>
      <w:r w:rsidRPr="00EA6E6A">
        <w:rPr>
          <w:b/>
          <w:u w:val="single"/>
        </w:rPr>
        <w:t xml:space="preserve"> arrondie </w:t>
      </w:r>
      <w:r w:rsidR="009952B8">
        <w:rPr>
          <w:b/>
          <w:u w:val="single"/>
        </w:rPr>
        <w:t>à 82</w:t>
      </w:r>
      <w:r w:rsidRPr="00EA6E6A">
        <w:rPr>
          <w:b/>
          <w:u w:val="single"/>
        </w:rPr>
        <w:t xml:space="preserve"> €</w:t>
      </w:r>
    </w:p>
    <w:p w:rsidR="00701F16" w:rsidRDefault="00C00EEE">
      <w:pPr>
        <w:numPr>
          <w:ilvl w:val="1"/>
          <w:numId w:val="1"/>
        </w:numPr>
        <w:rPr>
          <w:b/>
        </w:rPr>
      </w:pPr>
      <w:r w:rsidRPr="00C00EEE">
        <w:rPr>
          <w:b/>
        </w:rPr>
        <w:t>Valeur par la méthode des comparables boursiers</w:t>
      </w:r>
    </w:p>
    <w:p w:rsidR="00761354" w:rsidRPr="00C00EEE" w:rsidRDefault="00761354" w:rsidP="00761354">
      <w:pPr>
        <w:ind w:left="360"/>
        <w:rPr>
          <w:b/>
        </w:rPr>
      </w:pPr>
    </w:p>
    <w:p w:rsidR="00761354" w:rsidRPr="00761354" w:rsidRDefault="00761354" w:rsidP="00761354">
      <w:pPr>
        <w:rPr>
          <w:b/>
        </w:rPr>
      </w:pPr>
      <w:r w:rsidRPr="00761354">
        <w:rPr>
          <w:b/>
        </w:rPr>
        <w:t xml:space="preserve">Société </w:t>
      </w:r>
      <w:r w:rsidRPr="00761354">
        <w:rPr>
          <w:b/>
        </w:rPr>
        <w:tab/>
      </w:r>
      <w:r w:rsidRPr="00761354">
        <w:rPr>
          <w:b/>
        </w:rPr>
        <w:tab/>
        <w:t>VE/EBE</w:t>
      </w:r>
      <w:r w:rsidRPr="00761354">
        <w:rPr>
          <w:b/>
        </w:rPr>
        <w:tab/>
      </w:r>
      <w:r w:rsidRPr="00761354">
        <w:rPr>
          <w:b/>
        </w:rPr>
        <w:tab/>
        <w:t>VE/REX</w:t>
      </w:r>
      <w:r w:rsidRPr="00761354">
        <w:rPr>
          <w:b/>
        </w:rPr>
        <w:tab/>
      </w:r>
      <w:r w:rsidRPr="00761354">
        <w:rPr>
          <w:b/>
        </w:rPr>
        <w:tab/>
      </w:r>
      <w:r w:rsidRPr="00761354">
        <w:rPr>
          <w:b/>
        </w:rPr>
        <w:tab/>
      </w:r>
    </w:p>
    <w:p w:rsidR="00761354" w:rsidRDefault="00761354" w:rsidP="00761354"/>
    <w:p w:rsidR="00761354" w:rsidRDefault="00761354" w:rsidP="00761354">
      <w:r>
        <w:t xml:space="preserve">      A</w:t>
      </w:r>
      <w:r>
        <w:tab/>
      </w:r>
      <w:r>
        <w:tab/>
        <w:t xml:space="preserve">              </w:t>
      </w:r>
      <w:r w:rsidR="00AF4062">
        <w:t xml:space="preserve"> </w:t>
      </w:r>
      <w:r>
        <w:t xml:space="preserve"> </w:t>
      </w:r>
      <w:r w:rsidR="00AF4062">
        <w:t>13</w:t>
      </w:r>
      <w:r>
        <w:t>.5</w:t>
      </w:r>
      <w:r>
        <w:tab/>
      </w:r>
      <w:r>
        <w:tab/>
        <w:t xml:space="preserve">                 1</w:t>
      </w:r>
      <w:r w:rsidR="00AF4062">
        <w:t>6</w:t>
      </w:r>
      <w:r>
        <w:t>.1</w:t>
      </w:r>
      <w:r>
        <w:tab/>
      </w:r>
      <w:r>
        <w:tab/>
      </w:r>
      <w:r>
        <w:tab/>
      </w:r>
    </w:p>
    <w:p w:rsidR="00761354" w:rsidRDefault="00761354" w:rsidP="00761354">
      <w:r>
        <w:t xml:space="preserve">      M</w:t>
      </w:r>
      <w:r>
        <w:tab/>
      </w:r>
      <w:r>
        <w:tab/>
        <w:t xml:space="preserve">                </w:t>
      </w:r>
      <w:r w:rsidR="00AF4062">
        <w:t>13</w:t>
      </w:r>
      <w:r>
        <w:t>.2</w:t>
      </w:r>
      <w:r>
        <w:tab/>
      </w:r>
      <w:r>
        <w:tab/>
        <w:t xml:space="preserve">                 </w:t>
      </w:r>
      <w:r w:rsidR="00AF4062">
        <w:t>20</w:t>
      </w:r>
      <w:r>
        <w:t>.4</w:t>
      </w:r>
      <w:r>
        <w:tab/>
      </w:r>
      <w:r>
        <w:tab/>
      </w:r>
      <w:r>
        <w:tab/>
      </w:r>
    </w:p>
    <w:p w:rsidR="00761354" w:rsidRDefault="00761354" w:rsidP="00761354">
      <w:r>
        <w:t xml:space="preserve">      D</w:t>
      </w:r>
      <w:r>
        <w:tab/>
      </w:r>
      <w:r>
        <w:tab/>
        <w:t xml:space="preserve">                 </w:t>
      </w:r>
      <w:r w:rsidR="00AF4062">
        <w:t>9</w:t>
      </w:r>
      <w:r w:rsidR="00AF4062">
        <w:tab/>
      </w:r>
      <w:r w:rsidR="00AF4062">
        <w:tab/>
        <w:t xml:space="preserve">                 12</w:t>
      </w:r>
      <w:r>
        <w:t>.7</w:t>
      </w:r>
      <w:r>
        <w:tab/>
      </w:r>
      <w:r>
        <w:tab/>
      </w:r>
      <w:r>
        <w:tab/>
      </w:r>
    </w:p>
    <w:p w:rsidR="00761354" w:rsidRDefault="00761354" w:rsidP="00761354"/>
    <w:p w:rsidR="00761354" w:rsidRDefault="00761354" w:rsidP="00761354">
      <w:r>
        <w:t>Moyenne</w:t>
      </w:r>
      <w:r>
        <w:tab/>
      </w:r>
      <w:r>
        <w:tab/>
        <w:t xml:space="preserve">     </w:t>
      </w:r>
      <w:r w:rsidR="00AF4062">
        <w:t>11.9</w:t>
      </w:r>
      <w:r w:rsidR="00AF4062">
        <w:tab/>
      </w:r>
      <w:r w:rsidR="00AF4062">
        <w:tab/>
        <w:t xml:space="preserve">      16</w:t>
      </w:r>
      <w:r>
        <w:t>.4</w:t>
      </w:r>
      <w:r>
        <w:tab/>
      </w:r>
      <w:r>
        <w:tab/>
      </w:r>
      <w:r>
        <w:tab/>
      </w:r>
    </w:p>
    <w:p w:rsidR="00761354" w:rsidRDefault="00761354" w:rsidP="00761354"/>
    <w:p w:rsidR="00761354" w:rsidRDefault="005F377A" w:rsidP="00761354">
      <w:r>
        <w:t>Soldes Grenelle</w:t>
      </w:r>
      <w:r>
        <w:tab/>
      </w:r>
      <w:r w:rsidR="00AF4062">
        <w:t xml:space="preserve">       71</w:t>
      </w:r>
      <w:r w:rsidR="00AF4062">
        <w:tab/>
      </w:r>
      <w:r w:rsidR="00AF4062">
        <w:tab/>
      </w:r>
      <w:r w:rsidR="00AF4062">
        <w:tab/>
        <w:t xml:space="preserve">       54</w:t>
      </w:r>
    </w:p>
    <w:p w:rsidR="00AF4062" w:rsidRDefault="00AF4062" w:rsidP="00761354"/>
    <w:p w:rsidR="00AF4062" w:rsidRDefault="00AF4062" w:rsidP="00761354">
      <w:r>
        <w:t>VE Grenelle</w:t>
      </w:r>
      <w:r>
        <w:tab/>
      </w:r>
      <w:r>
        <w:tab/>
        <w:t xml:space="preserve">      845</w:t>
      </w:r>
      <w:r>
        <w:tab/>
      </w:r>
      <w:r>
        <w:tab/>
        <w:t xml:space="preserve">      886</w:t>
      </w:r>
    </w:p>
    <w:p w:rsidR="00701F16" w:rsidRDefault="00AF4062">
      <w:r w:rsidRPr="00AF4062">
        <w:t>VCP</w:t>
      </w:r>
      <w:r>
        <w:tab/>
      </w:r>
      <w:r>
        <w:tab/>
      </w:r>
      <w:r>
        <w:tab/>
        <w:t xml:space="preserve">      557</w:t>
      </w:r>
      <w:r>
        <w:tab/>
      </w:r>
      <w:r>
        <w:tab/>
      </w:r>
      <w:r w:rsidR="00060437">
        <w:t xml:space="preserve">      598</w:t>
      </w:r>
      <w:r w:rsidR="005F377A">
        <w:tab/>
        <w:t>(après déduction DF, IM et Prov.)</w:t>
      </w:r>
    </w:p>
    <w:p w:rsidR="00060437" w:rsidRDefault="00060437">
      <w:r>
        <w:t>Valeur de l’action</w:t>
      </w:r>
      <w:r>
        <w:tab/>
        <w:t xml:space="preserve">       </w:t>
      </w:r>
      <w:r w:rsidRPr="005F377A">
        <w:rPr>
          <w:b/>
        </w:rPr>
        <w:t>72</w:t>
      </w:r>
      <w:r w:rsidR="00A75AEC">
        <w:rPr>
          <w:b/>
        </w:rPr>
        <w:t xml:space="preserve"> </w:t>
      </w:r>
      <w:r w:rsidRPr="005F377A">
        <w:rPr>
          <w:b/>
        </w:rPr>
        <w:t>€</w:t>
      </w:r>
      <w:r>
        <w:tab/>
      </w:r>
      <w:r>
        <w:tab/>
        <w:t xml:space="preserve">       </w:t>
      </w:r>
      <w:r w:rsidRPr="005F377A">
        <w:rPr>
          <w:b/>
        </w:rPr>
        <w:t>77</w:t>
      </w:r>
      <w:r w:rsidR="00A75AEC">
        <w:rPr>
          <w:b/>
        </w:rPr>
        <w:t xml:space="preserve"> </w:t>
      </w:r>
      <w:r w:rsidRPr="005F377A">
        <w:rPr>
          <w:b/>
        </w:rPr>
        <w:t>€</w:t>
      </w:r>
    </w:p>
    <w:p w:rsidR="00060437" w:rsidRPr="00AF4062" w:rsidRDefault="00060437"/>
    <w:p w:rsidR="006505FA" w:rsidRDefault="006505FA" w:rsidP="006505FA"/>
    <w:p w:rsidR="009B1E63" w:rsidRPr="009B1E63" w:rsidRDefault="005A1441">
      <w:pPr>
        <w:numPr>
          <w:ilvl w:val="0"/>
          <w:numId w:val="1"/>
        </w:numPr>
        <w:rPr>
          <w:u w:val="single"/>
        </w:rPr>
      </w:pPr>
      <w:r w:rsidRPr="009B1E63">
        <w:rPr>
          <w:b/>
          <w:u w:val="single"/>
        </w:rPr>
        <w:t xml:space="preserve">L'offre publique d'achat initiée par </w:t>
      </w:r>
      <w:r w:rsidR="001A2B07">
        <w:rPr>
          <w:b/>
          <w:u w:val="single"/>
        </w:rPr>
        <w:t>VESECUR</w:t>
      </w:r>
      <w:r w:rsidRPr="009B1E63">
        <w:rPr>
          <w:b/>
          <w:u w:val="single"/>
        </w:rPr>
        <w:t xml:space="preserve"> sur </w:t>
      </w:r>
      <w:r w:rsidR="001A2B07">
        <w:rPr>
          <w:b/>
          <w:u w:val="single"/>
        </w:rPr>
        <w:t>GRENELLE</w:t>
      </w:r>
      <w:r w:rsidRPr="009B1E63">
        <w:rPr>
          <w:b/>
          <w:u w:val="single"/>
        </w:rPr>
        <w:t xml:space="preserve"> est finalement arrêtée à 110 euros l'action</w:t>
      </w:r>
      <w:r w:rsidR="009B1E63" w:rsidRPr="009B1E63">
        <w:rPr>
          <w:u w:val="single"/>
        </w:rPr>
        <w:t>.</w:t>
      </w:r>
    </w:p>
    <w:p w:rsidR="009B1E63" w:rsidRDefault="009B1E63" w:rsidP="009B1E63"/>
    <w:p w:rsidR="005F377A" w:rsidRDefault="005F377A" w:rsidP="005F377A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Le prix de l’offre est-il cohérent par rapport aux valeurs déterminées par les différentes méthodes d’évaluation ?</w:t>
      </w:r>
    </w:p>
    <w:p w:rsidR="009B1E63" w:rsidRDefault="009B1E63" w:rsidP="009B1E63">
      <w:pPr>
        <w:ind w:left="360"/>
        <w:rPr>
          <w:b/>
        </w:rPr>
      </w:pPr>
    </w:p>
    <w:p w:rsidR="005A1441" w:rsidRDefault="005F377A" w:rsidP="00A75AEC">
      <w:pPr>
        <w:jc w:val="both"/>
      </w:pPr>
      <w:r>
        <w:t>Le cours de bourse de l’action GRENELLE</w:t>
      </w:r>
      <w:r w:rsidR="005A1441" w:rsidRPr="005A1441">
        <w:tab/>
      </w:r>
      <w:r>
        <w:t>(91</w:t>
      </w:r>
      <w:r w:rsidR="00A75AEC">
        <w:t xml:space="preserve"> </w:t>
      </w:r>
      <w:r>
        <w:t>€) est significativement supérieur à l’évaluation par les flux futurs (82</w:t>
      </w:r>
      <w:r w:rsidR="00A75AEC">
        <w:t xml:space="preserve"> </w:t>
      </w:r>
      <w:r>
        <w:t>€) ou par les comparables (72</w:t>
      </w:r>
      <w:r w:rsidR="00A75AEC">
        <w:t xml:space="preserve"> </w:t>
      </w:r>
      <w:r>
        <w:t>€ ou 77</w:t>
      </w:r>
      <w:r w:rsidR="00A75AEC">
        <w:t xml:space="preserve"> </w:t>
      </w:r>
      <w:r>
        <w:t>€). Il est nécessaire d’offrir aux actionnaires de GRENELLE une prime suffisante pour les inciter à accepter l’offre mais on peut s’interroger</w:t>
      </w:r>
      <w:r w:rsidR="00057859">
        <w:t xml:space="preserve"> sur ce prix (110</w:t>
      </w:r>
      <w:r w:rsidR="00A75AEC">
        <w:t xml:space="preserve"> </w:t>
      </w:r>
      <w:r w:rsidR="00057859">
        <w:t>€) peut-être un peu surévalué.</w:t>
      </w:r>
    </w:p>
    <w:p w:rsidR="00057859" w:rsidRDefault="00057859" w:rsidP="005F377A"/>
    <w:p w:rsidR="000B22EE" w:rsidRDefault="000B22EE" w:rsidP="005F377A"/>
    <w:p w:rsidR="00057859" w:rsidRDefault="00057859" w:rsidP="00057859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Sur la base des informations financières concernant VESECUR figurant dans l'annexe 4, i</w:t>
      </w:r>
      <w:r w:rsidRPr="000F30AD">
        <w:rPr>
          <w:b/>
        </w:rPr>
        <w:t>l est tout d’abord envisagé un mode de financement par augmentation de capital</w:t>
      </w:r>
      <w:r>
        <w:rPr>
          <w:b/>
        </w:rPr>
        <w:t>.</w:t>
      </w:r>
    </w:p>
    <w:p w:rsidR="00057859" w:rsidRPr="000F30AD" w:rsidRDefault="00057859" w:rsidP="00057859">
      <w:pPr>
        <w:jc w:val="both"/>
        <w:rPr>
          <w:b/>
        </w:rPr>
      </w:pPr>
    </w:p>
    <w:p w:rsidR="00057859" w:rsidRDefault="00057859" w:rsidP="000D44DB">
      <w:pPr>
        <w:ind w:left="1418" w:hanging="698"/>
        <w:jc w:val="both"/>
        <w:rPr>
          <w:b/>
        </w:rPr>
      </w:pPr>
      <w:r>
        <w:rPr>
          <w:b/>
        </w:rPr>
        <w:t>2.2.1. Déterminer</w:t>
      </w:r>
      <w:r w:rsidRPr="006D6B04">
        <w:rPr>
          <w:b/>
        </w:rPr>
        <w:t xml:space="preserve"> le montant de l'augmentation de capital à réaliser </w:t>
      </w:r>
      <w:r w:rsidR="00857619">
        <w:rPr>
          <w:b/>
        </w:rPr>
        <w:t xml:space="preserve">et le nombre d’actions à émettre </w:t>
      </w:r>
      <w:r w:rsidRPr="006D6B04">
        <w:rPr>
          <w:b/>
        </w:rPr>
        <w:t>compte tenu du cours de bourse actuel de VESECUR</w:t>
      </w:r>
      <w:r>
        <w:rPr>
          <w:b/>
        </w:rPr>
        <w:t> ?</w:t>
      </w:r>
    </w:p>
    <w:p w:rsidR="00057859" w:rsidRDefault="00057859" w:rsidP="00057859">
      <w:pPr>
        <w:ind w:left="720"/>
        <w:jc w:val="both"/>
        <w:rPr>
          <w:b/>
        </w:rPr>
      </w:pPr>
    </w:p>
    <w:p w:rsidR="00057859" w:rsidRDefault="00057859" w:rsidP="0061326A">
      <w:pPr>
        <w:jc w:val="both"/>
      </w:pPr>
      <w:r>
        <w:t>Cours de l'offre 110 € </w:t>
      </w:r>
    </w:p>
    <w:p w:rsidR="00057859" w:rsidRDefault="00057859" w:rsidP="0061326A">
      <w:pPr>
        <w:jc w:val="both"/>
      </w:pPr>
      <w:r>
        <w:t>N</w:t>
      </w:r>
      <w:r w:rsidRPr="00952A39">
        <w:t>ombre d'actions</w:t>
      </w:r>
      <w:r>
        <w:t xml:space="preserve"> à acquérir 7 76</w:t>
      </w:r>
      <w:r w:rsidR="008A7A2E">
        <w:t>4</w:t>
      </w:r>
      <w:r>
        <w:t xml:space="preserve"> </w:t>
      </w:r>
      <w:r w:rsidR="008A7A2E">
        <w:t>000</w:t>
      </w:r>
      <w:r>
        <w:t xml:space="preserve"> </w:t>
      </w:r>
    </w:p>
    <w:p w:rsidR="00057859" w:rsidRDefault="00057859" w:rsidP="0061326A">
      <w:pPr>
        <w:jc w:val="both"/>
      </w:pPr>
      <w:r>
        <w:t xml:space="preserve">soit </w:t>
      </w:r>
      <w:r w:rsidR="00857619">
        <w:t xml:space="preserve"> </w:t>
      </w:r>
      <w:r w:rsidRPr="00952A39">
        <w:t xml:space="preserve">Montant </w:t>
      </w:r>
      <w:r>
        <w:t>de l'augmentation de capital 110</w:t>
      </w:r>
      <w:r w:rsidRPr="00952A39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9" o:title=""/>
          </v:shape>
          <o:OLEObject Type="Embed" ProgID="Equation.3" ShapeID="_x0000_i1025" DrawAspect="Content" ObjectID="_1458238475" r:id="rId10"/>
        </w:object>
      </w:r>
      <w:r>
        <w:t>7 </w:t>
      </w:r>
      <w:r w:rsidR="008A7A2E">
        <w:t>764</w:t>
      </w:r>
      <w:r>
        <w:t xml:space="preserve"> </w:t>
      </w:r>
      <w:r w:rsidR="008A7A2E">
        <w:t>000</w:t>
      </w:r>
      <w:r>
        <w:t xml:space="preserve"> = 854 0</w:t>
      </w:r>
      <w:r w:rsidR="008A7A2E">
        <w:t>40</w:t>
      </w:r>
      <w:r w:rsidR="00857619">
        <w:t> </w:t>
      </w:r>
      <w:r w:rsidR="008A7A2E">
        <w:t>00</w:t>
      </w:r>
      <w:r>
        <w:t>0</w:t>
      </w:r>
    </w:p>
    <w:p w:rsidR="00857619" w:rsidRPr="0061326A" w:rsidRDefault="00857619" w:rsidP="00857619">
      <w:pPr>
        <w:rPr>
          <w:rStyle w:val="lev"/>
          <w:b w:val="0"/>
        </w:rPr>
      </w:pPr>
      <w:r w:rsidRPr="0061326A">
        <w:rPr>
          <w:rStyle w:val="lev"/>
          <w:b w:val="0"/>
        </w:rPr>
        <w:t>Nombre d'action VESECUR à émettre</w:t>
      </w:r>
      <w:r w:rsidRPr="0061326A">
        <w:rPr>
          <w:rStyle w:val="lev"/>
          <w:b w:val="0"/>
        </w:rPr>
        <w:tab/>
        <w:t xml:space="preserve"> 854 0</w:t>
      </w:r>
      <w:r>
        <w:rPr>
          <w:rStyle w:val="lev"/>
          <w:b w:val="0"/>
        </w:rPr>
        <w:t>40 00</w:t>
      </w:r>
      <w:r w:rsidRPr="0061326A">
        <w:rPr>
          <w:rStyle w:val="lev"/>
          <w:b w:val="0"/>
        </w:rPr>
        <w:t>0</w:t>
      </w:r>
      <w:r>
        <w:rPr>
          <w:rStyle w:val="lev"/>
          <w:b w:val="0"/>
        </w:rPr>
        <w:t xml:space="preserve"> / </w:t>
      </w:r>
      <w:r w:rsidRPr="0061326A">
        <w:rPr>
          <w:rStyle w:val="lev"/>
          <w:b w:val="0"/>
        </w:rPr>
        <w:t> 330 = 2 </w:t>
      </w:r>
      <w:r>
        <w:rPr>
          <w:rStyle w:val="lev"/>
          <w:b w:val="0"/>
        </w:rPr>
        <w:t>588</w:t>
      </w:r>
      <w:r w:rsidRPr="0061326A">
        <w:rPr>
          <w:rStyle w:val="lev"/>
          <w:b w:val="0"/>
        </w:rPr>
        <w:t xml:space="preserve"> </w:t>
      </w:r>
      <w:r>
        <w:rPr>
          <w:rStyle w:val="lev"/>
          <w:b w:val="0"/>
        </w:rPr>
        <w:t>000</w:t>
      </w:r>
      <w:r w:rsidRPr="0061326A">
        <w:rPr>
          <w:rStyle w:val="lev"/>
          <w:b w:val="0"/>
        </w:rPr>
        <w:t xml:space="preserve"> actions </w:t>
      </w:r>
    </w:p>
    <w:p w:rsidR="00057859" w:rsidRDefault="00057859" w:rsidP="00057859">
      <w:pPr>
        <w:jc w:val="both"/>
        <w:rPr>
          <w:b/>
        </w:rPr>
      </w:pPr>
    </w:p>
    <w:p w:rsidR="000B22EE" w:rsidRDefault="000B22EE" w:rsidP="00057859">
      <w:pPr>
        <w:jc w:val="both"/>
        <w:rPr>
          <w:b/>
        </w:rPr>
      </w:pPr>
    </w:p>
    <w:p w:rsidR="00057859" w:rsidRDefault="00057859" w:rsidP="000D44DB">
      <w:pPr>
        <w:ind w:left="1418" w:hanging="710"/>
        <w:jc w:val="both"/>
        <w:rPr>
          <w:b/>
        </w:rPr>
      </w:pPr>
      <w:r>
        <w:rPr>
          <w:b/>
        </w:rPr>
        <w:t>2.2.2. Quel serait l'effet en terme de contrôle pour les anciens a</w:t>
      </w:r>
      <w:r w:rsidRPr="006D6B04">
        <w:rPr>
          <w:b/>
        </w:rPr>
        <w:t>ctionnaires de VESECUR</w:t>
      </w:r>
      <w:r w:rsidR="00165B53">
        <w:rPr>
          <w:b/>
        </w:rPr>
        <w:t xml:space="preserve"> </w:t>
      </w:r>
      <w:r w:rsidRPr="006D6B04">
        <w:rPr>
          <w:b/>
        </w:rPr>
        <w:t>?</w:t>
      </w:r>
    </w:p>
    <w:p w:rsidR="0061326A" w:rsidRPr="006D6B04" w:rsidRDefault="0061326A" w:rsidP="00057859">
      <w:pPr>
        <w:ind w:firstLine="708"/>
        <w:jc w:val="both"/>
        <w:rPr>
          <w:b/>
        </w:rPr>
      </w:pPr>
    </w:p>
    <w:p w:rsidR="0061326A" w:rsidRPr="0061326A" w:rsidRDefault="008A7A2E" w:rsidP="0061326A">
      <w:pPr>
        <w:rPr>
          <w:rStyle w:val="lev"/>
          <w:b w:val="0"/>
        </w:rPr>
      </w:pPr>
      <w:r>
        <w:rPr>
          <w:rStyle w:val="lev"/>
          <w:b w:val="0"/>
        </w:rPr>
        <w:t xml:space="preserve">Nombre d'actions </w:t>
      </w:r>
      <w:r w:rsidR="0061326A" w:rsidRPr="0061326A">
        <w:rPr>
          <w:rStyle w:val="lev"/>
          <w:b w:val="0"/>
        </w:rPr>
        <w:t xml:space="preserve">avant augmentation de capital  8 324 </w:t>
      </w:r>
      <w:r w:rsidR="0061326A">
        <w:rPr>
          <w:rStyle w:val="lev"/>
          <w:b w:val="0"/>
        </w:rPr>
        <w:t>567</w:t>
      </w:r>
      <w:r w:rsidR="0061326A">
        <w:rPr>
          <w:rStyle w:val="lev"/>
          <w:b w:val="0"/>
        </w:rPr>
        <w:tab/>
      </w:r>
      <w:r w:rsidR="0061326A">
        <w:rPr>
          <w:rStyle w:val="lev"/>
          <w:b w:val="0"/>
        </w:rPr>
        <w:tab/>
      </w:r>
      <w:r w:rsidR="0061326A">
        <w:rPr>
          <w:rStyle w:val="lev"/>
          <w:b w:val="0"/>
        </w:rPr>
        <w:tab/>
      </w:r>
      <w:r w:rsidR="0061326A">
        <w:rPr>
          <w:rStyle w:val="lev"/>
          <w:b w:val="0"/>
        </w:rPr>
        <w:tab/>
      </w:r>
    </w:p>
    <w:p w:rsidR="0061326A" w:rsidRPr="0061326A" w:rsidRDefault="0061326A" w:rsidP="0061326A">
      <w:pPr>
        <w:rPr>
          <w:rStyle w:val="lev"/>
          <w:b w:val="0"/>
        </w:rPr>
      </w:pPr>
      <w:r w:rsidRPr="0061326A">
        <w:rPr>
          <w:rStyle w:val="lev"/>
          <w:b w:val="0"/>
        </w:rPr>
        <w:t xml:space="preserve">Nombre d'actions après augmentation de capital  8 324 567+2 </w:t>
      </w:r>
      <w:r w:rsidR="008A7A2E">
        <w:rPr>
          <w:rStyle w:val="lev"/>
          <w:b w:val="0"/>
        </w:rPr>
        <w:t>588</w:t>
      </w:r>
      <w:r w:rsidRPr="0061326A">
        <w:rPr>
          <w:rStyle w:val="lev"/>
          <w:b w:val="0"/>
        </w:rPr>
        <w:t> </w:t>
      </w:r>
      <w:r w:rsidR="008A7A2E">
        <w:rPr>
          <w:rStyle w:val="lev"/>
          <w:b w:val="0"/>
        </w:rPr>
        <w:t>000</w:t>
      </w:r>
      <w:r w:rsidRPr="0061326A">
        <w:rPr>
          <w:rStyle w:val="lev"/>
          <w:b w:val="0"/>
        </w:rPr>
        <w:t xml:space="preserve"> =10 9</w:t>
      </w:r>
      <w:r>
        <w:rPr>
          <w:rStyle w:val="lev"/>
          <w:b w:val="0"/>
        </w:rPr>
        <w:t>12</w:t>
      </w:r>
      <w:r w:rsidRPr="0061326A">
        <w:rPr>
          <w:rStyle w:val="lev"/>
          <w:b w:val="0"/>
        </w:rPr>
        <w:t xml:space="preserve"> </w:t>
      </w:r>
      <w:r>
        <w:rPr>
          <w:rStyle w:val="lev"/>
          <w:b w:val="0"/>
        </w:rPr>
        <w:t>5</w:t>
      </w:r>
      <w:r w:rsidR="008A7A2E">
        <w:rPr>
          <w:rStyle w:val="lev"/>
          <w:b w:val="0"/>
        </w:rPr>
        <w:t>67</w:t>
      </w:r>
      <w:r w:rsidRPr="0061326A">
        <w:rPr>
          <w:rStyle w:val="lev"/>
          <w:b w:val="0"/>
        </w:rPr>
        <w:t xml:space="preserve"> </w:t>
      </w:r>
      <w:r w:rsidRPr="0061326A">
        <w:rPr>
          <w:rStyle w:val="lev"/>
          <w:b w:val="0"/>
        </w:rPr>
        <w:tab/>
      </w:r>
    </w:p>
    <w:p w:rsidR="00057859" w:rsidRDefault="00057859" w:rsidP="0061326A">
      <w:pPr>
        <w:jc w:val="both"/>
        <w:outlineLvl w:val="0"/>
        <w:rPr>
          <w:b/>
        </w:rPr>
      </w:pPr>
    </w:p>
    <w:p w:rsidR="0061326A" w:rsidRDefault="0061326A" w:rsidP="0061326A">
      <w:pPr>
        <w:jc w:val="both"/>
        <w:outlineLvl w:val="0"/>
      </w:pPr>
      <w:r w:rsidRPr="0061326A">
        <w:t xml:space="preserve">Part des anciens actionnaires dans le nouveau capital : </w:t>
      </w:r>
      <w:r>
        <w:t>8 324 567 / 10 912 5</w:t>
      </w:r>
      <w:r w:rsidR="008A7A2E">
        <w:t>67</w:t>
      </w:r>
      <w:r>
        <w:t xml:space="preserve"> = 76,28%</w:t>
      </w:r>
    </w:p>
    <w:p w:rsidR="0061326A" w:rsidRDefault="0061326A" w:rsidP="0061326A">
      <w:pPr>
        <w:jc w:val="both"/>
        <w:outlineLvl w:val="0"/>
      </w:pPr>
    </w:p>
    <w:p w:rsidR="0061326A" w:rsidRDefault="0061326A" w:rsidP="0061326A">
      <w:pPr>
        <w:jc w:val="both"/>
        <w:outlineLvl w:val="0"/>
      </w:pPr>
      <w:r>
        <w:t>Les anciens actionnaires conservent le contrôle exclusif de VESECUR et les nouveaux actionnaires ne disposent pas de minorité de blocage.</w:t>
      </w:r>
    </w:p>
    <w:p w:rsidR="00D262D8" w:rsidRDefault="00D262D8" w:rsidP="0061326A">
      <w:pPr>
        <w:jc w:val="both"/>
        <w:outlineLvl w:val="0"/>
      </w:pPr>
    </w:p>
    <w:p w:rsidR="00D262D8" w:rsidRPr="0061326A" w:rsidRDefault="00D262D8" w:rsidP="0061326A">
      <w:pPr>
        <w:jc w:val="both"/>
        <w:outlineLvl w:val="0"/>
      </w:pPr>
    </w:p>
    <w:p w:rsidR="00057859" w:rsidRDefault="00A75AEC" w:rsidP="00057859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br w:type="page"/>
      </w:r>
      <w:r w:rsidR="00057859">
        <w:rPr>
          <w:b/>
        </w:rPr>
        <w:lastRenderedPageBreak/>
        <w:t>Le financement de l'opération est assuré par l'émission d'un emprunt obligataire coté avec bons de souscription d'actions (OBSA) dont les caractéristiques figurent en annexe 5 :</w:t>
      </w:r>
    </w:p>
    <w:p w:rsidR="00057859" w:rsidRDefault="00057859" w:rsidP="00057859">
      <w:pPr>
        <w:jc w:val="both"/>
        <w:rPr>
          <w:b/>
        </w:rPr>
      </w:pPr>
    </w:p>
    <w:p w:rsidR="00057859" w:rsidRDefault="00057859" w:rsidP="00057859">
      <w:pPr>
        <w:numPr>
          <w:ilvl w:val="2"/>
          <w:numId w:val="1"/>
        </w:numPr>
        <w:ind w:left="1225" w:hanging="505"/>
        <w:jc w:val="both"/>
        <w:rPr>
          <w:b/>
        </w:rPr>
      </w:pPr>
      <w:r>
        <w:rPr>
          <w:b/>
        </w:rPr>
        <w:t>D</w:t>
      </w:r>
      <w:r w:rsidRPr="00D35D3E">
        <w:rPr>
          <w:b/>
        </w:rPr>
        <w:t xml:space="preserve">éterminer le </w:t>
      </w:r>
      <w:r w:rsidR="0061326A">
        <w:rPr>
          <w:b/>
        </w:rPr>
        <w:t>nombre d’obligations à émettre</w:t>
      </w:r>
      <w:r>
        <w:rPr>
          <w:b/>
        </w:rPr>
        <w:t>.</w:t>
      </w:r>
    </w:p>
    <w:p w:rsidR="0061326A" w:rsidRDefault="0061326A" w:rsidP="0061326A">
      <w:pPr>
        <w:jc w:val="both"/>
        <w:rPr>
          <w:b/>
        </w:rPr>
      </w:pPr>
    </w:p>
    <w:p w:rsidR="008A7A2E" w:rsidRDefault="0061326A" w:rsidP="0061326A">
      <w:pPr>
        <w:jc w:val="both"/>
      </w:pPr>
      <w:r>
        <w:t>Compte tenu de la prime d'émission de</w:t>
      </w:r>
      <w:r w:rsidR="00F256A2">
        <w:t xml:space="preserve"> 4</w:t>
      </w:r>
      <w:r>
        <w:t xml:space="preserve"> € par titre il conviendra d'émettre</w:t>
      </w:r>
      <w:r w:rsidR="008A7A2E">
        <w:t> :</w:t>
      </w:r>
    </w:p>
    <w:p w:rsidR="0061326A" w:rsidRPr="008A7A2E" w:rsidRDefault="0061326A" w:rsidP="0061326A">
      <w:pPr>
        <w:jc w:val="both"/>
      </w:pPr>
      <w:r>
        <w:t>854 0</w:t>
      </w:r>
      <w:r w:rsidR="008A7A2E">
        <w:t>40 00</w:t>
      </w:r>
      <w:r>
        <w:t>0</w:t>
      </w:r>
      <w:r w:rsidR="008A7A2E">
        <w:t xml:space="preserve"> </w:t>
      </w:r>
      <w:r>
        <w:t>/</w:t>
      </w:r>
      <w:r w:rsidR="008A7A2E">
        <w:t xml:space="preserve"> 96 = </w:t>
      </w:r>
      <w:r>
        <w:t xml:space="preserve">8 </w:t>
      </w:r>
      <w:r w:rsidR="008A7A2E">
        <w:t>896</w:t>
      </w:r>
      <w:r>
        <w:t xml:space="preserve"> </w:t>
      </w:r>
      <w:r w:rsidR="008A7A2E">
        <w:t>250</w:t>
      </w:r>
      <w:r>
        <w:t xml:space="preserve"> obligations </w:t>
      </w:r>
      <w:r w:rsidR="00D262D8">
        <w:t xml:space="preserve"> </w:t>
      </w:r>
      <w:r>
        <w:t>correspondant</w:t>
      </w:r>
      <w:r w:rsidR="00D262D8">
        <w:t xml:space="preserve"> </w:t>
      </w:r>
      <w:r>
        <w:t xml:space="preserve"> à </w:t>
      </w:r>
      <w:r w:rsidR="00D262D8">
        <w:t xml:space="preserve"> </w:t>
      </w:r>
      <w:r>
        <w:t xml:space="preserve">un emprunt </w:t>
      </w:r>
      <w:r w:rsidR="00D262D8">
        <w:t xml:space="preserve"> </w:t>
      </w:r>
      <w:r>
        <w:t xml:space="preserve">obligataire </w:t>
      </w:r>
      <w:r w:rsidR="00D262D8">
        <w:t xml:space="preserve"> </w:t>
      </w:r>
      <w:r>
        <w:t xml:space="preserve">au </w:t>
      </w:r>
      <w:r w:rsidR="00D262D8">
        <w:t xml:space="preserve"> </w:t>
      </w:r>
      <w:r>
        <w:t>nominal de</w:t>
      </w:r>
      <w:r w:rsidR="008A7A2E">
        <w:t xml:space="preserve"> </w:t>
      </w:r>
      <w:r w:rsidR="008A7A2E">
        <w:rPr>
          <w:b/>
        </w:rPr>
        <w:t>889 625 000</w:t>
      </w:r>
      <w:r w:rsidRPr="00071E8C">
        <w:rPr>
          <w:b/>
        </w:rPr>
        <w:t xml:space="preserve"> € </w:t>
      </w:r>
    </w:p>
    <w:p w:rsidR="0061326A" w:rsidRDefault="0061326A" w:rsidP="0061326A">
      <w:pPr>
        <w:jc w:val="both"/>
        <w:rPr>
          <w:b/>
        </w:rPr>
      </w:pPr>
    </w:p>
    <w:p w:rsidR="000B22EE" w:rsidRDefault="000B22EE" w:rsidP="0061326A">
      <w:pPr>
        <w:jc w:val="both"/>
        <w:rPr>
          <w:b/>
        </w:rPr>
      </w:pPr>
    </w:p>
    <w:p w:rsidR="00057859" w:rsidRDefault="00057859" w:rsidP="00A75AEC">
      <w:pPr>
        <w:numPr>
          <w:ilvl w:val="2"/>
          <w:numId w:val="1"/>
        </w:numPr>
        <w:ind w:left="1418" w:hanging="698"/>
        <w:jc w:val="both"/>
        <w:rPr>
          <w:b/>
        </w:rPr>
      </w:pPr>
      <w:r>
        <w:rPr>
          <w:b/>
        </w:rPr>
        <w:t xml:space="preserve">Calculer les flux de trésorerie disponibles </w:t>
      </w:r>
      <w:r w:rsidRPr="0073396E">
        <w:rPr>
          <w:b/>
        </w:rPr>
        <w:t>de la société VESECUR</w:t>
      </w:r>
      <w:r>
        <w:rPr>
          <w:b/>
        </w:rPr>
        <w:t xml:space="preserve"> après prise en compte du remboursement des dettes financières au 31/12/2011, des dividendes reçus de ses titres GRENELLE et des dividendes versés pour la période 2012-2017 (annexes 4 et 6)</w:t>
      </w:r>
      <w:r w:rsidRPr="0073396E">
        <w:rPr>
          <w:b/>
        </w:rPr>
        <w:t>.</w:t>
      </w:r>
    </w:p>
    <w:p w:rsidR="00057859" w:rsidRDefault="00057859" w:rsidP="00057859">
      <w:pPr>
        <w:jc w:val="both"/>
        <w:rPr>
          <w:b/>
        </w:rPr>
      </w:pPr>
    </w:p>
    <w:p w:rsidR="000B22EE" w:rsidRDefault="000B22EE" w:rsidP="0005785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55"/>
        <w:gridCol w:w="1453"/>
        <w:gridCol w:w="1455"/>
        <w:gridCol w:w="1455"/>
        <w:gridCol w:w="1616"/>
        <w:gridCol w:w="1417"/>
      </w:tblGrid>
      <w:tr w:rsidR="00F256A2" w:rsidRPr="00EB243D" w:rsidTr="00D262D8">
        <w:trPr>
          <w:trHeight w:val="241"/>
        </w:trPr>
        <w:tc>
          <w:tcPr>
            <w:tcW w:w="821" w:type="pct"/>
          </w:tcPr>
          <w:p w:rsidR="00F256A2" w:rsidRPr="009107EC" w:rsidRDefault="00F256A2" w:rsidP="00A8553C">
            <w:pPr>
              <w:jc w:val="center"/>
            </w:pPr>
            <w:r w:rsidRPr="009107EC">
              <w:t>En M€</w:t>
            </w:r>
          </w:p>
        </w:tc>
        <w:tc>
          <w:tcPr>
            <w:tcW w:w="687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6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87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687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63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669" w:type="pct"/>
            <w:vAlign w:val="bottom"/>
          </w:tcPr>
          <w:p w:rsidR="00F256A2" w:rsidRPr="009107EC" w:rsidRDefault="00F256A2" w:rsidP="00A85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F256A2" w:rsidRPr="00665D14" w:rsidTr="00D262D8">
        <w:trPr>
          <w:trHeight w:val="737"/>
        </w:trPr>
        <w:tc>
          <w:tcPr>
            <w:tcW w:w="821" w:type="pct"/>
            <w:vAlign w:val="center"/>
          </w:tcPr>
          <w:p w:rsidR="00F256A2" w:rsidRPr="00665D14" w:rsidRDefault="00F256A2" w:rsidP="00574FF1">
            <w:pPr>
              <w:jc w:val="center"/>
            </w:pPr>
            <w:r>
              <w:t>CA 2011 : 1200</w:t>
            </w:r>
          </w:p>
        </w:tc>
        <w:tc>
          <w:tcPr>
            <w:tcW w:w="687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1298</w:t>
            </w:r>
          </w:p>
        </w:tc>
        <w:tc>
          <w:tcPr>
            <w:tcW w:w="686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1405</w:t>
            </w:r>
          </w:p>
        </w:tc>
        <w:tc>
          <w:tcPr>
            <w:tcW w:w="687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1520</w:t>
            </w:r>
          </w:p>
        </w:tc>
        <w:tc>
          <w:tcPr>
            <w:tcW w:w="687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1645</w:t>
            </w:r>
          </w:p>
        </w:tc>
        <w:tc>
          <w:tcPr>
            <w:tcW w:w="763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1780</w:t>
            </w:r>
          </w:p>
        </w:tc>
        <w:tc>
          <w:tcPr>
            <w:tcW w:w="669" w:type="pct"/>
            <w:vAlign w:val="center"/>
          </w:tcPr>
          <w:p w:rsidR="00F256A2" w:rsidRPr="00665D14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1926</w:t>
            </w:r>
          </w:p>
        </w:tc>
      </w:tr>
    </w:tbl>
    <w:p w:rsidR="006F5890" w:rsidRDefault="006F5890" w:rsidP="00057859">
      <w:pPr>
        <w:jc w:val="both"/>
        <w:rPr>
          <w:b/>
        </w:rPr>
      </w:pPr>
    </w:p>
    <w:p w:rsidR="000B22EE" w:rsidRDefault="000B22EE" w:rsidP="0005785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370"/>
        <w:gridCol w:w="1487"/>
        <w:gridCol w:w="1489"/>
        <w:gridCol w:w="1489"/>
        <w:gridCol w:w="1559"/>
        <w:gridCol w:w="1415"/>
      </w:tblGrid>
      <w:tr w:rsidR="006F5890" w:rsidRPr="00D573F0" w:rsidTr="00D262D8">
        <w:trPr>
          <w:trHeight w:val="241"/>
        </w:trPr>
        <w:tc>
          <w:tcPr>
            <w:tcW w:w="841" w:type="pct"/>
          </w:tcPr>
          <w:p w:rsidR="00F256A2" w:rsidRPr="009107EC" w:rsidRDefault="00F256A2" w:rsidP="00A8553C">
            <w:pPr>
              <w:jc w:val="center"/>
            </w:pPr>
            <w:r w:rsidRPr="009107EC">
              <w:t>En M€</w:t>
            </w:r>
          </w:p>
        </w:tc>
        <w:tc>
          <w:tcPr>
            <w:tcW w:w="647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2012</w:t>
            </w:r>
          </w:p>
        </w:tc>
        <w:tc>
          <w:tcPr>
            <w:tcW w:w="702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2013</w:t>
            </w:r>
          </w:p>
        </w:tc>
        <w:tc>
          <w:tcPr>
            <w:tcW w:w="703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2014</w:t>
            </w:r>
          </w:p>
        </w:tc>
        <w:tc>
          <w:tcPr>
            <w:tcW w:w="703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2015</w:t>
            </w:r>
          </w:p>
        </w:tc>
        <w:tc>
          <w:tcPr>
            <w:tcW w:w="736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2016</w:t>
            </w:r>
          </w:p>
        </w:tc>
        <w:tc>
          <w:tcPr>
            <w:tcW w:w="669" w:type="pct"/>
          </w:tcPr>
          <w:p w:rsidR="00F256A2" w:rsidRPr="00D573F0" w:rsidRDefault="00F256A2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2017</w:t>
            </w:r>
          </w:p>
        </w:tc>
      </w:tr>
      <w:tr w:rsidR="006F5890" w:rsidRPr="00D573F0" w:rsidTr="00D262D8">
        <w:trPr>
          <w:trHeight w:val="737"/>
        </w:trPr>
        <w:tc>
          <w:tcPr>
            <w:tcW w:w="841" w:type="pct"/>
            <w:vAlign w:val="center"/>
          </w:tcPr>
          <w:p w:rsidR="00F256A2" w:rsidRPr="009107EC" w:rsidRDefault="00F256A2" w:rsidP="00574FF1">
            <w:pPr>
              <w:jc w:val="center"/>
            </w:pPr>
            <w:r w:rsidRPr="009107EC">
              <w:t xml:space="preserve">Flux de trésorerie </w:t>
            </w:r>
            <w:r>
              <w:t>annexe 4</w:t>
            </w:r>
          </w:p>
        </w:tc>
        <w:tc>
          <w:tcPr>
            <w:tcW w:w="647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96</w:t>
            </w:r>
          </w:p>
        </w:tc>
        <w:tc>
          <w:tcPr>
            <w:tcW w:w="702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108</w:t>
            </w:r>
          </w:p>
        </w:tc>
        <w:tc>
          <w:tcPr>
            <w:tcW w:w="703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132</w:t>
            </w:r>
          </w:p>
        </w:tc>
        <w:tc>
          <w:tcPr>
            <w:tcW w:w="703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149</w:t>
            </w:r>
          </w:p>
        </w:tc>
        <w:tc>
          <w:tcPr>
            <w:tcW w:w="736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138</w:t>
            </w:r>
          </w:p>
        </w:tc>
        <w:tc>
          <w:tcPr>
            <w:tcW w:w="669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166</w:t>
            </w:r>
          </w:p>
        </w:tc>
      </w:tr>
      <w:tr w:rsidR="002E6B88" w:rsidRPr="00D573F0" w:rsidTr="00D262D8">
        <w:trPr>
          <w:trHeight w:val="737"/>
        </w:trPr>
        <w:tc>
          <w:tcPr>
            <w:tcW w:w="841" w:type="pct"/>
            <w:vAlign w:val="center"/>
          </w:tcPr>
          <w:p w:rsidR="002E6B88" w:rsidRDefault="002E6B88" w:rsidP="00574FF1">
            <w:pPr>
              <w:jc w:val="center"/>
            </w:pPr>
            <w:r>
              <w:t>-Dividendes</w:t>
            </w:r>
          </w:p>
          <w:p w:rsidR="002E6B88" w:rsidRPr="009107EC" w:rsidRDefault="002E6B88" w:rsidP="00574FF1">
            <w:pPr>
              <w:jc w:val="center"/>
            </w:pPr>
            <w:r>
              <w:t>VESECUR</w:t>
            </w:r>
          </w:p>
        </w:tc>
        <w:tc>
          <w:tcPr>
            <w:tcW w:w="647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  <w:tc>
          <w:tcPr>
            <w:tcW w:w="702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  <w:tc>
          <w:tcPr>
            <w:tcW w:w="703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  <w:tc>
          <w:tcPr>
            <w:tcW w:w="703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  <w:tc>
          <w:tcPr>
            <w:tcW w:w="736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  <w:tc>
          <w:tcPr>
            <w:tcW w:w="669" w:type="pct"/>
            <w:vAlign w:val="center"/>
          </w:tcPr>
          <w:p w:rsidR="002E6B88" w:rsidRPr="00D573F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-33</w:t>
            </w:r>
          </w:p>
        </w:tc>
      </w:tr>
      <w:tr w:rsidR="006F5890" w:rsidRPr="00D573F0" w:rsidTr="00D262D8">
        <w:trPr>
          <w:trHeight w:val="737"/>
        </w:trPr>
        <w:tc>
          <w:tcPr>
            <w:tcW w:w="841" w:type="pct"/>
            <w:vAlign w:val="center"/>
          </w:tcPr>
          <w:p w:rsidR="00F256A2" w:rsidRPr="009107EC" w:rsidRDefault="00F256A2" w:rsidP="00574FF1">
            <w:pPr>
              <w:jc w:val="center"/>
            </w:pPr>
            <w:r>
              <w:t>+Dividendes GRENELLE</w:t>
            </w:r>
          </w:p>
        </w:tc>
        <w:tc>
          <w:tcPr>
            <w:tcW w:w="647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2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3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32</w:t>
            </w:r>
          </w:p>
        </w:tc>
        <w:tc>
          <w:tcPr>
            <w:tcW w:w="703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36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 w:rsidRPr="00D573F0">
              <w:rPr>
                <w:bCs/>
              </w:rPr>
              <w:t>38</w:t>
            </w:r>
          </w:p>
        </w:tc>
        <w:tc>
          <w:tcPr>
            <w:tcW w:w="669" w:type="pct"/>
            <w:vAlign w:val="center"/>
          </w:tcPr>
          <w:p w:rsidR="00F256A2" w:rsidRPr="00D573F0" w:rsidRDefault="00F256A2" w:rsidP="00A8553C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6F5890" w:rsidRPr="00D573F0" w:rsidTr="00D262D8">
        <w:trPr>
          <w:trHeight w:val="737"/>
        </w:trPr>
        <w:tc>
          <w:tcPr>
            <w:tcW w:w="841" w:type="pct"/>
            <w:vAlign w:val="center"/>
          </w:tcPr>
          <w:p w:rsidR="00F256A2" w:rsidRPr="009107EC" w:rsidRDefault="006F5890" w:rsidP="00574FF1">
            <w:pPr>
              <w:jc w:val="center"/>
            </w:pPr>
            <w:r>
              <w:t>+</w:t>
            </w:r>
            <w:r w:rsidR="00F256A2">
              <w:t>Effets de synergie</w:t>
            </w:r>
            <w:r>
              <w:t xml:space="preserve"> (1 puis 2%</w:t>
            </w:r>
            <w:r w:rsidR="00A46973">
              <w:t xml:space="preserve"> </w:t>
            </w:r>
            <w:r>
              <w:t>CA)</w:t>
            </w:r>
          </w:p>
        </w:tc>
        <w:tc>
          <w:tcPr>
            <w:tcW w:w="647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36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69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F256A2" w:rsidRPr="00D573F0" w:rsidTr="00D262D8">
        <w:trPr>
          <w:trHeight w:val="737"/>
        </w:trPr>
        <w:tc>
          <w:tcPr>
            <w:tcW w:w="841" w:type="pct"/>
            <w:vAlign w:val="center"/>
          </w:tcPr>
          <w:p w:rsidR="00F256A2" w:rsidRPr="00A8553C" w:rsidRDefault="006F5890" w:rsidP="00574FF1">
            <w:pPr>
              <w:pStyle w:val="Sous-titre"/>
              <w:rPr>
                <w:rStyle w:val="lev"/>
                <w:b w:val="0"/>
              </w:rPr>
            </w:pPr>
            <w:r w:rsidRPr="00A8553C">
              <w:rPr>
                <w:rStyle w:val="lev"/>
                <w:b w:val="0"/>
              </w:rPr>
              <w:t>-Amort DF</w:t>
            </w:r>
          </w:p>
          <w:p w:rsidR="006F5890" w:rsidRPr="006F5890" w:rsidRDefault="006F5890" w:rsidP="00574FF1">
            <w:pPr>
              <w:jc w:val="center"/>
            </w:pPr>
            <w:r>
              <w:t>258/6</w:t>
            </w:r>
          </w:p>
        </w:tc>
        <w:tc>
          <w:tcPr>
            <w:tcW w:w="647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  <w:tc>
          <w:tcPr>
            <w:tcW w:w="702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  <w:tc>
          <w:tcPr>
            <w:tcW w:w="736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  <w:tc>
          <w:tcPr>
            <w:tcW w:w="669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</w:tr>
      <w:tr w:rsidR="00F256A2" w:rsidRPr="00D573F0" w:rsidTr="00D262D8">
        <w:trPr>
          <w:trHeight w:val="737"/>
        </w:trPr>
        <w:tc>
          <w:tcPr>
            <w:tcW w:w="841" w:type="pct"/>
            <w:vAlign w:val="center"/>
          </w:tcPr>
          <w:p w:rsidR="00F256A2" w:rsidRPr="009107EC" w:rsidRDefault="006F5890" w:rsidP="00574FF1">
            <w:pPr>
              <w:jc w:val="center"/>
            </w:pPr>
            <w:r>
              <w:t>-Intérêts nets d’IS (4%)</w:t>
            </w:r>
          </w:p>
        </w:tc>
        <w:tc>
          <w:tcPr>
            <w:tcW w:w="647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702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-9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  <w:tc>
          <w:tcPr>
            <w:tcW w:w="703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736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  <w:tc>
          <w:tcPr>
            <w:tcW w:w="669" w:type="pct"/>
            <w:vAlign w:val="center"/>
          </w:tcPr>
          <w:p w:rsidR="00F256A2" w:rsidRPr="00D573F0" w:rsidRDefault="006F5890" w:rsidP="00A8553C">
            <w:pPr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6F5890" w:rsidRPr="00D573F0" w:rsidTr="00D262D8">
        <w:trPr>
          <w:trHeight w:val="737"/>
        </w:trPr>
        <w:tc>
          <w:tcPr>
            <w:tcW w:w="841" w:type="pct"/>
            <w:vAlign w:val="center"/>
          </w:tcPr>
          <w:p w:rsidR="006F5890" w:rsidRDefault="006F5890" w:rsidP="00574FF1">
            <w:pPr>
              <w:jc w:val="center"/>
            </w:pPr>
            <w:r>
              <w:t>Flux disponibles</w:t>
            </w:r>
          </w:p>
        </w:tc>
        <w:tc>
          <w:tcPr>
            <w:tcW w:w="647" w:type="pct"/>
            <w:vAlign w:val="center"/>
          </w:tcPr>
          <w:p w:rsidR="006F589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02" w:type="pct"/>
            <w:vAlign w:val="center"/>
          </w:tcPr>
          <w:p w:rsidR="006F5890" w:rsidRDefault="002E6B88" w:rsidP="00A8553C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703" w:type="pct"/>
            <w:vAlign w:val="center"/>
          </w:tcPr>
          <w:p w:rsidR="006F5890" w:rsidRDefault="00857619" w:rsidP="002E6B88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703" w:type="pct"/>
            <w:vAlign w:val="center"/>
          </w:tcPr>
          <w:p w:rsidR="006F5890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E6B88">
              <w:rPr>
                <w:bCs/>
              </w:rPr>
              <w:t>36</w:t>
            </w:r>
          </w:p>
        </w:tc>
        <w:tc>
          <w:tcPr>
            <w:tcW w:w="736" w:type="pct"/>
            <w:vAlign w:val="center"/>
          </w:tcPr>
          <w:p w:rsidR="006F5890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E6B88">
              <w:rPr>
                <w:bCs/>
              </w:rPr>
              <w:t>33</w:t>
            </w:r>
          </w:p>
        </w:tc>
        <w:tc>
          <w:tcPr>
            <w:tcW w:w="669" w:type="pct"/>
            <w:vAlign w:val="center"/>
          </w:tcPr>
          <w:p w:rsidR="006F5890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E6B88">
              <w:rPr>
                <w:bCs/>
              </w:rPr>
              <w:t>65</w:t>
            </w:r>
          </w:p>
        </w:tc>
      </w:tr>
    </w:tbl>
    <w:p w:rsidR="00F256A2" w:rsidRDefault="00F256A2" w:rsidP="00057859">
      <w:pPr>
        <w:jc w:val="both"/>
        <w:rPr>
          <w:b/>
        </w:rPr>
      </w:pPr>
    </w:p>
    <w:p w:rsidR="00F256A2" w:rsidRDefault="00F256A2" w:rsidP="00057859">
      <w:pPr>
        <w:jc w:val="both"/>
        <w:rPr>
          <w:b/>
        </w:rPr>
      </w:pPr>
    </w:p>
    <w:p w:rsidR="004E4156" w:rsidRDefault="004E4156" w:rsidP="00057859">
      <w:pPr>
        <w:jc w:val="both"/>
        <w:rPr>
          <w:b/>
        </w:rPr>
      </w:pPr>
    </w:p>
    <w:p w:rsidR="001D4CC7" w:rsidRDefault="001D4CC7" w:rsidP="00057859">
      <w:pPr>
        <w:jc w:val="both"/>
        <w:rPr>
          <w:b/>
        </w:rPr>
      </w:pPr>
    </w:p>
    <w:p w:rsidR="004E4156" w:rsidRDefault="004E4156" w:rsidP="00057859">
      <w:pPr>
        <w:jc w:val="both"/>
        <w:rPr>
          <w:b/>
        </w:rPr>
      </w:pPr>
    </w:p>
    <w:p w:rsidR="004E4156" w:rsidRDefault="004E4156" w:rsidP="00057859">
      <w:pPr>
        <w:jc w:val="both"/>
        <w:rPr>
          <w:b/>
        </w:rPr>
      </w:pPr>
    </w:p>
    <w:p w:rsidR="00057859" w:rsidRDefault="004903B5" w:rsidP="000D44DB">
      <w:pPr>
        <w:numPr>
          <w:ilvl w:val="2"/>
          <w:numId w:val="1"/>
        </w:numPr>
        <w:ind w:left="1560" w:hanging="840"/>
        <w:jc w:val="both"/>
        <w:rPr>
          <w:b/>
        </w:rPr>
      </w:pPr>
      <w:r>
        <w:rPr>
          <w:b/>
        </w:rPr>
        <w:br w:type="page"/>
      </w:r>
      <w:r w:rsidR="000D44DB">
        <w:rPr>
          <w:b/>
        </w:rPr>
        <w:lastRenderedPageBreak/>
        <w:t xml:space="preserve"> </w:t>
      </w:r>
      <w:r w:rsidR="00057859">
        <w:rPr>
          <w:b/>
        </w:rPr>
        <w:t>A</w:t>
      </w:r>
      <w:r w:rsidR="00057859" w:rsidRPr="0073396E">
        <w:rPr>
          <w:b/>
        </w:rPr>
        <w:t xml:space="preserve">nalyser l'impact du service de la dette obligataire sur </w:t>
      </w:r>
      <w:r w:rsidR="00057859">
        <w:rPr>
          <w:b/>
        </w:rPr>
        <w:t>la trésorerie de VESECUR</w:t>
      </w:r>
      <w:r w:rsidR="002E6B88">
        <w:rPr>
          <w:b/>
        </w:rPr>
        <w:t xml:space="preserve"> et sur son endettement</w:t>
      </w:r>
      <w:r w:rsidR="00057859" w:rsidRPr="0073396E">
        <w:rPr>
          <w:b/>
        </w:rPr>
        <w:t>.</w:t>
      </w:r>
      <w:r w:rsidR="00057859" w:rsidRPr="0073396E">
        <w:rPr>
          <w:b/>
        </w:rPr>
        <w:tab/>
      </w:r>
    </w:p>
    <w:p w:rsidR="00057859" w:rsidRDefault="00057859" w:rsidP="0005785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485"/>
        <w:gridCol w:w="1487"/>
        <w:gridCol w:w="1489"/>
        <w:gridCol w:w="1489"/>
        <w:gridCol w:w="1489"/>
        <w:gridCol w:w="1487"/>
      </w:tblGrid>
      <w:tr w:rsidR="004E4156" w:rsidRPr="00D573F0" w:rsidTr="00D262D8">
        <w:trPr>
          <w:trHeight w:val="241"/>
        </w:trPr>
        <w:tc>
          <w:tcPr>
            <w:tcW w:w="786" w:type="pct"/>
          </w:tcPr>
          <w:p w:rsidR="004E4156" w:rsidRPr="009107EC" w:rsidRDefault="004E4156" w:rsidP="00A8553C">
            <w:pPr>
              <w:jc w:val="center"/>
            </w:pPr>
            <w:r w:rsidRPr="009107EC">
              <w:t>En M€</w:t>
            </w:r>
          </w:p>
        </w:tc>
        <w:tc>
          <w:tcPr>
            <w:tcW w:w="701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2012</w:t>
            </w:r>
          </w:p>
        </w:tc>
        <w:tc>
          <w:tcPr>
            <w:tcW w:w="702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2013</w:t>
            </w:r>
          </w:p>
        </w:tc>
        <w:tc>
          <w:tcPr>
            <w:tcW w:w="703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2014</w:t>
            </w:r>
          </w:p>
        </w:tc>
        <w:tc>
          <w:tcPr>
            <w:tcW w:w="703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2015</w:t>
            </w:r>
          </w:p>
        </w:tc>
        <w:tc>
          <w:tcPr>
            <w:tcW w:w="703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2016</w:t>
            </w:r>
          </w:p>
        </w:tc>
        <w:tc>
          <w:tcPr>
            <w:tcW w:w="703" w:type="pct"/>
          </w:tcPr>
          <w:p w:rsidR="004E4156" w:rsidRPr="00D573F0" w:rsidRDefault="004E4156" w:rsidP="00A8553C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2017</w:t>
            </w:r>
          </w:p>
        </w:tc>
      </w:tr>
      <w:tr w:rsidR="004E4156" w:rsidRPr="00D573F0" w:rsidTr="00A75AEC">
        <w:trPr>
          <w:trHeight w:val="737"/>
        </w:trPr>
        <w:tc>
          <w:tcPr>
            <w:tcW w:w="786" w:type="pct"/>
            <w:vAlign w:val="center"/>
          </w:tcPr>
          <w:p w:rsidR="004E4156" w:rsidRDefault="004E4156" w:rsidP="00A75AEC">
            <w:pPr>
              <w:jc w:val="center"/>
            </w:pPr>
            <w:r>
              <w:t>Trésorerie initiale</w:t>
            </w:r>
          </w:p>
        </w:tc>
        <w:tc>
          <w:tcPr>
            <w:tcW w:w="701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+20</w:t>
            </w:r>
          </w:p>
        </w:tc>
        <w:tc>
          <w:tcPr>
            <w:tcW w:w="702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68</w:t>
            </w:r>
          </w:p>
        </w:tc>
        <w:tc>
          <w:tcPr>
            <w:tcW w:w="703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2E6B88">
              <w:rPr>
                <w:bCs/>
              </w:rPr>
              <w:t>31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2</w:t>
            </w:r>
            <w:r w:rsidR="00857619">
              <w:rPr>
                <w:bCs/>
              </w:rPr>
              <w:t>24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3</w:t>
            </w:r>
            <w:r w:rsidR="00857619">
              <w:rPr>
                <w:bCs/>
              </w:rPr>
              <w:t>42</w:t>
            </w:r>
          </w:p>
        </w:tc>
        <w:tc>
          <w:tcPr>
            <w:tcW w:w="703" w:type="pct"/>
            <w:vAlign w:val="center"/>
          </w:tcPr>
          <w:p w:rsidR="004E4156" w:rsidRDefault="002E6B88" w:rsidP="00857619">
            <w:pPr>
              <w:jc w:val="center"/>
              <w:rPr>
                <w:bCs/>
              </w:rPr>
            </w:pPr>
            <w:r>
              <w:rPr>
                <w:bCs/>
              </w:rPr>
              <w:t>+4</w:t>
            </w:r>
            <w:r w:rsidR="00857619">
              <w:rPr>
                <w:bCs/>
              </w:rPr>
              <w:t>57</w:t>
            </w:r>
          </w:p>
        </w:tc>
      </w:tr>
      <w:tr w:rsidR="004E4156" w:rsidRPr="00D573F0" w:rsidTr="00A75AEC">
        <w:trPr>
          <w:trHeight w:val="737"/>
        </w:trPr>
        <w:tc>
          <w:tcPr>
            <w:tcW w:w="786" w:type="pct"/>
            <w:vAlign w:val="center"/>
          </w:tcPr>
          <w:p w:rsidR="004E4156" w:rsidRDefault="004E4156" w:rsidP="00A75AEC">
            <w:pPr>
              <w:jc w:val="center"/>
            </w:pPr>
            <w:r>
              <w:t>Flux disponibles</w:t>
            </w:r>
          </w:p>
        </w:tc>
        <w:tc>
          <w:tcPr>
            <w:tcW w:w="701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48</w:t>
            </w:r>
          </w:p>
        </w:tc>
        <w:tc>
          <w:tcPr>
            <w:tcW w:w="702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81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857619">
              <w:rPr>
                <w:bCs/>
              </w:rPr>
              <w:t>11</w:t>
            </w:r>
          </w:p>
        </w:tc>
        <w:tc>
          <w:tcPr>
            <w:tcW w:w="703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2E6B88">
              <w:rPr>
                <w:bCs/>
              </w:rPr>
              <w:t>36</w:t>
            </w:r>
          </w:p>
        </w:tc>
        <w:tc>
          <w:tcPr>
            <w:tcW w:w="703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2E6B88">
              <w:rPr>
                <w:bCs/>
              </w:rPr>
              <w:t>33</w:t>
            </w:r>
          </w:p>
        </w:tc>
        <w:tc>
          <w:tcPr>
            <w:tcW w:w="703" w:type="pct"/>
            <w:vAlign w:val="center"/>
          </w:tcPr>
          <w:p w:rsidR="004E4156" w:rsidRDefault="002E6B88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4E4156">
              <w:rPr>
                <w:bCs/>
              </w:rPr>
              <w:t>1</w:t>
            </w:r>
            <w:r>
              <w:rPr>
                <w:bCs/>
              </w:rPr>
              <w:t>65</w:t>
            </w:r>
          </w:p>
        </w:tc>
      </w:tr>
      <w:tr w:rsidR="004E4156" w:rsidRPr="00D573F0" w:rsidTr="00A75AEC">
        <w:trPr>
          <w:trHeight w:val="737"/>
        </w:trPr>
        <w:tc>
          <w:tcPr>
            <w:tcW w:w="786" w:type="pct"/>
            <w:vAlign w:val="center"/>
          </w:tcPr>
          <w:p w:rsidR="004E4156" w:rsidRDefault="004E4156" w:rsidP="00A75AEC">
            <w:pPr>
              <w:jc w:val="center"/>
            </w:pPr>
            <w:r>
              <w:t>Amort OBSA</w:t>
            </w:r>
          </w:p>
        </w:tc>
        <w:tc>
          <w:tcPr>
            <w:tcW w:w="701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2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-890</w:t>
            </w:r>
          </w:p>
        </w:tc>
      </w:tr>
      <w:tr w:rsidR="004E4156" w:rsidRPr="00D573F0" w:rsidTr="00A75AEC">
        <w:trPr>
          <w:trHeight w:val="737"/>
        </w:trPr>
        <w:tc>
          <w:tcPr>
            <w:tcW w:w="786" w:type="pct"/>
            <w:vAlign w:val="center"/>
          </w:tcPr>
          <w:p w:rsidR="004E4156" w:rsidRDefault="004E4156" w:rsidP="00A75AEC">
            <w:pPr>
              <w:jc w:val="center"/>
            </w:pPr>
            <w:r>
              <w:t>Intérêts OBSA nets</w:t>
            </w:r>
          </w:p>
          <w:p w:rsidR="004E4156" w:rsidRDefault="004E4156" w:rsidP="00A75AEC">
            <w:pPr>
              <w:jc w:val="center"/>
            </w:pPr>
            <w:r>
              <w:t>(2%)</w:t>
            </w:r>
          </w:p>
        </w:tc>
        <w:tc>
          <w:tcPr>
            <w:tcW w:w="701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</w:p>
        </w:tc>
        <w:tc>
          <w:tcPr>
            <w:tcW w:w="702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  <w:tc>
          <w:tcPr>
            <w:tcW w:w="703" w:type="pct"/>
            <w:vAlign w:val="center"/>
          </w:tcPr>
          <w:p w:rsidR="004E4156" w:rsidRDefault="004E4156" w:rsidP="00A8553C">
            <w:pPr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</w:tr>
      <w:tr w:rsidR="004E4156" w:rsidRPr="00D573F0" w:rsidTr="00A75AEC">
        <w:trPr>
          <w:trHeight w:val="737"/>
        </w:trPr>
        <w:tc>
          <w:tcPr>
            <w:tcW w:w="786" w:type="pct"/>
            <w:vAlign w:val="center"/>
          </w:tcPr>
          <w:p w:rsidR="004E4156" w:rsidRDefault="004E4156" w:rsidP="00A75AEC">
            <w:pPr>
              <w:jc w:val="center"/>
            </w:pPr>
            <w:r>
              <w:t>Trésorerie finale</w:t>
            </w:r>
          </w:p>
        </w:tc>
        <w:tc>
          <w:tcPr>
            <w:tcW w:w="701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68</w:t>
            </w:r>
          </w:p>
        </w:tc>
        <w:tc>
          <w:tcPr>
            <w:tcW w:w="702" w:type="pct"/>
            <w:vAlign w:val="center"/>
          </w:tcPr>
          <w:p w:rsidR="004E4156" w:rsidRDefault="004E4156" w:rsidP="002E6B8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131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2</w:t>
            </w:r>
            <w:r w:rsidR="00857619">
              <w:rPr>
                <w:bCs/>
              </w:rPr>
              <w:t>24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3</w:t>
            </w:r>
            <w:r w:rsidR="00857619">
              <w:rPr>
                <w:bCs/>
              </w:rPr>
              <w:t>42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6B88">
              <w:rPr>
                <w:bCs/>
              </w:rPr>
              <w:t>4</w:t>
            </w:r>
            <w:r w:rsidR="00857619">
              <w:rPr>
                <w:bCs/>
              </w:rPr>
              <w:t>57</w:t>
            </w:r>
          </w:p>
        </w:tc>
        <w:tc>
          <w:tcPr>
            <w:tcW w:w="703" w:type="pct"/>
            <w:vAlign w:val="center"/>
          </w:tcPr>
          <w:p w:rsidR="004E4156" w:rsidRDefault="004E4156" w:rsidP="0085761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2E6B88">
              <w:rPr>
                <w:bCs/>
              </w:rPr>
              <w:t>2</w:t>
            </w:r>
            <w:r w:rsidR="00857619">
              <w:rPr>
                <w:bCs/>
              </w:rPr>
              <w:t>86</w:t>
            </w:r>
          </w:p>
        </w:tc>
      </w:tr>
    </w:tbl>
    <w:p w:rsidR="004E4156" w:rsidRDefault="004E4156" w:rsidP="00057859">
      <w:pPr>
        <w:jc w:val="both"/>
        <w:rPr>
          <w:b/>
        </w:rPr>
      </w:pPr>
    </w:p>
    <w:p w:rsidR="004E4156" w:rsidRPr="002E6B88" w:rsidRDefault="002E6B88" w:rsidP="00057859">
      <w:pPr>
        <w:jc w:val="both"/>
      </w:pPr>
      <w:r w:rsidRPr="002E6B88">
        <w:t xml:space="preserve">Le </w:t>
      </w:r>
      <w:r>
        <w:t>service de l’emprunt obligataire n’est donc pas assuré en 2017. D’autres ressources devront être trouvées mais l’endettement en 2012 (258+890</w:t>
      </w:r>
      <w:r w:rsidR="000C7418">
        <w:t xml:space="preserve"> </w:t>
      </w:r>
      <w:r>
        <w:t>= 1148) sera probablement supérieur aux capitaux propres de clôture. Le coût ces ressources futures sera donc élevé.</w:t>
      </w:r>
    </w:p>
    <w:p w:rsidR="004E4156" w:rsidRDefault="004E4156" w:rsidP="00057859">
      <w:pPr>
        <w:jc w:val="both"/>
        <w:rPr>
          <w:b/>
        </w:rPr>
      </w:pPr>
    </w:p>
    <w:p w:rsidR="000B22EE" w:rsidRDefault="000B22EE" w:rsidP="00057859">
      <w:pPr>
        <w:jc w:val="both"/>
        <w:rPr>
          <w:b/>
        </w:rPr>
      </w:pPr>
    </w:p>
    <w:p w:rsidR="00057859" w:rsidRDefault="00DD6D4D" w:rsidP="000D44DB">
      <w:pPr>
        <w:tabs>
          <w:tab w:val="left" w:pos="1134"/>
        </w:tabs>
        <w:ind w:left="1418" w:hanging="698"/>
        <w:jc w:val="both"/>
        <w:rPr>
          <w:b/>
        </w:rPr>
      </w:pPr>
      <w:r>
        <w:rPr>
          <w:b/>
        </w:rPr>
        <w:t>2.3.4</w:t>
      </w:r>
      <w:r w:rsidR="00057859">
        <w:rPr>
          <w:b/>
        </w:rPr>
        <w:t xml:space="preserve">   Après avoir déterminé le taux actuariel de l’emprunt, indiquer</w:t>
      </w:r>
      <w:r w:rsidR="00057859" w:rsidRPr="00000A27">
        <w:rPr>
          <w:b/>
        </w:rPr>
        <w:t xml:space="preserve"> l’intérêt de l'OBSA par rapport à un emprunt obligataire classique</w:t>
      </w:r>
      <w:r w:rsidR="00057859">
        <w:rPr>
          <w:b/>
        </w:rPr>
        <w:t xml:space="preserve"> pour l’émetteur </w:t>
      </w:r>
      <w:r w:rsidR="00057859" w:rsidRPr="00000A27">
        <w:rPr>
          <w:b/>
        </w:rPr>
        <w:t xml:space="preserve">et pour </w:t>
      </w:r>
      <w:r w:rsidR="00057859">
        <w:rPr>
          <w:b/>
        </w:rPr>
        <w:t xml:space="preserve">le souscripteur. </w:t>
      </w:r>
    </w:p>
    <w:p w:rsidR="00952A39" w:rsidRPr="00952A39" w:rsidRDefault="00952A39" w:rsidP="00952A39">
      <w:pPr>
        <w:ind w:left="360"/>
        <w:jc w:val="both"/>
      </w:pPr>
    </w:p>
    <w:p w:rsidR="00BC3426" w:rsidRPr="00D35D3E" w:rsidRDefault="00BC3426" w:rsidP="00BC3426">
      <w:pPr>
        <w:ind w:left="1416"/>
        <w:jc w:val="both"/>
      </w:pPr>
    </w:p>
    <w:p w:rsidR="001D4CC7" w:rsidRDefault="001D4CC7" w:rsidP="001D4CC7">
      <w:pPr>
        <w:jc w:val="both"/>
        <w:rPr>
          <w:b/>
        </w:rPr>
      </w:pPr>
      <w:r>
        <w:rPr>
          <w:b/>
        </w:rPr>
        <w:t xml:space="preserve">Calcul du taux actuariel pour les porteurs  </w:t>
      </w:r>
    </w:p>
    <w:p w:rsidR="001D4CC7" w:rsidRPr="00850773" w:rsidRDefault="001D4CC7" w:rsidP="001D4CC7">
      <w:pPr>
        <w:jc w:val="both"/>
      </w:pPr>
      <w:r w:rsidRPr="00850773">
        <w:t>-9</w:t>
      </w:r>
      <w:r>
        <w:t>6 +3(1+t)</w:t>
      </w:r>
      <w:r w:rsidRPr="00850773">
        <w:rPr>
          <w:vertAlign w:val="superscript"/>
        </w:rPr>
        <w:t>-1</w:t>
      </w:r>
      <w:r>
        <w:t xml:space="preserve"> + 3(1+t)</w:t>
      </w:r>
      <w:r w:rsidRPr="00850773">
        <w:rPr>
          <w:vertAlign w:val="superscript"/>
        </w:rPr>
        <w:t>-2</w:t>
      </w:r>
      <w:r>
        <w:t xml:space="preserve"> + 3(1+t)</w:t>
      </w:r>
      <w:r w:rsidRPr="00850773">
        <w:rPr>
          <w:vertAlign w:val="superscript"/>
        </w:rPr>
        <w:t>-3</w:t>
      </w:r>
      <w:r>
        <w:t xml:space="preserve"> + 3(1+t)</w:t>
      </w:r>
      <w:r w:rsidRPr="00850773">
        <w:rPr>
          <w:vertAlign w:val="superscript"/>
        </w:rPr>
        <w:t>-4</w:t>
      </w:r>
      <w:r>
        <w:t xml:space="preserve"> + 103(1+t)</w:t>
      </w:r>
      <w:r w:rsidRPr="00850773">
        <w:rPr>
          <w:vertAlign w:val="superscript"/>
        </w:rPr>
        <w:t>-5</w:t>
      </w:r>
      <w:r>
        <w:t xml:space="preserve"> = 0 soit t = 3,896%</w:t>
      </w:r>
    </w:p>
    <w:p w:rsidR="001D4CC7" w:rsidRDefault="001D4CC7" w:rsidP="00BC3426">
      <w:pPr>
        <w:jc w:val="both"/>
      </w:pPr>
    </w:p>
    <w:p w:rsidR="00BC3426" w:rsidRDefault="00BC3426" w:rsidP="00BC3426">
      <w:pPr>
        <w:jc w:val="both"/>
      </w:pPr>
      <w:r>
        <w:t>L'OBSA est un produit hybride composé d'une obligation est d'une option matérialisée par le BSA qui peut être céd</w:t>
      </w:r>
      <w:r w:rsidR="00C07383">
        <w:t>ée</w:t>
      </w:r>
      <w:r>
        <w:t xml:space="preserve"> par son détenteur.</w:t>
      </w:r>
    </w:p>
    <w:p w:rsidR="00BC3426" w:rsidRDefault="00BC3426" w:rsidP="00BC3426">
      <w:pPr>
        <w:jc w:val="both"/>
      </w:pPr>
    </w:p>
    <w:p w:rsidR="00D35D3E" w:rsidRDefault="00850773" w:rsidP="00BC3426">
      <w:pPr>
        <w:jc w:val="both"/>
        <w:rPr>
          <w:b/>
        </w:rPr>
      </w:pPr>
      <w:r>
        <w:t>L</w:t>
      </w:r>
      <w:r w:rsidR="00BC3426">
        <w:t xml:space="preserve">a valeur </w:t>
      </w:r>
      <w:r>
        <w:t xml:space="preserve">du bon </w:t>
      </w:r>
      <w:r w:rsidR="00BC3426">
        <w:t>sera fonction du sous-jacent représentée par l'action et évoluera en fonction du temps et de l</w:t>
      </w:r>
      <w:r w:rsidR="00A75AEC">
        <w:t>'évolution du cours de bourse.</w:t>
      </w:r>
    </w:p>
    <w:p w:rsidR="00D35D3E" w:rsidRDefault="00D35D3E" w:rsidP="00D35D3E">
      <w:pPr>
        <w:jc w:val="both"/>
        <w:rPr>
          <w:b/>
        </w:rPr>
      </w:pPr>
    </w:p>
    <w:p w:rsidR="00164CD4" w:rsidRDefault="00164CD4" w:rsidP="00164CD4">
      <w:pPr>
        <w:jc w:val="both"/>
      </w:pPr>
      <w:r w:rsidRPr="008C70A3">
        <w:t>Ce mode de financement avec des</w:t>
      </w:r>
      <w:r>
        <w:t xml:space="preserve"> BSA attachés à l'obligation </w:t>
      </w:r>
      <w:r w:rsidRPr="008C70A3">
        <w:t xml:space="preserve">permet </w:t>
      </w:r>
      <w:r w:rsidR="001D4CC7">
        <w:t xml:space="preserve">à l’émetteur </w:t>
      </w:r>
      <w:r w:rsidRPr="008C70A3">
        <w:t xml:space="preserve">de bénéficier d'un taux </w:t>
      </w:r>
      <w:r w:rsidR="001D4CC7">
        <w:t xml:space="preserve">(3,896%) </w:t>
      </w:r>
      <w:r w:rsidRPr="008C70A3">
        <w:t xml:space="preserve">plus faible que celui d'un emprunt obligataire classique </w:t>
      </w:r>
      <w:r w:rsidR="001D4CC7">
        <w:t>(</w:t>
      </w:r>
      <w:r w:rsidR="00B54C4A">
        <w:t>5,25</w:t>
      </w:r>
      <w:r w:rsidR="001D4CC7">
        <w:t xml:space="preserve">%) </w:t>
      </w:r>
      <w:r w:rsidRPr="008C70A3">
        <w:t xml:space="preserve">mais expose la société à une dilution </w:t>
      </w:r>
      <w:r>
        <w:t xml:space="preserve">à terme </w:t>
      </w:r>
      <w:r w:rsidRPr="008C70A3">
        <w:t>lors de l'exercice des bons.</w:t>
      </w:r>
      <w:r w:rsidRPr="008C70A3">
        <w:tab/>
      </w:r>
    </w:p>
    <w:p w:rsidR="00ED38F9" w:rsidRDefault="00ED38F9" w:rsidP="00164CD4">
      <w:pPr>
        <w:jc w:val="both"/>
      </w:pPr>
    </w:p>
    <w:p w:rsidR="00ED38F9" w:rsidRDefault="00ED38F9" w:rsidP="00164CD4">
      <w:pPr>
        <w:jc w:val="both"/>
      </w:pPr>
      <w:r>
        <w:t>L’augmentation de l’endettement liée à l’émission obligataire à un taux supposé être inférieur au coût de</w:t>
      </w:r>
      <w:r w:rsidR="001D4CC7">
        <w:t>s capitaux propres contribuera</w:t>
      </w:r>
      <w:r>
        <w:t xml:space="preserve"> à une augmentation </w:t>
      </w:r>
      <w:r w:rsidR="00D71A40">
        <w:t>du</w:t>
      </w:r>
      <w:r>
        <w:t xml:space="preserve"> coût</w:t>
      </w:r>
      <w:r w:rsidR="00D71A40">
        <w:t xml:space="preserve"> de ces derniers</w:t>
      </w:r>
      <w:r>
        <w:t xml:space="preserve"> dans la mesure</w:t>
      </w:r>
      <w:r w:rsidR="00D71A40">
        <w:t>,</w:t>
      </w:r>
      <w:r>
        <w:t xml:space="preserve"> où selon la théorie financière, le CMPC reste constant et indépendant de la structure financière de l’entreprise.</w:t>
      </w:r>
    </w:p>
    <w:p w:rsidR="00ED38F9" w:rsidRDefault="00ED38F9" w:rsidP="00164CD4">
      <w:pPr>
        <w:jc w:val="both"/>
      </w:pPr>
    </w:p>
    <w:p w:rsidR="00580769" w:rsidRDefault="00BC3426" w:rsidP="00BC3426">
      <w:pPr>
        <w:jc w:val="both"/>
      </w:pPr>
      <w:r>
        <w:t xml:space="preserve">L’exercice du BSA lors d'une prochaine augmentation de capital permettra aux porteurs de bénéficier d'un avantage si le cours de </w:t>
      </w:r>
      <w:r w:rsidR="001A2B07">
        <w:t>VESECUR</w:t>
      </w:r>
      <w:r>
        <w:t xml:space="preserve"> s'apprécie. </w:t>
      </w:r>
    </w:p>
    <w:p w:rsidR="00D262D8" w:rsidRDefault="00D262D8" w:rsidP="00D262D8">
      <w:pPr>
        <w:tabs>
          <w:tab w:val="left" w:pos="585"/>
          <w:tab w:val="left" w:pos="5760"/>
        </w:tabs>
        <w:jc w:val="both"/>
        <w:rPr>
          <w:b/>
        </w:rPr>
      </w:pPr>
    </w:p>
    <w:p w:rsidR="00C46F17" w:rsidRDefault="00C46F17" w:rsidP="00D262D8">
      <w:pPr>
        <w:tabs>
          <w:tab w:val="left" w:pos="585"/>
          <w:tab w:val="left" w:pos="5760"/>
        </w:tabs>
        <w:jc w:val="both"/>
        <w:rPr>
          <w:b/>
        </w:rPr>
      </w:pPr>
    </w:p>
    <w:p w:rsidR="00074805" w:rsidRPr="00074805" w:rsidRDefault="00A75AEC" w:rsidP="00DD6D4D">
      <w:pPr>
        <w:numPr>
          <w:ilvl w:val="1"/>
          <w:numId w:val="1"/>
        </w:numPr>
      </w:pPr>
      <w:r>
        <w:rPr>
          <w:b/>
        </w:rPr>
        <w:br w:type="page"/>
      </w:r>
      <w:r w:rsidR="005C08C9" w:rsidRPr="005C08C9">
        <w:rPr>
          <w:b/>
        </w:rPr>
        <w:lastRenderedPageBreak/>
        <w:t xml:space="preserve">Dans le cas où la totalité des actions de </w:t>
      </w:r>
      <w:r w:rsidR="001A2B07">
        <w:rPr>
          <w:b/>
        </w:rPr>
        <w:t>GRENELLE</w:t>
      </w:r>
      <w:r w:rsidR="005C08C9" w:rsidRPr="005C08C9">
        <w:rPr>
          <w:b/>
        </w:rPr>
        <w:t xml:space="preserve"> ne serait pas acquise </w:t>
      </w:r>
      <w:r w:rsidR="004903B5">
        <w:rPr>
          <w:b/>
        </w:rPr>
        <w:t xml:space="preserve">à l’issue de l’OPA, </w:t>
      </w:r>
      <w:r w:rsidR="005C08C9" w:rsidRPr="005C08C9">
        <w:rPr>
          <w:b/>
        </w:rPr>
        <w:t>décrire les modalités d'un OPR</w:t>
      </w:r>
      <w:r w:rsidR="004903B5">
        <w:rPr>
          <w:b/>
        </w:rPr>
        <w:t xml:space="preserve"> (Offre Publique de Retrait)</w:t>
      </w:r>
      <w:r w:rsidR="005C08C9" w:rsidRPr="005C08C9">
        <w:rPr>
          <w:b/>
        </w:rPr>
        <w:t xml:space="preserve"> et d'un</w:t>
      </w:r>
      <w:r w:rsidR="004903B5">
        <w:rPr>
          <w:b/>
        </w:rPr>
        <w:t>e</w:t>
      </w:r>
      <w:r w:rsidR="005C08C9" w:rsidRPr="005C08C9">
        <w:rPr>
          <w:b/>
        </w:rPr>
        <w:t xml:space="preserve"> </w:t>
      </w:r>
      <w:r w:rsidR="004903B5">
        <w:rPr>
          <w:b/>
        </w:rPr>
        <w:t>OP</w:t>
      </w:r>
      <w:r w:rsidR="005C08C9" w:rsidRPr="005C08C9">
        <w:rPr>
          <w:b/>
        </w:rPr>
        <w:t>RO</w:t>
      </w:r>
      <w:r w:rsidR="005C08C9" w:rsidRPr="005C08C9">
        <w:rPr>
          <w:b/>
        </w:rPr>
        <w:tab/>
      </w:r>
      <w:r w:rsidR="004903B5">
        <w:rPr>
          <w:b/>
        </w:rPr>
        <w:t xml:space="preserve"> (Offre Publique de Retrait Obligatoire).</w:t>
      </w:r>
    </w:p>
    <w:p w:rsidR="005C08C9" w:rsidRPr="00074805" w:rsidRDefault="005C08C9" w:rsidP="00A75AEC"/>
    <w:p w:rsidR="00E66E66" w:rsidRDefault="005C08C9" w:rsidP="005C08C9">
      <w:pPr>
        <w:jc w:val="both"/>
      </w:pPr>
      <w:r w:rsidRPr="00074805">
        <w:t>Dans le cas où un nombre lim</w:t>
      </w:r>
      <w:r w:rsidR="00074805">
        <w:t xml:space="preserve">ité de titres resterait </w:t>
      </w:r>
      <w:r w:rsidRPr="00074805">
        <w:t xml:space="preserve"> aux mains des actionnaires de </w:t>
      </w:r>
      <w:r w:rsidR="001A2B07">
        <w:t>GRENELLE</w:t>
      </w:r>
      <w:r w:rsidRPr="00074805">
        <w:t xml:space="preserve">, une proposition </w:t>
      </w:r>
      <w:r w:rsidR="00D71A40">
        <w:t>(OPR)</w:t>
      </w:r>
      <w:r w:rsidR="00560ADB">
        <w:t xml:space="preserve"> </w:t>
      </w:r>
      <w:r w:rsidRPr="00074805">
        <w:t>leur sera faite de les leurs racheter avant qu</w:t>
      </w:r>
      <w:r w:rsidR="00074805">
        <w:t>’i</w:t>
      </w:r>
      <w:r w:rsidRPr="00074805">
        <w:t xml:space="preserve">ls ne soient radiés de la cote. Si </w:t>
      </w:r>
      <w:r w:rsidR="00D71A40">
        <w:t xml:space="preserve">au final, </w:t>
      </w:r>
      <w:r w:rsidRPr="00074805">
        <w:t xml:space="preserve">des actions n'étaient pas présentées à l'OPR de </w:t>
      </w:r>
      <w:r w:rsidR="001A2B07">
        <w:t>VESECUR</w:t>
      </w:r>
      <w:r w:rsidRPr="00074805">
        <w:t xml:space="preserve"> celle-ci pourra la faire suivre</w:t>
      </w:r>
      <w:r w:rsidR="00D71A40">
        <w:t>,</w:t>
      </w:r>
      <w:r w:rsidRPr="00074805">
        <w:t xml:space="preserve"> après intervention d'un expert indépendant se prononçant sur la valeur proposée,</w:t>
      </w:r>
      <w:r w:rsidR="00074805">
        <w:t xml:space="preserve"> </w:t>
      </w:r>
      <w:r w:rsidR="00D81D74">
        <w:t>d’un</w:t>
      </w:r>
      <w:r w:rsidRPr="00074805">
        <w:t xml:space="preserve"> </w:t>
      </w:r>
      <w:r w:rsidR="00074805">
        <w:t>R</w:t>
      </w:r>
      <w:r w:rsidRPr="00074805">
        <w:t xml:space="preserve">etrait </w:t>
      </w:r>
      <w:r w:rsidR="00074805">
        <w:t>O</w:t>
      </w:r>
      <w:r w:rsidR="00A75AEC">
        <w:t>bligatoire.</w:t>
      </w:r>
    </w:p>
    <w:p w:rsidR="00E66E66" w:rsidRDefault="00E66E66" w:rsidP="005C08C9">
      <w:pPr>
        <w:jc w:val="both"/>
      </w:pPr>
    </w:p>
    <w:p w:rsidR="00D262D8" w:rsidRDefault="00D262D8" w:rsidP="005C08C9">
      <w:pPr>
        <w:jc w:val="both"/>
      </w:pPr>
    </w:p>
    <w:p w:rsidR="00D262D8" w:rsidRDefault="00D71A40" w:rsidP="00D71A40">
      <w:pPr>
        <w:numPr>
          <w:ilvl w:val="1"/>
          <w:numId w:val="1"/>
        </w:numPr>
        <w:rPr>
          <w:b/>
        </w:rPr>
      </w:pPr>
      <w:r>
        <w:rPr>
          <w:b/>
        </w:rPr>
        <w:t>Dans le</w:t>
      </w:r>
      <w:r w:rsidR="00E66E66" w:rsidRPr="00E66E66">
        <w:rPr>
          <w:b/>
        </w:rPr>
        <w:t xml:space="preserve"> cas d'une OPA hostile quelles se</w:t>
      </w:r>
      <w:r w:rsidR="00BD77DF">
        <w:rPr>
          <w:b/>
        </w:rPr>
        <w:t>raient les mesures que pourrai</w:t>
      </w:r>
      <w:r w:rsidR="00E66E66" w:rsidRPr="00E66E66">
        <w:rPr>
          <w:b/>
        </w:rPr>
        <w:t xml:space="preserve">t mettre en œuvre </w:t>
      </w:r>
      <w:r w:rsidR="001A2B07">
        <w:rPr>
          <w:b/>
        </w:rPr>
        <w:t>GRENELLE</w:t>
      </w:r>
      <w:r w:rsidR="00E66E66" w:rsidRPr="00E66E66">
        <w:rPr>
          <w:b/>
        </w:rPr>
        <w:t xml:space="preserve"> pour se protége</w:t>
      </w:r>
      <w:r w:rsidR="00A75AEC">
        <w:rPr>
          <w:b/>
        </w:rPr>
        <w:t>r?</w:t>
      </w:r>
    </w:p>
    <w:p w:rsidR="00E66E66" w:rsidRPr="00D71A40" w:rsidRDefault="00E66E66" w:rsidP="00A75AEC">
      <w:pPr>
        <w:rPr>
          <w:b/>
        </w:rPr>
      </w:pPr>
    </w:p>
    <w:p w:rsidR="00E66E66" w:rsidRDefault="00E66E66" w:rsidP="00E66E66">
      <w:pPr>
        <w:jc w:val="both"/>
      </w:pPr>
      <w:r>
        <w:t xml:space="preserve">Si le conseil d'administration de la société </w:t>
      </w:r>
      <w:r w:rsidR="001A2B07">
        <w:t>GRENELLE</w:t>
      </w:r>
      <w:r>
        <w:t xml:space="preserve"> dissuadait les actionnaires de céder leurs actions dans le ca</w:t>
      </w:r>
      <w:r w:rsidR="00785A4A">
        <w:t>dre de l'augmentation de capital,</w:t>
      </w:r>
      <w:r>
        <w:t xml:space="preserve"> l'OPA de </w:t>
      </w:r>
      <w:r w:rsidR="001A2B07">
        <w:t>VESECUR</w:t>
      </w:r>
      <w:r>
        <w:t xml:space="preserve"> serait inamicale.</w:t>
      </w:r>
    </w:p>
    <w:p w:rsidR="00E66E66" w:rsidRDefault="00E66E66" w:rsidP="00E66E66">
      <w:pPr>
        <w:jc w:val="both"/>
      </w:pPr>
    </w:p>
    <w:p w:rsidR="00E66E66" w:rsidRDefault="00E66E66" w:rsidP="00E66E66">
      <w:pPr>
        <w:jc w:val="both"/>
      </w:pPr>
      <w:r>
        <w:t>Dans le cadre d'une OPA</w:t>
      </w:r>
      <w:r w:rsidR="00D71A40">
        <w:t xml:space="preserve"> inamicale</w:t>
      </w:r>
      <w:r>
        <w:t xml:space="preserve"> les moyens de défenses sont assez réduits si aucune mesure défensive préalable n'a été mise en place. La société </w:t>
      </w:r>
      <w:r w:rsidR="001A2B07">
        <w:t>GRENELLE</w:t>
      </w:r>
      <w:r>
        <w:t xml:space="preserve"> devra s'engager dans une campagne d'information de ses actionnaires pour les convaincre que l</w:t>
      </w:r>
      <w:r w:rsidR="00785A4A">
        <w:t>e</w:t>
      </w:r>
      <w:r>
        <w:t xml:space="preserve"> management en place est </w:t>
      </w:r>
      <w:r w:rsidR="00785A4A">
        <w:t xml:space="preserve">à </w:t>
      </w:r>
      <w:r>
        <w:t>même de maintenir un bon niveau de création de valeur.</w:t>
      </w:r>
    </w:p>
    <w:p w:rsidR="00E66E66" w:rsidRDefault="00E66E66" w:rsidP="00E66E66">
      <w:pPr>
        <w:jc w:val="both"/>
      </w:pPr>
    </w:p>
    <w:p w:rsidR="00E66E66" w:rsidRDefault="00E66E66" w:rsidP="00E66E66">
      <w:pPr>
        <w:jc w:val="both"/>
      </w:pPr>
      <w:r>
        <w:t>La direction</w:t>
      </w:r>
      <w:r w:rsidR="00D71A40">
        <w:t xml:space="preserve"> pourra</w:t>
      </w:r>
      <w:r>
        <w:t xml:space="preserve"> tenter de susciter une offre concurrente crédible pour dissuader </w:t>
      </w:r>
      <w:r w:rsidR="001A2B07">
        <w:t>VESECUR</w:t>
      </w:r>
      <w:r>
        <w:t xml:space="preserve"> ou l'amener à améliorer ses conditions.</w:t>
      </w:r>
    </w:p>
    <w:p w:rsidR="00E66E66" w:rsidRDefault="00E66E66" w:rsidP="00E66E66">
      <w:pPr>
        <w:jc w:val="both"/>
      </w:pPr>
      <w:r>
        <w:t>Dans la mesure où les autorisations ont été données par l'</w:t>
      </w:r>
      <w:r w:rsidR="00785A4A">
        <w:t>A</w:t>
      </w:r>
      <w:r>
        <w:t>ssemblée, l'utilisation de BSA peut constituer un moyen de dissuasion efficace</w:t>
      </w:r>
      <w:r w:rsidR="00D71A40">
        <w:t>.</w:t>
      </w:r>
      <w:r>
        <w:t xml:space="preserve"> </w:t>
      </w:r>
    </w:p>
    <w:p w:rsidR="00E66E66" w:rsidRDefault="00E66E66" w:rsidP="00E66E66">
      <w:pPr>
        <w:jc w:val="both"/>
      </w:pPr>
    </w:p>
    <w:p w:rsidR="00F22DC9" w:rsidRDefault="00E66E66" w:rsidP="00E66E66">
      <w:pPr>
        <w:jc w:val="both"/>
      </w:pPr>
      <w:r>
        <w:t>En conclusion la meilleure défense passe par un effort de fidélisation de l'actionnariat favorisée par la bonne performance boursière.</w:t>
      </w:r>
    </w:p>
    <w:p w:rsidR="00F22DC9" w:rsidRDefault="00F22DC9" w:rsidP="00E66E66">
      <w:pPr>
        <w:jc w:val="both"/>
      </w:pPr>
    </w:p>
    <w:p w:rsidR="00F22DC9" w:rsidRDefault="00F22DC9" w:rsidP="00E66E66">
      <w:pPr>
        <w:jc w:val="both"/>
      </w:pPr>
    </w:p>
    <w:p w:rsidR="000A4807" w:rsidRDefault="000A4807" w:rsidP="00E66E66">
      <w:pPr>
        <w:jc w:val="both"/>
      </w:pPr>
    </w:p>
    <w:p w:rsidR="000A4807" w:rsidRPr="0003305E" w:rsidRDefault="000A4807" w:rsidP="0003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</w:rPr>
      </w:pPr>
      <w:r w:rsidRPr="0003305E">
        <w:rPr>
          <w:b/>
          <w:sz w:val="32"/>
          <w:szCs w:val="32"/>
        </w:rPr>
        <w:t>Dossier 2 – REFLEXION</w:t>
      </w:r>
    </w:p>
    <w:p w:rsidR="000A4807" w:rsidRDefault="000A4807" w:rsidP="00E66E66">
      <w:pPr>
        <w:jc w:val="both"/>
      </w:pPr>
    </w:p>
    <w:p w:rsidR="0011335E" w:rsidRDefault="0011335E" w:rsidP="00B7653D">
      <w:pPr>
        <w:spacing w:after="80"/>
        <w:jc w:val="both"/>
        <w:rPr>
          <w:szCs w:val="18"/>
        </w:rPr>
      </w:pPr>
      <w:r>
        <w:rPr>
          <w:szCs w:val="18"/>
        </w:rPr>
        <w:t>Les opérations de LBO sont une technique d’achat d’entreprise avec effet de levier, principalement motivée</w:t>
      </w:r>
      <w:r w:rsidR="00FC66FA">
        <w:rPr>
          <w:szCs w:val="18"/>
        </w:rPr>
        <w:t>s</w:t>
      </w:r>
      <w:r>
        <w:rPr>
          <w:szCs w:val="18"/>
        </w:rPr>
        <w:t xml:space="preserve"> par les configurations suivantes</w:t>
      </w:r>
      <w:r w:rsidR="00B7653D">
        <w:rPr>
          <w:szCs w:val="18"/>
        </w:rPr>
        <w:t xml:space="preserve"> </w:t>
      </w:r>
      <w:r>
        <w:rPr>
          <w:szCs w:val="18"/>
        </w:rPr>
        <w:t>:</w:t>
      </w:r>
    </w:p>
    <w:p w:rsidR="0011335E" w:rsidRDefault="0011335E" w:rsidP="0011335E">
      <w:pPr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Cession d’une entreprise dans le cadre d’une recomposition de groupe (« </w:t>
      </w:r>
      <w:r w:rsidR="00D71A40">
        <w:rPr>
          <w:szCs w:val="18"/>
        </w:rPr>
        <w:t>sp</w:t>
      </w:r>
      <w:r>
        <w:rPr>
          <w:szCs w:val="18"/>
        </w:rPr>
        <w:t>in-off »)</w:t>
      </w:r>
    </w:p>
    <w:p w:rsidR="0011335E" w:rsidRDefault="0011335E" w:rsidP="0011335E">
      <w:pPr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Transmission d’entreprise à capital familial</w:t>
      </w:r>
    </w:p>
    <w:p w:rsidR="0011335E" w:rsidRDefault="0011335E" w:rsidP="0011335E">
      <w:pPr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Retraits de la cote</w:t>
      </w:r>
    </w:p>
    <w:p w:rsidR="0011335E" w:rsidRDefault="0011335E" w:rsidP="0011335E">
      <w:pPr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Reconfiguration actionnariale dans le cadre d’une sortie des minoritaires</w:t>
      </w:r>
    </w:p>
    <w:p w:rsidR="00FC66FA" w:rsidRDefault="0011335E" w:rsidP="0011335E">
      <w:pPr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Cession à des investisseurs financiers d’une entreprise rachetée précédemment par des financiers sur le mode LBO (LBO secondaires, voire tertiaires).</w:t>
      </w:r>
    </w:p>
    <w:p w:rsidR="00FC66FA" w:rsidRDefault="00FC66FA" w:rsidP="00FC66FA">
      <w:pPr>
        <w:jc w:val="both"/>
        <w:rPr>
          <w:szCs w:val="18"/>
        </w:rPr>
      </w:pPr>
    </w:p>
    <w:p w:rsidR="00FC66FA" w:rsidRPr="004903B5" w:rsidRDefault="004903B5" w:rsidP="00FC66FA">
      <w:pPr>
        <w:jc w:val="both"/>
        <w:rPr>
          <w:b/>
          <w:szCs w:val="18"/>
        </w:rPr>
      </w:pPr>
      <w:r w:rsidRPr="004903B5">
        <w:rPr>
          <w:b/>
          <w:szCs w:val="18"/>
        </w:rPr>
        <w:t>Quels sont les avantages attendus de cette technique de financement ? Quelles sont les caractéristiques du montage mis en place ? Quelles sont les conditions de réussite de ce type d’opération ?</w:t>
      </w:r>
    </w:p>
    <w:p w:rsidR="00FC66FA" w:rsidRDefault="00FC66FA" w:rsidP="00FC66FA">
      <w:pPr>
        <w:jc w:val="both"/>
        <w:rPr>
          <w:szCs w:val="18"/>
        </w:rPr>
      </w:pPr>
    </w:p>
    <w:p w:rsidR="0011335E" w:rsidRPr="00A75AEC" w:rsidRDefault="00A75AEC" w:rsidP="00FC66FA">
      <w:pPr>
        <w:jc w:val="both"/>
        <w:rPr>
          <w:b/>
          <w:szCs w:val="18"/>
        </w:rPr>
      </w:pPr>
      <w:r>
        <w:rPr>
          <w:b/>
          <w:bCs/>
          <w:szCs w:val="18"/>
        </w:rPr>
        <w:br w:type="page"/>
      </w:r>
      <w:r w:rsidR="0011335E" w:rsidRPr="00A75AEC">
        <w:rPr>
          <w:b/>
          <w:bCs/>
          <w:szCs w:val="18"/>
        </w:rPr>
        <w:lastRenderedPageBreak/>
        <w:t xml:space="preserve">Les </w:t>
      </w:r>
      <w:r w:rsidR="000E5A06" w:rsidRPr="00A75AEC">
        <w:rPr>
          <w:b/>
          <w:bCs/>
          <w:szCs w:val="18"/>
        </w:rPr>
        <w:t>avantages attendus :</w:t>
      </w:r>
    </w:p>
    <w:p w:rsidR="0011335E" w:rsidRDefault="0011335E" w:rsidP="0011335E">
      <w:pPr>
        <w:jc w:val="both"/>
        <w:rPr>
          <w:szCs w:val="18"/>
        </w:rPr>
      </w:pPr>
    </w:p>
    <w:p w:rsidR="0011335E" w:rsidRDefault="000E5A06" w:rsidP="00B7653D">
      <w:pPr>
        <w:spacing w:after="80"/>
        <w:jc w:val="both"/>
        <w:rPr>
          <w:szCs w:val="18"/>
        </w:rPr>
      </w:pPr>
      <w:r>
        <w:rPr>
          <w:szCs w:val="18"/>
        </w:rPr>
        <w:t xml:space="preserve">Les avantages attendus tiennent principalement aux effets de levier </w:t>
      </w:r>
      <w:r w:rsidR="0011335E">
        <w:rPr>
          <w:szCs w:val="18"/>
        </w:rPr>
        <w:t>dont l’articulation est propre à chaque montage :</w:t>
      </w:r>
    </w:p>
    <w:p w:rsidR="0011335E" w:rsidRDefault="0011335E" w:rsidP="00E252DF">
      <w:pPr>
        <w:numPr>
          <w:ilvl w:val="0"/>
          <w:numId w:val="30"/>
        </w:numPr>
        <w:jc w:val="both"/>
        <w:rPr>
          <w:szCs w:val="18"/>
        </w:rPr>
      </w:pPr>
      <w:r>
        <w:rPr>
          <w:b/>
          <w:bCs/>
          <w:i/>
          <w:iCs/>
          <w:szCs w:val="18"/>
        </w:rPr>
        <w:t>Le levier juridique</w:t>
      </w:r>
      <w:r>
        <w:rPr>
          <w:szCs w:val="18"/>
        </w:rPr>
        <w:t>, qui consiste à démultiplier la puissance du contrôle de l’acquéreur grâce à la création d’une société holding ou d’une succession de holdings en cascade ;</w:t>
      </w:r>
    </w:p>
    <w:p w:rsidR="0011335E" w:rsidRDefault="0011335E" w:rsidP="00E252DF">
      <w:pPr>
        <w:numPr>
          <w:ilvl w:val="0"/>
          <w:numId w:val="30"/>
        </w:numPr>
        <w:jc w:val="both"/>
        <w:rPr>
          <w:szCs w:val="18"/>
        </w:rPr>
      </w:pPr>
      <w:r>
        <w:rPr>
          <w:b/>
          <w:bCs/>
          <w:i/>
          <w:iCs/>
          <w:szCs w:val="18"/>
        </w:rPr>
        <w:t>Le levier financier</w:t>
      </w:r>
      <w:r>
        <w:rPr>
          <w:szCs w:val="18"/>
        </w:rPr>
        <w:t>, qui permet d’augmenter l’e</w:t>
      </w:r>
      <w:r w:rsidR="00D71A40">
        <w:rPr>
          <w:szCs w:val="18"/>
        </w:rPr>
        <w:t>sp</w:t>
      </w:r>
      <w:r>
        <w:rPr>
          <w:szCs w:val="18"/>
        </w:rPr>
        <w:t>érance de rentabilité des fonds propres investis par le biais du recours à l’endettement ;</w:t>
      </w:r>
    </w:p>
    <w:p w:rsidR="0011335E" w:rsidRDefault="0011335E" w:rsidP="00E252DF">
      <w:pPr>
        <w:numPr>
          <w:ilvl w:val="0"/>
          <w:numId w:val="30"/>
        </w:numPr>
        <w:jc w:val="both"/>
        <w:rPr>
          <w:szCs w:val="18"/>
        </w:rPr>
      </w:pPr>
      <w:r>
        <w:rPr>
          <w:b/>
          <w:bCs/>
          <w:i/>
          <w:iCs/>
          <w:szCs w:val="18"/>
        </w:rPr>
        <w:t>Le levier fiscal</w:t>
      </w:r>
      <w:r>
        <w:rPr>
          <w:szCs w:val="18"/>
        </w:rPr>
        <w:t>, qui consiste dans l’économie d’impôt induite grâce au mécanisme de l’intégration fiscale</w:t>
      </w:r>
      <w:r w:rsidR="00B7653D">
        <w:rPr>
          <w:szCs w:val="18"/>
        </w:rPr>
        <w:t> ;</w:t>
      </w:r>
    </w:p>
    <w:p w:rsidR="0011335E" w:rsidRDefault="0011335E" w:rsidP="00E252DF">
      <w:pPr>
        <w:numPr>
          <w:ilvl w:val="0"/>
          <w:numId w:val="30"/>
        </w:numPr>
        <w:jc w:val="both"/>
        <w:rPr>
          <w:szCs w:val="18"/>
        </w:rPr>
      </w:pPr>
      <w:r>
        <w:rPr>
          <w:b/>
          <w:bCs/>
          <w:i/>
          <w:iCs/>
          <w:szCs w:val="18"/>
        </w:rPr>
        <w:t>Le levier managérial</w:t>
      </w:r>
      <w:r>
        <w:rPr>
          <w:szCs w:val="18"/>
        </w:rPr>
        <w:t>, qui consiste à renforcer la motivation et la fidélité de l’équipe de management de la société cible au moyen de schémas d’intéressement garantissant un alignement d</w:t>
      </w:r>
      <w:r w:rsidR="00FC66FA">
        <w:rPr>
          <w:szCs w:val="18"/>
        </w:rPr>
        <w:t>e leurs</w:t>
      </w:r>
      <w:r>
        <w:rPr>
          <w:szCs w:val="18"/>
        </w:rPr>
        <w:t xml:space="preserve"> intérêts avec </w:t>
      </w:r>
      <w:r w:rsidR="00FC66FA">
        <w:rPr>
          <w:szCs w:val="18"/>
        </w:rPr>
        <w:t xml:space="preserve">ceux des </w:t>
      </w:r>
      <w:r>
        <w:rPr>
          <w:szCs w:val="18"/>
        </w:rPr>
        <w:t>investisseurs repreneurs</w:t>
      </w:r>
      <w:r w:rsidR="00B7653D">
        <w:rPr>
          <w:szCs w:val="18"/>
        </w:rPr>
        <w:t>.</w:t>
      </w:r>
    </w:p>
    <w:p w:rsidR="00FC66FA" w:rsidRDefault="00FC66FA" w:rsidP="00FC66FA">
      <w:pPr>
        <w:jc w:val="both"/>
        <w:rPr>
          <w:b/>
          <w:bCs/>
          <w:color w:val="333333"/>
        </w:rPr>
      </w:pPr>
    </w:p>
    <w:p w:rsidR="00FC66FA" w:rsidRPr="00A75AEC" w:rsidRDefault="00FC66FA" w:rsidP="00FC66FA">
      <w:pPr>
        <w:jc w:val="both"/>
        <w:rPr>
          <w:b/>
          <w:bCs/>
          <w:szCs w:val="20"/>
        </w:rPr>
      </w:pPr>
      <w:r w:rsidRPr="00A75AEC">
        <w:rPr>
          <w:b/>
          <w:bCs/>
        </w:rPr>
        <w:t>Des montages sophistiqués difficiles à mettre en place</w:t>
      </w:r>
    </w:p>
    <w:p w:rsidR="00FC66FA" w:rsidRPr="00A75AEC" w:rsidRDefault="00FC66FA" w:rsidP="00FC66FA">
      <w:pPr>
        <w:jc w:val="both"/>
        <w:rPr>
          <w:szCs w:val="18"/>
        </w:rPr>
      </w:pPr>
    </w:p>
    <w:p w:rsidR="00FC66FA" w:rsidRPr="00A75AEC" w:rsidRDefault="00FC66FA" w:rsidP="0089156F">
      <w:pPr>
        <w:spacing w:after="80"/>
        <w:jc w:val="both"/>
        <w:rPr>
          <w:b/>
          <w:szCs w:val="18"/>
        </w:rPr>
      </w:pPr>
      <w:r w:rsidRPr="00A75AEC">
        <w:rPr>
          <w:b/>
          <w:szCs w:val="18"/>
        </w:rPr>
        <w:t>Le montage d’une opération de LBO repose essentiellement sur :</w:t>
      </w:r>
    </w:p>
    <w:p w:rsidR="00FC66FA" w:rsidRPr="00A75AEC" w:rsidRDefault="00FC66FA" w:rsidP="00E252DF">
      <w:pPr>
        <w:numPr>
          <w:ilvl w:val="0"/>
          <w:numId w:val="29"/>
        </w:numPr>
        <w:jc w:val="both"/>
        <w:rPr>
          <w:szCs w:val="18"/>
        </w:rPr>
      </w:pPr>
      <w:r w:rsidRPr="00A75AEC">
        <w:rPr>
          <w:szCs w:val="18"/>
        </w:rPr>
        <w:t>La création de la holding d’acquisition</w:t>
      </w:r>
    </w:p>
    <w:p w:rsidR="00FC66FA" w:rsidRPr="00A75AEC" w:rsidRDefault="00FC66FA" w:rsidP="00E252DF">
      <w:pPr>
        <w:numPr>
          <w:ilvl w:val="0"/>
          <w:numId w:val="29"/>
        </w:numPr>
        <w:jc w:val="both"/>
        <w:rPr>
          <w:szCs w:val="18"/>
        </w:rPr>
      </w:pPr>
      <w:r w:rsidRPr="00A75AEC">
        <w:rPr>
          <w:szCs w:val="18"/>
        </w:rPr>
        <w:t>La mise en place des financements</w:t>
      </w:r>
    </w:p>
    <w:p w:rsidR="00FC66FA" w:rsidRPr="00A75AEC" w:rsidRDefault="00FC66FA" w:rsidP="00E252DF">
      <w:pPr>
        <w:numPr>
          <w:ilvl w:val="0"/>
          <w:numId w:val="29"/>
        </w:numPr>
        <w:jc w:val="both"/>
        <w:rPr>
          <w:szCs w:val="18"/>
        </w:rPr>
      </w:pPr>
      <w:r w:rsidRPr="00A75AEC">
        <w:rPr>
          <w:szCs w:val="18"/>
        </w:rPr>
        <w:t>La sécurisation juridique du montage</w:t>
      </w:r>
    </w:p>
    <w:p w:rsidR="00FC66FA" w:rsidRPr="00A75AEC" w:rsidRDefault="00FC66FA" w:rsidP="00E252DF">
      <w:pPr>
        <w:numPr>
          <w:ilvl w:val="0"/>
          <w:numId w:val="29"/>
        </w:numPr>
        <w:jc w:val="both"/>
        <w:rPr>
          <w:szCs w:val="18"/>
        </w:rPr>
      </w:pPr>
      <w:r w:rsidRPr="00A75AEC">
        <w:rPr>
          <w:szCs w:val="18"/>
        </w:rPr>
        <w:t>L’optimisation de la mécanique fiscale</w:t>
      </w:r>
    </w:p>
    <w:p w:rsidR="0011335E" w:rsidRPr="00A75AEC" w:rsidRDefault="00FC66FA" w:rsidP="00E252DF">
      <w:pPr>
        <w:numPr>
          <w:ilvl w:val="0"/>
          <w:numId w:val="29"/>
        </w:numPr>
        <w:jc w:val="both"/>
        <w:rPr>
          <w:b/>
          <w:bCs/>
        </w:rPr>
      </w:pPr>
      <w:r w:rsidRPr="00A75AEC">
        <w:rPr>
          <w:szCs w:val="18"/>
        </w:rPr>
        <w:t>La remontée du cas</w:t>
      </w:r>
      <w:r w:rsidR="005F1DE0" w:rsidRPr="00A75AEC">
        <w:rPr>
          <w:szCs w:val="18"/>
        </w:rPr>
        <w:t>h</w:t>
      </w:r>
      <w:r w:rsidRPr="00A75AEC">
        <w:rPr>
          <w:szCs w:val="18"/>
        </w:rPr>
        <w:t xml:space="preserve">-flow de la cible vers la holding </w:t>
      </w:r>
    </w:p>
    <w:p w:rsidR="00FC66FA" w:rsidRPr="00A75AEC" w:rsidRDefault="00FC66FA" w:rsidP="0011335E">
      <w:pPr>
        <w:jc w:val="both"/>
        <w:rPr>
          <w:b/>
          <w:bCs/>
        </w:rPr>
      </w:pPr>
    </w:p>
    <w:p w:rsidR="0011335E" w:rsidRPr="00A75AEC" w:rsidRDefault="0011335E" w:rsidP="0011335E">
      <w:pPr>
        <w:jc w:val="both"/>
        <w:rPr>
          <w:b/>
          <w:bCs/>
        </w:rPr>
      </w:pPr>
      <w:r w:rsidRPr="00A75AEC">
        <w:rPr>
          <w:b/>
          <w:bCs/>
        </w:rPr>
        <w:t>Mais toutes les sociétés ne sont pas nécessairement éligibles à un LBO</w:t>
      </w:r>
    </w:p>
    <w:p w:rsidR="005F1DE0" w:rsidRPr="00A75AEC" w:rsidRDefault="005F1DE0" w:rsidP="0011335E">
      <w:pPr>
        <w:jc w:val="both"/>
        <w:rPr>
          <w:szCs w:val="18"/>
        </w:rPr>
      </w:pPr>
    </w:p>
    <w:p w:rsidR="0011335E" w:rsidRPr="00A75AEC" w:rsidRDefault="0011335E" w:rsidP="0011335E">
      <w:pPr>
        <w:jc w:val="both"/>
        <w:rPr>
          <w:szCs w:val="18"/>
        </w:rPr>
      </w:pPr>
      <w:r w:rsidRPr="00A75AEC">
        <w:rPr>
          <w:szCs w:val="18"/>
        </w:rPr>
        <w:t xml:space="preserve">Les praticiens des opérations à effet de levier privilégient des sociétés matures, bien établies sur leur marché et aux performances historiques prouvées. </w:t>
      </w:r>
    </w:p>
    <w:p w:rsidR="00D262D8" w:rsidRPr="00A75AEC" w:rsidRDefault="00D262D8" w:rsidP="0089156F">
      <w:pPr>
        <w:spacing w:after="80"/>
        <w:jc w:val="both"/>
        <w:rPr>
          <w:szCs w:val="18"/>
        </w:rPr>
      </w:pPr>
    </w:p>
    <w:p w:rsidR="0011335E" w:rsidRPr="00A75AEC" w:rsidRDefault="0011335E" w:rsidP="0089156F">
      <w:pPr>
        <w:spacing w:after="80"/>
        <w:jc w:val="both"/>
        <w:rPr>
          <w:szCs w:val="18"/>
        </w:rPr>
      </w:pPr>
      <w:r w:rsidRPr="00A75AEC">
        <w:rPr>
          <w:szCs w:val="18"/>
        </w:rPr>
        <w:t>A cela s’ajoutent :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Une structure financière saine</w:t>
      </w:r>
      <w:r w:rsidRPr="00A75AEC">
        <w:rPr>
          <w:szCs w:val="18"/>
        </w:rPr>
        <w:t>, capable d’absorber un endettement additionnel sans compromettre le développement ou la pérennité de l’entreprise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Des cash-flows structurellement</w:t>
      </w:r>
      <w:r w:rsidRPr="00A75AEC">
        <w:rPr>
          <w:szCs w:val="18"/>
        </w:rPr>
        <w:t xml:space="preserve"> excédentaires et prévisibles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Un secteur d’activité</w:t>
      </w:r>
      <w:r w:rsidRPr="00A75AEC">
        <w:rPr>
          <w:szCs w:val="18"/>
        </w:rPr>
        <w:t xml:space="preserve"> qui ne soit pas en déclin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Des besoins d’investissements</w:t>
      </w:r>
      <w:r w:rsidRPr="00A75AEC">
        <w:rPr>
          <w:szCs w:val="18"/>
        </w:rPr>
        <w:t xml:space="preserve"> modérés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Une faible cyclicité</w:t>
      </w:r>
      <w:r w:rsidRPr="00A75AEC">
        <w:rPr>
          <w:szCs w:val="18"/>
        </w:rPr>
        <w:t xml:space="preserve"> de l’activité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Une faible concentration des risques</w:t>
      </w:r>
      <w:r w:rsidRPr="00A75AEC">
        <w:rPr>
          <w:szCs w:val="18"/>
        </w:rPr>
        <w:t xml:space="preserve"> clients, fournisseurs ou prestataires</w:t>
      </w:r>
      <w:r w:rsidR="0089156F" w:rsidRPr="00A75AEC">
        <w:rPr>
          <w:szCs w:val="18"/>
        </w:rPr>
        <w:t> ;</w:t>
      </w:r>
    </w:p>
    <w:p w:rsidR="0011335E" w:rsidRPr="00A75AEC" w:rsidRDefault="0011335E" w:rsidP="00E252DF">
      <w:pPr>
        <w:numPr>
          <w:ilvl w:val="0"/>
          <w:numId w:val="31"/>
        </w:numPr>
        <w:jc w:val="both"/>
        <w:rPr>
          <w:szCs w:val="18"/>
        </w:rPr>
      </w:pPr>
      <w:r w:rsidRPr="00A75AEC">
        <w:rPr>
          <w:b/>
          <w:bCs/>
          <w:szCs w:val="18"/>
        </w:rPr>
        <w:t>Une culture d’entreprise forte</w:t>
      </w:r>
      <w:r w:rsidRPr="00A75AEC">
        <w:rPr>
          <w:szCs w:val="18"/>
        </w:rPr>
        <w:t>, facilitant l’implication des managers et des collaborateurs-clé</w:t>
      </w:r>
      <w:r w:rsidR="0089156F" w:rsidRPr="00A75AEC">
        <w:rPr>
          <w:szCs w:val="18"/>
        </w:rPr>
        <w:t>.</w:t>
      </w:r>
    </w:p>
    <w:p w:rsidR="005F1DE0" w:rsidRPr="00A75AEC" w:rsidRDefault="005F1DE0" w:rsidP="0011335E">
      <w:pPr>
        <w:jc w:val="both"/>
        <w:rPr>
          <w:szCs w:val="18"/>
        </w:rPr>
      </w:pPr>
    </w:p>
    <w:p w:rsidR="0011335E" w:rsidRPr="00A75AEC" w:rsidRDefault="0011335E" w:rsidP="007435D6">
      <w:pPr>
        <w:spacing w:after="80"/>
        <w:jc w:val="both"/>
        <w:rPr>
          <w:szCs w:val="18"/>
        </w:rPr>
      </w:pPr>
      <w:r w:rsidRPr="00A75AEC">
        <w:rPr>
          <w:szCs w:val="18"/>
        </w:rPr>
        <w:t>Pour les praticiens, un « bon dossier » est la combinaison de deux éléments :</w:t>
      </w:r>
    </w:p>
    <w:p w:rsidR="0011335E" w:rsidRPr="00A75AEC" w:rsidRDefault="0011335E" w:rsidP="00E252DF">
      <w:pPr>
        <w:numPr>
          <w:ilvl w:val="0"/>
          <w:numId w:val="32"/>
        </w:numPr>
        <w:jc w:val="both"/>
        <w:rPr>
          <w:szCs w:val="18"/>
        </w:rPr>
      </w:pPr>
      <w:r w:rsidRPr="00A75AEC">
        <w:rPr>
          <w:szCs w:val="18"/>
        </w:rPr>
        <w:t>Une entreprise réunissant idéalement la quasi-totalité des attributs énoncés ci-dessus ;</w:t>
      </w:r>
    </w:p>
    <w:p w:rsidR="0011335E" w:rsidRPr="00A75AEC" w:rsidRDefault="0011335E" w:rsidP="00E252DF">
      <w:pPr>
        <w:numPr>
          <w:ilvl w:val="0"/>
          <w:numId w:val="32"/>
        </w:numPr>
        <w:spacing w:after="80"/>
        <w:jc w:val="both"/>
        <w:rPr>
          <w:szCs w:val="18"/>
        </w:rPr>
      </w:pPr>
      <w:r w:rsidRPr="00A75AEC">
        <w:rPr>
          <w:szCs w:val="18"/>
        </w:rPr>
        <w:t>Un montage juridico-financier</w:t>
      </w:r>
      <w:r w:rsidR="00FC66FA" w:rsidRPr="00A75AEC">
        <w:rPr>
          <w:szCs w:val="18"/>
        </w:rPr>
        <w:t xml:space="preserve"> approprié, notamment en termes</w:t>
      </w:r>
      <w:r w:rsidRPr="00A75AEC">
        <w:rPr>
          <w:szCs w:val="18"/>
        </w:rPr>
        <w:t> :</w:t>
      </w:r>
    </w:p>
    <w:p w:rsidR="0011335E" w:rsidRPr="00A75AEC" w:rsidRDefault="00FC66FA" w:rsidP="00E252DF">
      <w:pPr>
        <w:numPr>
          <w:ilvl w:val="1"/>
          <w:numId w:val="32"/>
        </w:numPr>
        <w:jc w:val="both"/>
        <w:rPr>
          <w:szCs w:val="18"/>
        </w:rPr>
      </w:pPr>
      <w:r w:rsidRPr="00A75AEC">
        <w:rPr>
          <w:szCs w:val="18"/>
        </w:rPr>
        <w:t>De v</w:t>
      </w:r>
      <w:r w:rsidR="0011335E" w:rsidRPr="00A75AEC">
        <w:rPr>
          <w:szCs w:val="18"/>
        </w:rPr>
        <w:t>alorisation de la société-cible</w:t>
      </w:r>
    </w:p>
    <w:p w:rsidR="0011335E" w:rsidRPr="00A75AEC" w:rsidRDefault="00FC66FA" w:rsidP="00E252DF">
      <w:pPr>
        <w:numPr>
          <w:ilvl w:val="1"/>
          <w:numId w:val="32"/>
        </w:numPr>
        <w:jc w:val="both"/>
        <w:rPr>
          <w:szCs w:val="18"/>
        </w:rPr>
      </w:pPr>
      <w:r w:rsidRPr="00A75AEC">
        <w:rPr>
          <w:szCs w:val="18"/>
        </w:rPr>
        <w:t xml:space="preserve">D’équilibre de la structure de financement </w:t>
      </w:r>
    </w:p>
    <w:p w:rsidR="0011335E" w:rsidRPr="00A75AEC" w:rsidRDefault="00FC66FA" w:rsidP="00E252DF">
      <w:pPr>
        <w:numPr>
          <w:ilvl w:val="1"/>
          <w:numId w:val="32"/>
        </w:numPr>
        <w:jc w:val="both"/>
        <w:rPr>
          <w:szCs w:val="18"/>
        </w:rPr>
      </w:pPr>
      <w:r w:rsidRPr="00A75AEC">
        <w:rPr>
          <w:szCs w:val="18"/>
        </w:rPr>
        <w:t>De g</w:t>
      </w:r>
      <w:r w:rsidR="0011335E" w:rsidRPr="00A75AEC">
        <w:rPr>
          <w:szCs w:val="18"/>
        </w:rPr>
        <w:t>ouvernance</w:t>
      </w:r>
    </w:p>
    <w:p w:rsidR="007435D6" w:rsidRPr="00A75AEC" w:rsidRDefault="007435D6" w:rsidP="00D262D8">
      <w:pPr>
        <w:ind w:left="1080"/>
        <w:jc w:val="both"/>
        <w:rPr>
          <w:szCs w:val="18"/>
        </w:rPr>
      </w:pPr>
    </w:p>
    <w:p w:rsidR="00292B81" w:rsidRDefault="00FC66FA" w:rsidP="00A75AEC">
      <w:pPr>
        <w:jc w:val="both"/>
        <w:rPr>
          <w:b/>
          <w:bCs/>
          <w:szCs w:val="18"/>
        </w:rPr>
      </w:pPr>
      <w:r w:rsidRPr="00A75AEC">
        <w:rPr>
          <w:szCs w:val="18"/>
        </w:rPr>
        <w:t xml:space="preserve">Cependant la qualité du LBO </w:t>
      </w:r>
      <w:r w:rsidR="0011335E" w:rsidRPr="00A75AEC">
        <w:rPr>
          <w:szCs w:val="18"/>
        </w:rPr>
        <w:t>diffère selon la position que l’on occupe dans le montage.</w:t>
      </w:r>
      <w:r w:rsidRPr="00A75AEC">
        <w:rPr>
          <w:szCs w:val="18"/>
        </w:rPr>
        <w:t xml:space="preserve"> </w:t>
      </w:r>
      <w:r w:rsidR="0011335E" w:rsidRPr="00A75AEC">
        <w:rPr>
          <w:szCs w:val="18"/>
        </w:rPr>
        <w:t xml:space="preserve">En effet, pour le banquier senior, la capacité de remboursement de la dette senior </w:t>
      </w:r>
      <w:r w:rsidRPr="00A75AEC">
        <w:rPr>
          <w:szCs w:val="18"/>
        </w:rPr>
        <w:t xml:space="preserve">prime </w:t>
      </w:r>
      <w:r w:rsidR="0011335E" w:rsidRPr="00A75AEC">
        <w:rPr>
          <w:szCs w:val="18"/>
        </w:rPr>
        <w:t>dans l’appréciation de l’opération. En revanche, pour l’investisseur en actions, la capacité de la cible à honorer le service de la dette est une condition nécessaire, mais non suffisante : son objectif est celui de la valorisation de l’ensemble du groupe dans une per</w:t>
      </w:r>
      <w:r w:rsidR="00D71A40" w:rsidRPr="00A75AEC">
        <w:rPr>
          <w:szCs w:val="18"/>
        </w:rPr>
        <w:t>sp</w:t>
      </w:r>
      <w:r w:rsidR="0011335E" w:rsidRPr="00A75AEC">
        <w:rPr>
          <w:szCs w:val="18"/>
        </w:rPr>
        <w:t>ective de sortie à un horizon de 4 à 5 ans.</w:t>
      </w:r>
    </w:p>
    <w:sectPr w:rsidR="00292B81" w:rsidSect="00DB7C6F">
      <w:headerReference w:type="default" r:id="rId11"/>
      <w:footerReference w:type="even" r:id="rId12"/>
      <w:footerReference w:type="default" r:id="rId13"/>
      <w:pgSz w:w="11906" w:h="16838"/>
      <w:pgMar w:top="907" w:right="680" w:bottom="42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75" w:rsidRDefault="00C70E75">
      <w:r>
        <w:separator/>
      </w:r>
    </w:p>
  </w:endnote>
  <w:endnote w:type="continuationSeparator" w:id="0">
    <w:p w:rsidR="00C70E75" w:rsidRDefault="00C7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B5" w:rsidRDefault="004903B5" w:rsidP="008D5A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903B5" w:rsidRDefault="004903B5" w:rsidP="005E7D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B5" w:rsidRPr="009C1CC9" w:rsidRDefault="008670AA" w:rsidP="009C1CC9">
    <w:pPr>
      <w:pStyle w:val="Pieddepage"/>
      <w:ind w:right="36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EA0732" wp14:editId="0C22EC99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73990"/>
              <wp:effectExtent l="5080" t="8890" r="0" b="762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CC9" w:rsidRDefault="009C1CC9" w:rsidP="009C1CC9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4pt;margin-top:.05pt;width:1.1pt;height:13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" stroked="f">
              <v:fill opacity="0"/>
              <v:textbox inset="0,0,0,0">
                <w:txbxContent>
                  <w:p w:rsidR="009C1CC9" w:rsidRDefault="009C1CC9" w:rsidP="009C1CC9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C1CC9" w:rsidRPr="00642AF9">
      <w:rPr>
        <w:sz w:val="20"/>
        <w:szCs w:val="20"/>
      </w:rPr>
      <w:t xml:space="preserve">©Comptazine – Reproduction interdite – DSCG </w:t>
    </w:r>
    <w:r w:rsidR="009C1CC9">
      <w:rPr>
        <w:sz w:val="20"/>
        <w:szCs w:val="20"/>
      </w:rPr>
      <w:t>Finance</w:t>
    </w:r>
    <w:r w:rsidR="009C1CC9">
      <w:rPr>
        <w:sz w:val="20"/>
        <w:szCs w:val="20"/>
      </w:rPr>
      <w:t xml:space="preserve"> 20</w:t>
    </w:r>
    <w:r w:rsidR="009C1CC9">
      <w:rPr>
        <w:sz w:val="20"/>
        <w:szCs w:val="20"/>
      </w:rPr>
      <w:t>12</w:t>
    </w:r>
    <w:r w:rsidR="009C1CC9">
      <w:rPr>
        <w:sz w:val="20"/>
      </w:rPr>
      <w:tab/>
    </w:r>
    <w:r w:rsidR="009C1CC9">
      <w:rPr>
        <w:rStyle w:val="Numrodepage"/>
        <w:sz w:val="20"/>
      </w:rPr>
      <w:fldChar w:fldCharType="begin"/>
    </w:r>
    <w:r w:rsidR="009C1CC9">
      <w:rPr>
        <w:rStyle w:val="Numrodepage"/>
        <w:sz w:val="20"/>
      </w:rPr>
      <w:instrText xml:space="preserve"> PAGE </w:instrText>
    </w:r>
    <w:r w:rsidR="009C1CC9">
      <w:rPr>
        <w:rStyle w:val="Numrodepage"/>
        <w:sz w:val="20"/>
      </w:rPr>
      <w:fldChar w:fldCharType="separate"/>
    </w:r>
    <w:r w:rsidR="00144B98">
      <w:rPr>
        <w:rStyle w:val="Numrodepage"/>
        <w:noProof/>
        <w:sz w:val="20"/>
      </w:rPr>
      <w:t>1</w:t>
    </w:r>
    <w:r w:rsidR="009C1CC9">
      <w:rPr>
        <w:rStyle w:val="Numrodepage"/>
        <w:sz w:val="20"/>
      </w:rPr>
      <w:fldChar w:fldCharType="end"/>
    </w:r>
    <w:r w:rsidR="009C1CC9">
      <w:rPr>
        <w:rStyle w:val="Numrodepage"/>
        <w:sz w:val="20"/>
      </w:rPr>
      <w:t>/</w:t>
    </w:r>
    <w:r w:rsidR="009C1CC9">
      <w:rPr>
        <w:rStyle w:val="Numrodepage"/>
        <w:sz w:val="20"/>
      </w:rPr>
      <w:fldChar w:fldCharType="begin"/>
    </w:r>
    <w:r w:rsidR="009C1CC9">
      <w:rPr>
        <w:rStyle w:val="Numrodepage"/>
        <w:sz w:val="20"/>
      </w:rPr>
      <w:instrText xml:space="preserve"> NUMPAGES </w:instrText>
    </w:r>
    <w:r w:rsidR="009C1CC9">
      <w:rPr>
        <w:rStyle w:val="Numrodepage"/>
        <w:sz w:val="20"/>
      </w:rPr>
      <w:fldChar w:fldCharType="separate"/>
    </w:r>
    <w:r w:rsidR="00144B98">
      <w:rPr>
        <w:rStyle w:val="Numrodepage"/>
        <w:noProof/>
        <w:sz w:val="20"/>
      </w:rPr>
      <w:t>6</w:t>
    </w:r>
    <w:r w:rsidR="009C1CC9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75" w:rsidRDefault="00C70E75">
      <w:r>
        <w:separator/>
      </w:r>
    </w:p>
  </w:footnote>
  <w:footnote w:type="continuationSeparator" w:id="0">
    <w:p w:rsidR="00C70E75" w:rsidRDefault="00C7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34" w:rsidRPr="009C1CC9" w:rsidRDefault="008670AA" w:rsidP="009C1CC9">
    <w:pPr>
      <w:pStyle w:val="En-tte"/>
      <w:ind w:left="3252" w:right="849" w:firstLine="3828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5678805</wp:posOffset>
          </wp:positionH>
          <wp:positionV relativeFrom="margin">
            <wp:posOffset>-495300</wp:posOffset>
          </wp:positionV>
          <wp:extent cx="381000" cy="381000"/>
          <wp:effectExtent l="0" t="0" r="0" b="0"/>
          <wp:wrapNone/>
          <wp:docPr id="2" name="Image 6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C1CC9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C1CC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76"/>
    <w:multiLevelType w:val="hybridMultilevel"/>
    <w:tmpl w:val="F364C9AE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606CD"/>
    <w:multiLevelType w:val="multilevel"/>
    <w:tmpl w:val="0AD63544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2">
    <w:nsid w:val="039B7D0F"/>
    <w:multiLevelType w:val="hybridMultilevel"/>
    <w:tmpl w:val="EDB025C8"/>
    <w:lvl w:ilvl="0" w:tplc="6A2A6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83D40"/>
    <w:multiLevelType w:val="multilevel"/>
    <w:tmpl w:val="0AD63544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4">
    <w:nsid w:val="082F143D"/>
    <w:multiLevelType w:val="hybridMultilevel"/>
    <w:tmpl w:val="45BA4D7E"/>
    <w:lvl w:ilvl="0" w:tplc="6724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8958E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0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4C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87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0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8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4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2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B05B0F"/>
    <w:multiLevelType w:val="multilevel"/>
    <w:tmpl w:val="29A29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6B591E"/>
    <w:multiLevelType w:val="hybridMultilevel"/>
    <w:tmpl w:val="56BA7536"/>
    <w:lvl w:ilvl="0" w:tplc="0212B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50EBC"/>
    <w:multiLevelType w:val="hybridMultilevel"/>
    <w:tmpl w:val="FD9E3600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CC1026"/>
    <w:multiLevelType w:val="multilevel"/>
    <w:tmpl w:val="6FEC1E20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9">
    <w:nsid w:val="138A47A9"/>
    <w:multiLevelType w:val="hybridMultilevel"/>
    <w:tmpl w:val="D66C8E1E"/>
    <w:lvl w:ilvl="0" w:tplc="90744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8DD06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A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43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8D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A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C7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6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A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53C5537"/>
    <w:multiLevelType w:val="multilevel"/>
    <w:tmpl w:val="879A80D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11">
    <w:nsid w:val="180A5BB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9F923EF"/>
    <w:multiLevelType w:val="hybridMultilevel"/>
    <w:tmpl w:val="96DCF7B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629FF"/>
    <w:multiLevelType w:val="multilevel"/>
    <w:tmpl w:val="8432F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F150D"/>
    <w:multiLevelType w:val="hybridMultilevel"/>
    <w:tmpl w:val="8402AAF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5E75ED"/>
    <w:multiLevelType w:val="hybridMultilevel"/>
    <w:tmpl w:val="A11E9F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13899"/>
    <w:multiLevelType w:val="hybridMultilevel"/>
    <w:tmpl w:val="242C1292"/>
    <w:lvl w:ilvl="0" w:tplc="DE3C3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8D02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2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A8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A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C6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2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4360C6"/>
    <w:multiLevelType w:val="hybridMultilevel"/>
    <w:tmpl w:val="41B2C83C"/>
    <w:lvl w:ilvl="0" w:tplc="85CEB110">
      <w:start w:val="85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335595"/>
    <w:multiLevelType w:val="multilevel"/>
    <w:tmpl w:val="111CA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4FE4E8F"/>
    <w:multiLevelType w:val="hybridMultilevel"/>
    <w:tmpl w:val="27C06440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1B5F70"/>
    <w:multiLevelType w:val="hybridMultilevel"/>
    <w:tmpl w:val="078AA142"/>
    <w:lvl w:ilvl="0" w:tplc="E4F65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0B83A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0DEE8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CC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01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AC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E6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A4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6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BC160D"/>
    <w:multiLevelType w:val="hybridMultilevel"/>
    <w:tmpl w:val="43685D62"/>
    <w:lvl w:ilvl="0" w:tplc="F65C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2C8E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44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6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E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E7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6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742AA7"/>
    <w:multiLevelType w:val="hybridMultilevel"/>
    <w:tmpl w:val="C6B49F6C"/>
    <w:lvl w:ilvl="0" w:tplc="4BD0F7CA">
      <w:start w:val="8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F36D8"/>
    <w:multiLevelType w:val="hybridMultilevel"/>
    <w:tmpl w:val="62F0E9CE"/>
    <w:lvl w:ilvl="0" w:tplc="3A649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0BCC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8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A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8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06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C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25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AF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815019"/>
    <w:multiLevelType w:val="hybridMultilevel"/>
    <w:tmpl w:val="3AFC4FB8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813489"/>
    <w:multiLevelType w:val="hybridMultilevel"/>
    <w:tmpl w:val="350C7D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AA5A82"/>
    <w:multiLevelType w:val="hybridMultilevel"/>
    <w:tmpl w:val="11AE9B62"/>
    <w:lvl w:ilvl="0" w:tplc="8D2C7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AD402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2B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EB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A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E6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E623A6"/>
    <w:multiLevelType w:val="hybridMultilevel"/>
    <w:tmpl w:val="8CD684A8"/>
    <w:lvl w:ilvl="0" w:tplc="6A2A6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2F7606"/>
    <w:multiLevelType w:val="hybridMultilevel"/>
    <w:tmpl w:val="BE289EF8"/>
    <w:lvl w:ilvl="0" w:tplc="040C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AB11E5E"/>
    <w:multiLevelType w:val="multilevel"/>
    <w:tmpl w:val="E44A6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5F43FD"/>
    <w:multiLevelType w:val="hybridMultilevel"/>
    <w:tmpl w:val="FE62B214"/>
    <w:lvl w:ilvl="0" w:tplc="4608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ED484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6D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E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E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4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4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DCB162D"/>
    <w:multiLevelType w:val="hybridMultilevel"/>
    <w:tmpl w:val="EF3EC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2"/>
  </w:num>
  <w:num w:numId="11">
    <w:abstractNumId w:val="24"/>
  </w:num>
  <w:num w:numId="12">
    <w:abstractNumId w:val="27"/>
  </w:num>
  <w:num w:numId="13">
    <w:abstractNumId w:val="12"/>
  </w:num>
  <w:num w:numId="14">
    <w:abstractNumId w:val="21"/>
  </w:num>
  <w:num w:numId="15">
    <w:abstractNumId w:val="20"/>
  </w:num>
  <w:num w:numId="16">
    <w:abstractNumId w:val="4"/>
  </w:num>
  <w:num w:numId="17">
    <w:abstractNumId w:val="26"/>
  </w:num>
  <w:num w:numId="18">
    <w:abstractNumId w:val="23"/>
  </w:num>
  <w:num w:numId="19">
    <w:abstractNumId w:val="16"/>
  </w:num>
  <w:num w:numId="20">
    <w:abstractNumId w:val="30"/>
  </w:num>
  <w:num w:numId="21">
    <w:abstractNumId w:val="9"/>
  </w:num>
  <w:num w:numId="22">
    <w:abstractNumId w:val="6"/>
  </w:num>
  <w:num w:numId="23">
    <w:abstractNumId w:val="11"/>
  </w:num>
  <w:num w:numId="24">
    <w:abstractNumId w:val="5"/>
  </w:num>
  <w:num w:numId="25">
    <w:abstractNumId w:val="18"/>
  </w:num>
  <w:num w:numId="26">
    <w:abstractNumId w:val="22"/>
  </w:num>
  <w:num w:numId="27">
    <w:abstractNumId w:val="17"/>
  </w:num>
  <w:num w:numId="28">
    <w:abstractNumId w:val="29"/>
  </w:num>
  <w:num w:numId="29">
    <w:abstractNumId w:val="15"/>
  </w:num>
  <w:num w:numId="30">
    <w:abstractNumId w:val="14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F"/>
    <w:rsid w:val="0000596B"/>
    <w:rsid w:val="00005B26"/>
    <w:rsid w:val="0003305E"/>
    <w:rsid w:val="000466AC"/>
    <w:rsid w:val="00057859"/>
    <w:rsid w:val="00060437"/>
    <w:rsid w:val="00071E8C"/>
    <w:rsid w:val="00074805"/>
    <w:rsid w:val="0009214E"/>
    <w:rsid w:val="00094D0A"/>
    <w:rsid w:val="000A4807"/>
    <w:rsid w:val="000A6807"/>
    <w:rsid w:val="000B22EE"/>
    <w:rsid w:val="000C7418"/>
    <w:rsid w:val="000D44DB"/>
    <w:rsid w:val="000D5B58"/>
    <w:rsid w:val="000E5A06"/>
    <w:rsid w:val="000E6588"/>
    <w:rsid w:val="0011335E"/>
    <w:rsid w:val="00124A45"/>
    <w:rsid w:val="00134BC5"/>
    <w:rsid w:val="00136657"/>
    <w:rsid w:val="0014479A"/>
    <w:rsid w:val="00144B98"/>
    <w:rsid w:val="001471A3"/>
    <w:rsid w:val="00153C1E"/>
    <w:rsid w:val="00155C87"/>
    <w:rsid w:val="00164CD4"/>
    <w:rsid w:val="00165B53"/>
    <w:rsid w:val="00166F0C"/>
    <w:rsid w:val="001770FD"/>
    <w:rsid w:val="00185347"/>
    <w:rsid w:val="001A1384"/>
    <w:rsid w:val="001A2B07"/>
    <w:rsid w:val="001D4CC7"/>
    <w:rsid w:val="001E72EE"/>
    <w:rsid w:val="002020DC"/>
    <w:rsid w:val="002037FB"/>
    <w:rsid w:val="0022237F"/>
    <w:rsid w:val="002234B0"/>
    <w:rsid w:val="0022448D"/>
    <w:rsid w:val="00243D3A"/>
    <w:rsid w:val="002919AD"/>
    <w:rsid w:val="00292B81"/>
    <w:rsid w:val="002B185D"/>
    <w:rsid w:val="002B361A"/>
    <w:rsid w:val="002E6B88"/>
    <w:rsid w:val="003058DD"/>
    <w:rsid w:val="00305DA6"/>
    <w:rsid w:val="0032781B"/>
    <w:rsid w:val="00340808"/>
    <w:rsid w:val="0034756E"/>
    <w:rsid w:val="00355F3E"/>
    <w:rsid w:val="003969F5"/>
    <w:rsid w:val="003B43B0"/>
    <w:rsid w:val="003D0620"/>
    <w:rsid w:val="003D5FB3"/>
    <w:rsid w:val="00435663"/>
    <w:rsid w:val="004606D5"/>
    <w:rsid w:val="00470ACB"/>
    <w:rsid w:val="00470FD5"/>
    <w:rsid w:val="0048484D"/>
    <w:rsid w:val="004903B5"/>
    <w:rsid w:val="004C74EE"/>
    <w:rsid w:val="004C7A1F"/>
    <w:rsid w:val="004E4156"/>
    <w:rsid w:val="00500130"/>
    <w:rsid w:val="00502BA6"/>
    <w:rsid w:val="00517D98"/>
    <w:rsid w:val="00524112"/>
    <w:rsid w:val="00525D97"/>
    <w:rsid w:val="00560ADB"/>
    <w:rsid w:val="00564079"/>
    <w:rsid w:val="00574FF1"/>
    <w:rsid w:val="00580769"/>
    <w:rsid w:val="00581879"/>
    <w:rsid w:val="00581D01"/>
    <w:rsid w:val="005925EA"/>
    <w:rsid w:val="005A1441"/>
    <w:rsid w:val="005B7277"/>
    <w:rsid w:val="005C08C9"/>
    <w:rsid w:val="005E7D34"/>
    <w:rsid w:val="005F1DE0"/>
    <w:rsid w:val="005F377A"/>
    <w:rsid w:val="0061326A"/>
    <w:rsid w:val="006366CB"/>
    <w:rsid w:val="006430B0"/>
    <w:rsid w:val="006505FA"/>
    <w:rsid w:val="00672A6F"/>
    <w:rsid w:val="0067320A"/>
    <w:rsid w:val="006A6631"/>
    <w:rsid w:val="006B30AF"/>
    <w:rsid w:val="006E0C26"/>
    <w:rsid w:val="006F5890"/>
    <w:rsid w:val="00701F16"/>
    <w:rsid w:val="00706EF5"/>
    <w:rsid w:val="0071327F"/>
    <w:rsid w:val="007424CA"/>
    <w:rsid w:val="007435D6"/>
    <w:rsid w:val="007458E5"/>
    <w:rsid w:val="007551BA"/>
    <w:rsid w:val="00761354"/>
    <w:rsid w:val="00763B80"/>
    <w:rsid w:val="00780488"/>
    <w:rsid w:val="00785A4A"/>
    <w:rsid w:val="0078788B"/>
    <w:rsid w:val="0079546D"/>
    <w:rsid w:val="007A3F84"/>
    <w:rsid w:val="007C1F58"/>
    <w:rsid w:val="007E4281"/>
    <w:rsid w:val="007E5710"/>
    <w:rsid w:val="008245F7"/>
    <w:rsid w:val="008405B4"/>
    <w:rsid w:val="00850773"/>
    <w:rsid w:val="00853E37"/>
    <w:rsid w:val="00857619"/>
    <w:rsid w:val="008670AA"/>
    <w:rsid w:val="0089156F"/>
    <w:rsid w:val="00894F98"/>
    <w:rsid w:val="00895819"/>
    <w:rsid w:val="008A7A2E"/>
    <w:rsid w:val="008C70A3"/>
    <w:rsid w:val="008D5001"/>
    <w:rsid w:val="008D5ACC"/>
    <w:rsid w:val="008E37ED"/>
    <w:rsid w:val="008F39BE"/>
    <w:rsid w:val="008F4759"/>
    <w:rsid w:val="00952A39"/>
    <w:rsid w:val="009679CA"/>
    <w:rsid w:val="00983E70"/>
    <w:rsid w:val="009952B8"/>
    <w:rsid w:val="009B1E63"/>
    <w:rsid w:val="009C1CC9"/>
    <w:rsid w:val="009E664B"/>
    <w:rsid w:val="00A135B1"/>
    <w:rsid w:val="00A15F32"/>
    <w:rsid w:val="00A46973"/>
    <w:rsid w:val="00A557A1"/>
    <w:rsid w:val="00A60915"/>
    <w:rsid w:val="00A75AEC"/>
    <w:rsid w:val="00A80D74"/>
    <w:rsid w:val="00A8553C"/>
    <w:rsid w:val="00AB7053"/>
    <w:rsid w:val="00AE7F95"/>
    <w:rsid w:val="00AF365D"/>
    <w:rsid w:val="00AF4062"/>
    <w:rsid w:val="00B000EC"/>
    <w:rsid w:val="00B01F7F"/>
    <w:rsid w:val="00B363BB"/>
    <w:rsid w:val="00B37FF8"/>
    <w:rsid w:val="00B4525E"/>
    <w:rsid w:val="00B54C4A"/>
    <w:rsid w:val="00B671FE"/>
    <w:rsid w:val="00B7653D"/>
    <w:rsid w:val="00BA6287"/>
    <w:rsid w:val="00BC3426"/>
    <w:rsid w:val="00BC4AD5"/>
    <w:rsid w:val="00BD77DF"/>
    <w:rsid w:val="00BE1E95"/>
    <w:rsid w:val="00BE5176"/>
    <w:rsid w:val="00BF46CA"/>
    <w:rsid w:val="00C00EEE"/>
    <w:rsid w:val="00C04036"/>
    <w:rsid w:val="00C0524A"/>
    <w:rsid w:val="00C07383"/>
    <w:rsid w:val="00C145F6"/>
    <w:rsid w:val="00C31BB7"/>
    <w:rsid w:val="00C46F17"/>
    <w:rsid w:val="00C70E75"/>
    <w:rsid w:val="00C974BF"/>
    <w:rsid w:val="00CF2B5C"/>
    <w:rsid w:val="00D00FE0"/>
    <w:rsid w:val="00D07B4C"/>
    <w:rsid w:val="00D25651"/>
    <w:rsid w:val="00D262D8"/>
    <w:rsid w:val="00D35D3E"/>
    <w:rsid w:val="00D45D18"/>
    <w:rsid w:val="00D71A40"/>
    <w:rsid w:val="00D72696"/>
    <w:rsid w:val="00D81D74"/>
    <w:rsid w:val="00D85320"/>
    <w:rsid w:val="00DB733E"/>
    <w:rsid w:val="00DB7C6F"/>
    <w:rsid w:val="00DD6D4D"/>
    <w:rsid w:val="00DF3ADC"/>
    <w:rsid w:val="00E04EEA"/>
    <w:rsid w:val="00E252DF"/>
    <w:rsid w:val="00E31E34"/>
    <w:rsid w:val="00E33070"/>
    <w:rsid w:val="00E66E66"/>
    <w:rsid w:val="00E968D1"/>
    <w:rsid w:val="00EA19FA"/>
    <w:rsid w:val="00EA6E6A"/>
    <w:rsid w:val="00EA7F8B"/>
    <w:rsid w:val="00EB243D"/>
    <w:rsid w:val="00EC34B6"/>
    <w:rsid w:val="00ED38F9"/>
    <w:rsid w:val="00EE7D4C"/>
    <w:rsid w:val="00F00EF6"/>
    <w:rsid w:val="00F20217"/>
    <w:rsid w:val="00F21506"/>
    <w:rsid w:val="00F22DC9"/>
    <w:rsid w:val="00F256A2"/>
    <w:rsid w:val="00FC66FA"/>
    <w:rsid w:val="00FD73B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0F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B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E7D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E7D34"/>
  </w:style>
  <w:style w:type="paragraph" w:styleId="Liste2">
    <w:name w:val="List 2"/>
    <w:basedOn w:val="Normal"/>
    <w:rsid w:val="001A1384"/>
    <w:pPr>
      <w:ind w:left="566" w:hanging="283"/>
    </w:pPr>
  </w:style>
  <w:style w:type="character" w:styleId="Accentuation">
    <w:name w:val="Emphasis"/>
    <w:basedOn w:val="Policepardfaut"/>
    <w:qFormat/>
    <w:rsid w:val="0061326A"/>
    <w:rPr>
      <w:i/>
      <w:iCs/>
    </w:rPr>
  </w:style>
  <w:style w:type="character" w:styleId="lev">
    <w:name w:val="Strong"/>
    <w:basedOn w:val="Policepardfaut"/>
    <w:qFormat/>
    <w:rsid w:val="0061326A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6F589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6F5890"/>
    <w:rPr>
      <w:rFonts w:ascii="Cambria" w:eastAsia="Times New Roman" w:hAnsi="Cambria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770F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1770FD"/>
    <w:pPr>
      <w:widowControl w:val="0"/>
      <w:overflowPunct w:val="0"/>
      <w:autoSpaceDE w:val="0"/>
      <w:autoSpaceDN w:val="0"/>
      <w:adjustRightInd w:val="0"/>
      <w:jc w:val="center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1770FD"/>
    <w:rPr>
      <w:noProof/>
      <w:sz w:val="28"/>
      <w:szCs w:val="28"/>
    </w:rPr>
  </w:style>
  <w:style w:type="paragraph" w:styleId="En-tte">
    <w:name w:val="header"/>
    <w:basedOn w:val="Normal"/>
    <w:link w:val="En-tteCar"/>
    <w:rsid w:val="00592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25E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925EA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0F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B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E7D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E7D34"/>
  </w:style>
  <w:style w:type="paragraph" w:styleId="Liste2">
    <w:name w:val="List 2"/>
    <w:basedOn w:val="Normal"/>
    <w:rsid w:val="001A1384"/>
    <w:pPr>
      <w:ind w:left="566" w:hanging="283"/>
    </w:pPr>
  </w:style>
  <w:style w:type="character" w:styleId="Accentuation">
    <w:name w:val="Emphasis"/>
    <w:basedOn w:val="Policepardfaut"/>
    <w:qFormat/>
    <w:rsid w:val="0061326A"/>
    <w:rPr>
      <w:i/>
      <w:iCs/>
    </w:rPr>
  </w:style>
  <w:style w:type="character" w:styleId="lev">
    <w:name w:val="Strong"/>
    <w:basedOn w:val="Policepardfaut"/>
    <w:qFormat/>
    <w:rsid w:val="0061326A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6F589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6F5890"/>
    <w:rPr>
      <w:rFonts w:ascii="Cambria" w:eastAsia="Times New Roman" w:hAnsi="Cambria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770F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1770FD"/>
    <w:pPr>
      <w:widowControl w:val="0"/>
      <w:overflowPunct w:val="0"/>
      <w:autoSpaceDE w:val="0"/>
      <w:autoSpaceDN w:val="0"/>
      <w:adjustRightInd w:val="0"/>
      <w:jc w:val="center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1770FD"/>
    <w:rPr>
      <w:noProof/>
      <w:sz w:val="28"/>
      <w:szCs w:val="28"/>
    </w:rPr>
  </w:style>
  <w:style w:type="paragraph" w:styleId="En-tte">
    <w:name w:val="header"/>
    <w:basedOn w:val="Normal"/>
    <w:link w:val="En-tteCar"/>
    <w:rsid w:val="00592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25E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925EA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1FB65-7BF5-4B92-A396-CDCB26D2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Etablissement du business plan</vt:lpstr>
    </vt:vector>
  </TitlesOfParts>
  <Company>alternative</Company>
  <LinksUpToDate>false</LinksUpToDate>
  <CharactersWithSpaces>11356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2014-04-05T19:28:00Z</cp:lastPrinted>
  <dcterms:created xsi:type="dcterms:W3CDTF">2014-04-05T19:28:00Z</dcterms:created>
  <dcterms:modified xsi:type="dcterms:W3CDTF">2014-04-05T19:28:00Z</dcterms:modified>
</cp:coreProperties>
</file>