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55F" w:rsidRDefault="0048255F" w:rsidP="0048255F">
      <w:pPr>
        <w:tabs>
          <w:tab w:val="left" w:pos="1140"/>
        </w:tabs>
        <w:ind w:firstLine="709"/>
        <w:rPr>
          <w:rFonts w:ascii="Times" w:eastAsia="Times" w:hAnsi="Times"/>
          <w:b/>
          <w:bCs/>
          <w:sz w:val="20"/>
        </w:rPr>
      </w:pPr>
      <w:bookmarkStart w:id="0" w:name="_GoBack"/>
      <w:bookmarkEnd w:id="0"/>
      <w:r>
        <w:rPr>
          <w:rFonts w:ascii="Times" w:eastAsia="Times" w:hAnsi="Times"/>
          <w:b/>
          <w:bCs/>
          <w:sz w:val="20"/>
        </w:rPr>
        <w:tab/>
      </w:r>
    </w:p>
    <w:p w:rsidR="0048255F" w:rsidRPr="0048255F" w:rsidRDefault="0033155F" w:rsidP="0048255F">
      <w:pPr>
        <w:tabs>
          <w:tab w:val="left" w:pos="851"/>
        </w:tabs>
        <w:rPr>
          <w:rFonts w:eastAsia="Times"/>
          <w:b/>
          <w:bCs/>
          <w:sz w:val="20"/>
          <w:szCs w:val="20"/>
        </w:rPr>
      </w:pPr>
      <w:r>
        <w:rPr>
          <w:rFonts w:eastAsia="Times"/>
          <w:b/>
          <w:bCs/>
          <w:sz w:val="20"/>
          <w:szCs w:val="20"/>
        </w:rPr>
        <w:t xml:space="preserve">            </w:t>
      </w:r>
    </w:p>
    <w:p w:rsidR="0048255F" w:rsidRDefault="003F708C" w:rsidP="0048255F">
      <w:pPr>
        <w:rPr>
          <w:rFonts w:ascii="Times" w:eastAsia="Times" w:hAnsi="Times"/>
        </w:rPr>
      </w:pPr>
      <w:r>
        <w:rPr>
          <w:b/>
          <w:bCs/>
          <w:noProof/>
          <w:sz w:val="20"/>
          <w:szCs w:val="20"/>
        </w:rPr>
        <mc:AlternateContent>
          <mc:Choice Requires="wpg">
            <w:drawing>
              <wp:anchor distT="0" distB="0" distL="114300" distR="114300" simplePos="0" relativeHeight="251663872" behindDoc="0" locked="0" layoutInCell="1" allowOverlap="1">
                <wp:simplePos x="0" y="0"/>
                <wp:positionH relativeFrom="column">
                  <wp:posOffset>165735</wp:posOffset>
                </wp:positionH>
                <wp:positionV relativeFrom="paragraph">
                  <wp:posOffset>-1270</wp:posOffset>
                </wp:positionV>
                <wp:extent cx="1429385" cy="723900"/>
                <wp:effectExtent l="10795" t="9525" r="0" b="9525"/>
                <wp:wrapNone/>
                <wp:docPr id="1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9385" cy="723900"/>
                          <a:chOff x="1605" y="1319"/>
                          <a:chExt cx="2251" cy="1140"/>
                        </a:xfrm>
                      </wpg:grpSpPr>
                      <wps:wsp>
                        <wps:cNvPr id="15" name="Text Box 6"/>
                        <wps:cNvSpPr txBox="1">
                          <a:spLocks noChangeArrowheads="1"/>
                        </wps:cNvSpPr>
                        <wps:spPr bwMode="auto">
                          <a:xfrm>
                            <a:off x="1786" y="1543"/>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8DF" w:rsidRPr="000237BA" w:rsidRDefault="002128DF" w:rsidP="0048255F">
                              <w:pPr>
                                <w:pStyle w:val="Titre6"/>
                              </w:pPr>
                              <w:r w:rsidRPr="000237BA">
                                <w:rPr>
                                  <w:bCs w:val="0"/>
                                  <w:sz w:val="40"/>
                                </w:rPr>
                                <w:t>DSCG</w:t>
                              </w:r>
                            </w:p>
                          </w:txbxContent>
                        </wps:txbx>
                        <wps:bodyPr rot="0" vert="horz" wrap="square" lIns="91440" tIns="45720" rIns="91440" bIns="45720" anchor="t" anchorCtr="0" upright="1">
                          <a:noAutofit/>
                        </wps:bodyPr>
                      </wps:wsp>
                      <wps:wsp>
                        <wps:cNvPr id="16" name="AutoShape 7"/>
                        <wps:cNvSpPr>
                          <a:spLocks noChangeArrowheads="1"/>
                        </wps:cNvSpPr>
                        <wps:spPr bwMode="auto">
                          <a:xfrm>
                            <a:off x="1605" y="1319"/>
                            <a:ext cx="1860" cy="114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4" o:spid="_x0000_s1026" style="position:absolute;left:0;text-align:left;margin-left:13.05pt;margin-top:-.1pt;width:112.55pt;height:57pt;z-index:251663872" coordorigin="1605,1319" coordsize="225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">
                <v:shapetype id="_x0000_t202" coordsize="21600,21600" o:spt="202" path="m,l,21600r21600,l21600,xe">
                  <v:stroke joinstyle="miter"/>
                  <v:path gradientshapeok="t" o:connecttype="rect"/>
                </v:shapetype>
                <v:shape id="Text Box 6" o:spid="_x0000_s1027" type="#_x0000_t202" style="position:absolute;left:1786;top:1543;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2128DF" w:rsidRPr="000237BA" w:rsidRDefault="002128DF" w:rsidP="0048255F">
                        <w:pPr>
                          <w:pStyle w:val="Titre6"/>
                        </w:pPr>
                        <w:r w:rsidRPr="000237BA">
                          <w:rPr>
                            <w:bCs w:val="0"/>
                            <w:sz w:val="40"/>
                          </w:rPr>
                          <w:t>DSCG</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 o:spid="_x0000_s1028" type="#_x0000_t65" style="position:absolute;left:1605;top:1319;width:186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9ussIA&#10;AADbAAAADwAAAGRycy9kb3ducmV2LnhtbERPS2vCQBC+F/oflin01mzaQ1qiq2ipVHKpj4DXYXdM&#10;otnZkF1N/PfdQsHbfHzPmc5H24or9b5xrOA1SUEQa2carhSU+9XLBwgfkA22jknBjTzMZ48PU8yN&#10;G3hL112oRAxhn6OCOoQul9Lrmiz6xHXEkTu63mKIsK+k6XGI4baVb2maSYsNx4YaO/qsSZ93F6vA&#10;ncK7+dluDtnmSy+/dYVFiYVSz0/jYgIi0Bju4n/32sT5Gfz9Eg+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26ywgAAANsAAAAPAAAAAAAAAAAAAAAAAJgCAABkcnMvZG93&#10;bnJldi54bWxQSwUGAAAAAAQABAD1AAAAhwMAAAAA&#10;" filled="f"/>
              </v:group>
            </w:pict>
          </mc:Fallback>
        </mc:AlternateContent>
      </w:r>
    </w:p>
    <w:p w:rsidR="0048255F" w:rsidRDefault="0048255F" w:rsidP="0048255F">
      <w:pPr>
        <w:rPr>
          <w:rFonts w:ascii="Times" w:eastAsia="Times" w:hAnsi="Times"/>
        </w:rPr>
      </w:pPr>
    </w:p>
    <w:p w:rsidR="0048255F" w:rsidRDefault="0048255F" w:rsidP="0048255F">
      <w:pPr>
        <w:rPr>
          <w:sz w:val="22"/>
        </w:rPr>
      </w:pPr>
    </w:p>
    <w:p w:rsidR="0048255F" w:rsidRDefault="0048255F" w:rsidP="0048255F">
      <w:pPr>
        <w:rPr>
          <w:b/>
          <w:bCs/>
          <w:sz w:val="28"/>
        </w:rPr>
      </w:pPr>
    </w:p>
    <w:p w:rsidR="0048255F" w:rsidRDefault="0048255F" w:rsidP="0048255F">
      <w:pPr>
        <w:jc w:val="center"/>
        <w:rPr>
          <w:b/>
          <w:bCs/>
          <w:sz w:val="28"/>
        </w:rPr>
      </w:pPr>
    </w:p>
    <w:p w:rsidR="0048255F" w:rsidRDefault="0048255F" w:rsidP="0048255F">
      <w:pPr>
        <w:pStyle w:val="Titre1"/>
        <w:jc w:val="center"/>
        <w:rPr>
          <w:sz w:val="48"/>
          <w:szCs w:val="48"/>
        </w:rPr>
      </w:pPr>
    </w:p>
    <w:p w:rsidR="0048255F" w:rsidRDefault="0048255F" w:rsidP="0048255F">
      <w:pPr>
        <w:jc w:val="center"/>
        <w:rPr>
          <w:rFonts w:eastAsia="Arial Unicode MS"/>
          <w:sz w:val="48"/>
        </w:rPr>
      </w:pPr>
    </w:p>
    <w:p w:rsidR="0048255F" w:rsidRPr="00BA4E6E" w:rsidRDefault="0048255F" w:rsidP="0048255F">
      <w:pPr>
        <w:pStyle w:val="Titre"/>
        <w:rPr>
          <w:b/>
          <w:bCs/>
          <w:caps/>
          <w:sz w:val="44"/>
          <w:szCs w:val="44"/>
        </w:rPr>
      </w:pPr>
      <w:r>
        <w:rPr>
          <w:b/>
          <w:bCs/>
          <w:caps/>
          <w:sz w:val="48"/>
        </w:rPr>
        <w:t xml:space="preserve"> </w:t>
      </w:r>
      <w:r w:rsidRPr="00BA4E6E">
        <w:rPr>
          <w:b/>
          <w:bCs/>
          <w:caps/>
          <w:sz w:val="44"/>
          <w:szCs w:val="44"/>
        </w:rPr>
        <w:t>SESSION 2013</w:t>
      </w:r>
    </w:p>
    <w:p w:rsidR="0048255F" w:rsidRDefault="0048255F" w:rsidP="0048255F">
      <w:pPr>
        <w:pStyle w:val="Titre"/>
        <w:rPr>
          <w:b/>
          <w:bCs/>
          <w:caps/>
          <w:sz w:val="48"/>
        </w:rPr>
      </w:pPr>
    </w:p>
    <w:p w:rsidR="0048255F" w:rsidRDefault="0048255F" w:rsidP="0048255F">
      <w:pPr>
        <w:pStyle w:val="Titre"/>
        <w:rPr>
          <w:b/>
          <w:bCs/>
          <w:caps/>
          <w:sz w:val="48"/>
        </w:rPr>
      </w:pPr>
    </w:p>
    <w:p w:rsidR="0048255F" w:rsidRPr="00BA4E6E" w:rsidRDefault="0048255F" w:rsidP="0048255F">
      <w:pPr>
        <w:pStyle w:val="Titre3"/>
        <w:spacing w:line="240" w:lineRule="auto"/>
      </w:pPr>
      <w:r w:rsidRPr="00BA4E6E">
        <w:t>UE</w:t>
      </w:r>
      <w:r>
        <w:t>2</w:t>
      </w:r>
      <w:r w:rsidRPr="00BA4E6E">
        <w:t xml:space="preserve"> – </w:t>
      </w:r>
      <w:r>
        <w:t>FINANCE</w:t>
      </w:r>
    </w:p>
    <w:p w:rsidR="0048255F" w:rsidRDefault="0048255F" w:rsidP="0048255F">
      <w:pPr>
        <w:jc w:val="center"/>
        <w:rPr>
          <w:rFonts w:eastAsia="Arial Unicode MS"/>
          <w:sz w:val="48"/>
        </w:rPr>
      </w:pPr>
    </w:p>
    <w:p w:rsidR="0048255F" w:rsidRDefault="0048255F" w:rsidP="0048255F">
      <w:pPr>
        <w:jc w:val="center"/>
        <w:rPr>
          <w:sz w:val="48"/>
        </w:rPr>
      </w:pPr>
    </w:p>
    <w:p w:rsidR="0048255F" w:rsidRPr="00BA4E6E" w:rsidRDefault="0048255F" w:rsidP="0048255F">
      <w:pPr>
        <w:pBdr>
          <w:top w:val="single" w:sz="4" w:space="1" w:color="auto"/>
          <w:left w:val="single" w:sz="4" w:space="4" w:color="auto"/>
          <w:bottom w:val="single" w:sz="4" w:space="1" w:color="auto"/>
          <w:right w:val="single" w:sz="4" w:space="4" w:color="auto"/>
        </w:pBdr>
        <w:jc w:val="center"/>
        <w:rPr>
          <w:b/>
          <w:sz w:val="16"/>
          <w:szCs w:val="16"/>
        </w:rPr>
      </w:pPr>
    </w:p>
    <w:p w:rsidR="0048255F" w:rsidRPr="00BA4E6E" w:rsidRDefault="0048255F" w:rsidP="0048255F">
      <w:pPr>
        <w:pBdr>
          <w:top w:val="single" w:sz="4" w:space="1" w:color="auto"/>
          <w:left w:val="single" w:sz="4" w:space="4" w:color="auto"/>
          <w:bottom w:val="single" w:sz="4" w:space="1" w:color="auto"/>
          <w:right w:val="single" w:sz="4" w:space="4" w:color="auto"/>
        </w:pBdr>
        <w:jc w:val="center"/>
        <w:rPr>
          <w:sz w:val="32"/>
          <w:szCs w:val="32"/>
        </w:rPr>
      </w:pPr>
      <w:r w:rsidRPr="00BA4E6E">
        <w:rPr>
          <w:sz w:val="32"/>
          <w:szCs w:val="32"/>
        </w:rPr>
        <w:t>Éléments indicati</w:t>
      </w:r>
      <w:r w:rsidR="0033155F">
        <w:rPr>
          <w:sz w:val="32"/>
          <w:szCs w:val="32"/>
        </w:rPr>
        <w:t>fs de corrigé</w:t>
      </w:r>
    </w:p>
    <w:p w:rsidR="0048255F" w:rsidRPr="00BA4E6E" w:rsidRDefault="0048255F" w:rsidP="0048255F">
      <w:pPr>
        <w:pBdr>
          <w:top w:val="single" w:sz="4" w:space="1" w:color="auto"/>
          <w:left w:val="single" w:sz="4" w:space="4" w:color="auto"/>
          <w:bottom w:val="single" w:sz="4" w:space="1" w:color="auto"/>
          <w:right w:val="single" w:sz="4" w:space="4" w:color="auto"/>
        </w:pBdr>
        <w:jc w:val="center"/>
        <w:rPr>
          <w:b/>
          <w:sz w:val="16"/>
          <w:szCs w:val="16"/>
        </w:rPr>
      </w:pPr>
    </w:p>
    <w:p w:rsidR="0048255F" w:rsidRDefault="0048255F" w:rsidP="0048255F">
      <w:pPr>
        <w:jc w:val="center"/>
        <w:rPr>
          <w:b/>
          <w:sz w:val="48"/>
        </w:rPr>
      </w:pPr>
    </w:p>
    <w:p w:rsidR="0048255F" w:rsidRDefault="0048255F" w:rsidP="0048255F">
      <w:pPr>
        <w:jc w:val="center"/>
        <w:rPr>
          <w:b/>
          <w:sz w:val="48"/>
        </w:rPr>
      </w:pPr>
    </w:p>
    <w:p w:rsidR="0048255F" w:rsidRDefault="0048255F" w:rsidP="0048255F">
      <w:pPr>
        <w:jc w:val="center"/>
        <w:rPr>
          <w:b/>
          <w:sz w:val="48"/>
        </w:rPr>
      </w:pPr>
    </w:p>
    <w:p w:rsidR="0048255F" w:rsidRDefault="0048255F" w:rsidP="0048255F">
      <w:pPr>
        <w:jc w:val="center"/>
        <w:rPr>
          <w:b/>
          <w:sz w:val="48"/>
        </w:rPr>
      </w:pPr>
    </w:p>
    <w:p w:rsidR="0048255F" w:rsidRDefault="0048255F" w:rsidP="0048255F">
      <w:pPr>
        <w:jc w:val="center"/>
        <w:rPr>
          <w:b/>
          <w:sz w:val="48"/>
        </w:rPr>
      </w:pPr>
    </w:p>
    <w:p w:rsidR="0048255F" w:rsidRDefault="0048255F" w:rsidP="0048255F">
      <w:pPr>
        <w:rPr>
          <w:sz w:val="20"/>
          <w:szCs w:val="20"/>
        </w:rPr>
      </w:pPr>
    </w:p>
    <w:p w:rsidR="0048255F" w:rsidRPr="009B0B72" w:rsidRDefault="0048255F" w:rsidP="00212FAC">
      <w:pPr>
        <w:pStyle w:val="Sansinterligne"/>
      </w:pPr>
      <w:r>
        <w:br w:type="page"/>
      </w:r>
    </w:p>
    <w:p w:rsidR="00D05287" w:rsidRPr="002C5825" w:rsidRDefault="00170A06" w:rsidP="002C5825">
      <w:pPr>
        <w:pBdr>
          <w:top w:val="single" w:sz="4" w:space="1" w:color="auto"/>
          <w:left w:val="single" w:sz="4" w:space="4" w:color="auto"/>
          <w:bottom w:val="single" w:sz="4" w:space="1" w:color="auto"/>
          <w:right w:val="single" w:sz="4" w:space="4" w:color="auto"/>
        </w:pBdr>
        <w:shd w:val="clear" w:color="auto" w:fill="D9D9D9"/>
        <w:jc w:val="center"/>
        <w:rPr>
          <w:b/>
          <w:sz w:val="22"/>
        </w:rPr>
      </w:pPr>
      <w:r w:rsidRPr="002C5825">
        <w:rPr>
          <w:b/>
          <w:sz w:val="22"/>
        </w:rPr>
        <w:lastRenderedPageBreak/>
        <w:t xml:space="preserve">DOSSIER 1 : </w:t>
      </w:r>
      <w:r w:rsidR="001C7D1E" w:rsidRPr="002C5825">
        <w:rPr>
          <w:b/>
          <w:sz w:val="22"/>
        </w:rPr>
        <w:t>É</w:t>
      </w:r>
      <w:r w:rsidR="00D05287" w:rsidRPr="002C5825">
        <w:rPr>
          <w:b/>
          <w:sz w:val="22"/>
        </w:rPr>
        <w:t>TUDE DE CAS</w:t>
      </w:r>
      <w:r w:rsidR="00E57039" w:rsidRPr="002C5825">
        <w:rPr>
          <w:b/>
          <w:sz w:val="22"/>
        </w:rPr>
        <w:t xml:space="preserve"> – LE CAS PRIC</w:t>
      </w:r>
    </w:p>
    <w:p w:rsidR="00D05287" w:rsidRPr="009B0B72" w:rsidRDefault="00D05287" w:rsidP="00D05287">
      <w:pPr>
        <w:jc w:val="center"/>
        <w:rPr>
          <w:b/>
          <w:sz w:val="22"/>
          <w:u w:val="single"/>
        </w:rPr>
      </w:pPr>
    </w:p>
    <w:p w:rsidR="00D05287" w:rsidRPr="009B0B72" w:rsidRDefault="007942A2" w:rsidP="00D05287">
      <w:pPr>
        <w:jc w:val="center"/>
        <w:rPr>
          <w:b/>
          <w:sz w:val="22"/>
          <w:u w:val="single"/>
        </w:rPr>
      </w:pPr>
      <w:r w:rsidRPr="009B0B72">
        <w:rPr>
          <w:b/>
          <w:sz w:val="22"/>
          <w:u w:val="single"/>
        </w:rPr>
        <w:t>Sous-d</w:t>
      </w:r>
      <w:r w:rsidR="00D05287" w:rsidRPr="009B0B72">
        <w:rPr>
          <w:b/>
          <w:sz w:val="22"/>
          <w:u w:val="single"/>
        </w:rPr>
        <w:t>ossier 1</w:t>
      </w:r>
    </w:p>
    <w:p w:rsidR="00D05287" w:rsidRPr="009B0B72" w:rsidRDefault="00D05287" w:rsidP="00D05287">
      <w:pPr>
        <w:rPr>
          <w:b/>
          <w:sz w:val="22"/>
        </w:rPr>
      </w:pPr>
    </w:p>
    <w:p w:rsidR="00C23DA5" w:rsidRPr="009B0B72" w:rsidRDefault="0033155F" w:rsidP="00422265">
      <w:pPr>
        <w:numPr>
          <w:ilvl w:val="0"/>
          <w:numId w:val="4"/>
        </w:numPr>
        <w:shd w:val="clear" w:color="auto" w:fill="FFFFFF"/>
        <w:tabs>
          <w:tab w:val="left" w:pos="426"/>
        </w:tabs>
        <w:spacing w:after="80"/>
        <w:ind w:left="714" w:hanging="357"/>
        <w:rPr>
          <w:b/>
          <w:bCs/>
          <w:sz w:val="22"/>
        </w:rPr>
      </w:pPr>
      <w:r>
        <w:rPr>
          <w:b/>
          <w:bCs/>
          <w:sz w:val="22"/>
        </w:rPr>
        <w:t>Après avoir défini</w:t>
      </w:r>
      <w:r w:rsidR="00C23DA5" w:rsidRPr="009B0B72">
        <w:rPr>
          <w:b/>
          <w:bCs/>
          <w:sz w:val="22"/>
        </w:rPr>
        <w:t xml:space="preserve"> la centralisation de trésorerie (mise en place d’un pool de trésorerie), ind</w:t>
      </w:r>
      <w:r w:rsidR="004A5CF8" w:rsidRPr="009B0B72">
        <w:rPr>
          <w:b/>
          <w:bCs/>
          <w:sz w:val="22"/>
        </w:rPr>
        <w:t xml:space="preserve">iquer les objectifs recherchés et </w:t>
      </w:r>
      <w:r w:rsidR="00C23DA5" w:rsidRPr="009B0B72">
        <w:rPr>
          <w:b/>
          <w:bCs/>
          <w:sz w:val="22"/>
        </w:rPr>
        <w:t>les opérations financières pouvant être réalisées.</w:t>
      </w:r>
    </w:p>
    <w:p w:rsidR="00C23DA5" w:rsidRPr="009B0B72" w:rsidRDefault="00C23DA5" w:rsidP="00C23DA5">
      <w:pPr>
        <w:shd w:val="clear" w:color="auto" w:fill="FFFFFF"/>
        <w:tabs>
          <w:tab w:val="left" w:pos="426"/>
        </w:tabs>
        <w:rPr>
          <w:b/>
          <w:bCs/>
          <w:sz w:val="22"/>
        </w:rPr>
      </w:pPr>
      <w:r w:rsidRPr="009B0B72">
        <w:rPr>
          <w:sz w:val="22"/>
        </w:rPr>
        <w:t xml:space="preserve">Le Cash management est un ensemble de moyens mis en œuvre pour optimiser la gestion des flux de trésorerie, réduire les coûts bancaires, sécuriser les transferts et gérer les risques. </w:t>
      </w:r>
    </w:p>
    <w:p w:rsidR="00C23DA5" w:rsidRPr="009B0B72" w:rsidRDefault="00C23DA5" w:rsidP="002336D5">
      <w:pPr>
        <w:spacing w:before="80" w:after="80"/>
        <w:rPr>
          <w:sz w:val="22"/>
        </w:rPr>
      </w:pPr>
      <w:r w:rsidRPr="009B0B72">
        <w:rPr>
          <w:sz w:val="22"/>
        </w:rPr>
        <w:t>Les principales techniques de centralisation de trésorerie sont :</w:t>
      </w:r>
    </w:p>
    <w:p w:rsidR="00C23DA5" w:rsidRPr="002336D5" w:rsidRDefault="001C7D1E" w:rsidP="002336D5">
      <w:pPr>
        <w:pStyle w:val="Paragraphedeliste"/>
        <w:numPr>
          <w:ilvl w:val="0"/>
          <w:numId w:val="17"/>
        </w:numPr>
        <w:rPr>
          <w:sz w:val="22"/>
        </w:rPr>
      </w:pPr>
      <w:r w:rsidRPr="002336D5">
        <w:rPr>
          <w:sz w:val="22"/>
        </w:rPr>
        <w:t>l</w:t>
      </w:r>
      <w:r w:rsidR="00C23DA5" w:rsidRPr="002336D5">
        <w:rPr>
          <w:sz w:val="22"/>
        </w:rPr>
        <w:t>a centralisation des flux de paiements commerciaux</w:t>
      </w:r>
      <w:r w:rsidR="004A5CF8" w:rsidRPr="002336D5">
        <w:rPr>
          <w:sz w:val="22"/>
        </w:rPr>
        <w:t> ;</w:t>
      </w:r>
    </w:p>
    <w:p w:rsidR="00C23DA5" w:rsidRPr="002336D5" w:rsidRDefault="0033155F" w:rsidP="002336D5">
      <w:pPr>
        <w:pStyle w:val="Paragraphedeliste"/>
        <w:numPr>
          <w:ilvl w:val="0"/>
          <w:numId w:val="17"/>
        </w:numPr>
        <w:rPr>
          <w:sz w:val="22"/>
        </w:rPr>
      </w:pPr>
      <w:r w:rsidRPr="002336D5">
        <w:rPr>
          <w:sz w:val="22"/>
        </w:rPr>
        <w:t>les prêts intra-groupes</w:t>
      </w:r>
      <w:r w:rsidR="004A5CF8" w:rsidRPr="002336D5">
        <w:rPr>
          <w:sz w:val="22"/>
        </w:rPr>
        <w:t> ;</w:t>
      </w:r>
    </w:p>
    <w:p w:rsidR="00C23DA5" w:rsidRPr="002336D5" w:rsidRDefault="001C7D1E" w:rsidP="002336D5">
      <w:pPr>
        <w:pStyle w:val="Paragraphedeliste"/>
        <w:numPr>
          <w:ilvl w:val="0"/>
          <w:numId w:val="17"/>
        </w:numPr>
        <w:rPr>
          <w:sz w:val="22"/>
        </w:rPr>
      </w:pPr>
      <w:r w:rsidRPr="002336D5">
        <w:rPr>
          <w:sz w:val="22"/>
        </w:rPr>
        <w:t>l</w:t>
      </w:r>
      <w:r w:rsidR="00C23DA5" w:rsidRPr="002336D5">
        <w:rPr>
          <w:sz w:val="22"/>
        </w:rPr>
        <w:t>a fusion des échelles d’intérêt</w:t>
      </w:r>
      <w:r w:rsidR="004A5CF8" w:rsidRPr="002336D5">
        <w:rPr>
          <w:sz w:val="22"/>
        </w:rPr>
        <w:t> ;</w:t>
      </w:r>
    </w:p>
    <w:p w:rsidR="00C23DA5" w:rsidRPr="002336D5" w:rsidRDefault="001C7D1E" w:rsidP="002336D5">
      <w:pPr>
        <w:pStyle w:val="Paragraphedeliste"/>
        <w:numPr>
          <w:ilvl w:val="0"/>
          <w:numId w:val="17"/>
        </w:numPr>
        <w:rPr>
          <w:sz w:val="22"/>
        </w:rPr>
      </w:pPr>
      <w:r w:rsidRPr="002336D5">
        <w:rPr>
          <w:sz w:val="22"/>
        </w:rPr>
        <w:t>l</w:t>
      </w:r>
      <w:r w:rsidR="00C23DA5" w:rsidRPr="002336D5">
        <w:rPr>
          <w:sz w:val="22"/>
        </w:rPr>
        <w:t>’équilibrage automatique de trésorerie</w:t>
      </w:r>
      <w:r w:rsidR="004A5CF8" w:rsidRPr="002336D5">
        <w:rPr>
          <w:sz w:val="22"/>
        </w:rPr>
        <w:t> ;</w:t>
      </w:r>
    </w:p>
    <w:p w:rsidR="00C23DA5" w:rsidRPr="002336D5" w:rsidRDefault="001C7D1E" w:rsidP="002336D5">
      <w:pPr>
        <w:pStyle w:val="Paragraphedeliste"/>
        <w:numPr>
          <w:ilvl w:val="0"/>
          <w:numId w:val="17"/>
        </w:numPr>
        <w:rPr>
          <w:sz w:val="22"/>
        </w:rPr>
      </w:pPr>
      <w:r w:rsidRPr="002336D5">
        <w:rPr>
          <w:sz w:val="22"/>
        </w:rPr>
        <w:t>l</w:t>
      </w:r>
      <w:r w:rsidR="00C23DA5" w:rsidRPr="002336D5">
        <w:rPr>
          <w:sz w:val="22"/>
        </w:rPr>
        <w:t>e netting</w:t>
      </w:r>
      <w:r w:rsidR="004A5CF8" w:rsidRPr="002336D5">
        <w:rPr>
          <w:sz w:val="22"/>
        </w:rPr>
        <w:t>.</w:t>
      </w:r>
    </w:p>
    <w:p w:rsidR="00C23DA5" w:rsidRPr="009B0B72" w:rsidRDefault="00C23DA5" w:rsidP="00C23DA5">
      <w:pPr>
        <w:shd w:val="clear" w:color="auto" w:fill="FFFFFF"/>
        <w:tabs>
          <w:tab w:val="left" w:pos="426"/>
        </w:tabs>
        <w:rPr>
          <w:b/>
          <w:bCs/>
          <w:sz w:val="22"/>
        </w:rPr>
      </w:pPr>
    </w:p>
    <w:p w:rsidR="00C23DA5" w:rsidRPr="009B0B72" w:rsidRDefault="00C23DA5" w:rsidP="00422265">
      <w:pPr>
        <w:numPr>
          <w:ilvl w:val="0"/>
          <w:numId w:val="4"/>
        </w:numPr>
        <w:shd w:val="clear" w:color="auto" w:fill="FFFFFF"/>
        <w:tabs>
          <w:tab w:val="left" w:pos="426"/>
        </w:tabs>
        <w:spacing w:after="80"/>
        <w:ind w:left="714" w:hanging="357"/>
        <w:rPr>
          <w:b/>
          <w:bCs/>
          <w:sz w:val="22"/>
        </w:rPr>
      </w:pPr>
      <w:r w:rsidRPr="009B0B72">
        <w:rPr>
          <w:b/>
          <w:bCs/>
          <w:sz w:val="22"/>
        </w:rPr>
        <w:t>Indiquer les modalités de mise en œuvre qui s’offrent au Groupe PRIC.</w:t>
      </w:r>
    </w:p>
    <w:p w:rsidR="007251D0" w:rsidRPr="009B0B72" w:rsidRDefault="007251D0" w:rsidP="007251D0">
      <w:pPr>
        <w:rPr>
          <w:sz w:val="22"/>
        </w:rPr>
      </w:pPr>
      <w:r w:rsidRPr="009B0B72">
        <w:rPr>
          <w:sz w:val="22"/>
        </w:rPr>
        <w:t xml:space="preserve">Dans le cas présent, le trésorier peut mettre en place cette centralisation au niveau de la maison mère et des quatre filiales européennes. Il peut s’agir d’une remontée quotidienne et automatique des flux de cash, de manière à remettre à zéro les soldes des filiales. La filiale américaine pourra faire l’objet d’une remontée manuelle de trésorerie et cela de manière mensuelle ou trimestrielle. </w:t>
      </w:r>
    </w:p>
    <w:p w:rsidR="000F7DB6" w:rsidRPr="009B0B72" w:rsidRDefault="00CF5854" w:rsidP="00470141">
      <w:pPr>
        <w:spacing w:after="80"/>
        <w:rPr>
          <w:sz w:val="22"/>
        </w:rPr>
      </w:pPr>
      <w:r w:rsidRPr="009B0B72">
        <w:rPr>
          <w:sz w:val="22"/>
        </w:rPr>
        <w:t>Si d</w:t>
      </w:r>
      <w:r w:rsidR="000F7DB6" w:rsidRPr="009B0B72">
        <w:rPr>
          <w:sz w:val="22"/>
        </w:rPr>
        <w:t>ifférentes centralisations peuvent être proposée</w:t>
      </w:r>
      <w:r w:rsidRPr="009B0B72">
        <w:rPr>
          <w:sz w:val="22"/>
        </w:rPr>
        <w:t>s, il</w:t>
      </w:r>
      <w:r w:rsidR="000F7DB6" w:rsidRPr="009B0B72">
        <w:rPr>
          <w:sz w:val="22"/>
        </w:rPr>
        <w:t xml:space="preserve"> est possible de retenir comme schéma :</w:t>
      </w:r>
    </w:p>
    <w:p w:rsidR="000F7DB6" w:rsidRPr="002336D5" w:rsidRDefault="00CF5854" w:rsidP="002336D5">
      <w:pPr>
        <w:pStyle w:val="Paragraphedeliste"/>
        <w:numPr>
          <w:ilvl w:val="0"/>
          <w:numId w:val="18"/>
        </w:numPr>
        <w:rPr>
          <w:snapToGrid w:val="0"/>
          <w:sz w:val="22"/>
        </w:rPr>
      </w:pPr>
      <w:r w:rsidRPr="002336D5">
        <w:rPr>
          <w:sz w:val="22"/>
        </w:rPr>
        <w:t xml:space="preserve">une </w:t>
      </w:r>
      <w:r w:rsidR="000F7DB6" w:rsidRPr="002336D5">
        <w:rPr>
          <w:snapToGrid w:val="0"/>
          <w:sz w:val="22"/>
        </w:rPr>
        <w:t>Centralis</w:t>
      </w:r>
      <w:r w:rsidRPr="002336D5">
        <w:rPr>
          <w:snapToGrid w:val="0"/>
          <w:sz w:val="22"/>
        </w:rPr>
        <w:t xml:space="preserve">ation Automatique de Trésorerie pour les filiales européennes et la mère </w:t>
      </w:r>
      <w:r w:rsidR="000F7DB6" w:rsidRPr="002336D5">
        <w:rPr>
          <w:snapToGrid w:val="0"/>
          <w:sz w:val="22"/>
        </w:rPr>
        <w:t>;</w:t>
      </w:r>
    </w:p>
    <w:p w:rsidR="000F7DB6" w:rsidRPr="002336D5" w:rsidRDefault="00CF5854" w:rsidP="002336D5">
      <w:pPr>
        <w:pStyle w:val="Paragraphedeliste"/>
        <w:numPr>
          <w:ilvl w:val="0"/>
          <w:numId w:val="18"/>
        </w:numPr>
        <w:rPr>
          <w:sz w:val="22"/>
        </w:rPr>
      </w:pPr>
      <w:r w:rsidRPr="002336D5">
        <w:rPr>
          <w:snapToGrid w:val="0"/>
          <w:sz w:val="22"/>
        </w:rPr>
        <w:t>un virement manuel pour la filiale américaine</w:t>
      </w:r>
      <w:r w:rsidR="000F7DB6" w:rsidRPr="002336D5">
        <w:rPr>
          <w:snapToGrid w:val="0"/>
          <w:sz w:val="22"/>
        </w:rPr>
        <w:t xml:space="preserve"> </w:t>
      </w:r>
      <w:r w:rsidRPr="002336D5">
        <w:rPr>
          <w:snapToGrid w:val="0"/>
          <w:sz w:val="22"/>
        </w:rPr>
        <w:t>no</w:t>
      </w:r>
      <w:r w:rsidR="004A5CF8" w:rsidRPr="002336D5">
        <w:rPr>
          <w:snapToGrid w:val="0"/>
          <w:sz w:val="22"/>
        </w:rPr>
        <w:t>n adhérente à la centralisation.</w:t>
      </w:r>
    </w:p>
    <w:p w:rsidR="00CF5854" w:rsidRPr="009B0B72" w:rsidRDefault="00CF5854" w:rsidP="007251D0">
      <w:pPr>
        <w:rPr>
          <w:sz w:val="22"/>
        </w:rPr>
      </w:pPr>
    </w:p>
    <w:p w:rsidR="00541209" w:rsidRPr="009B0B72" w:rsidRDefault="00AB5454" w:rsidP="00422265">
      <w:pPr>
        <w:pStyle w:val="Paragraphedeliste"/>
        <w:numPr>
          <w:ilvl w:val="0"/>
          <w:numId w:val="4"/>
        </w:numPr>
        <w:shd w:val="clear" w:color="auto" w:fill="FFFFFF"/>
        <w:tabs>
          <w:tab w:val="left" w:pos="426"/>
        </w:tabs>
        <w:spacing w:after="80"/>
        <w:ind w:left="714" w:hanging="357"/>
        <w:contextualSpacing w:val="0"/>
        <w:rPr>
          <w:b/>
          <w:bCs/>
          <w:sz w:val="22"/>
        </w:rPr>
      </w:pPr>
      <w:r w:rsidRPr="009B0B72">
        <w:rPr>
          <w:b/>
          <w:bCs/>
          <w:sz w:val="22"/>
        </w:rPr>
        <w:t xml:space="preserve">Définir </w:t>
      </w:r>
      <w:r w:rsidR="004A5CF8" w:rsidRPr="009B0B72">
        <w:rPr>
          <w:b/>
          <w:bCs/>
          <w:sz w:val="22"/>
        </w:rPr>
        <w:t>le système SEPA </w:t>
      </w:r>
      <w:r w:rsidR="004A5CF8" w:rsidRPr="009B0B72">
        <w:rPr>
          <w:b/>
          <w:sz w:val="22"/>
        </w:rPr>
        <w:t>(Single Euro Payments Area)</w:t>
      </w:r>
      <w:r w:rsidR="00470141">
        <w:rPr>
          <w:b/>
          <w:sz w:val="22"/>
        </w:rPr>
        <w:t>.</w:t>
      </w:r>
    </w:p>
    <w:p w:rsidR="00D05287" w:rsidRPr="009B0B72" w:rsidRDefault="00D05287" w:rsidP="00882D3B">
      <w:pPr>
        <w:rPr>
          <w:b/>
          <w:sz w:val="22"/>
        </w:rPr>
      </w:pPr>
      <w:r w:rsidRPr="009B0B72">
        <w:rPr>
          <w:sz w:val="22"/>
        </w:rPr>
        <w:t>Le projet SEPA (Single Euro Payments Area - Espace unique de paiement en euros) est un projet européen qui s'inscrit dans le prolongement du passage aux pièces et billets en euros. Il s’agit de créer une gamme unique de moyens de paiement en euros, commune à l'ensemble des pays européens. Grâce à ces nouveaux moyens de paiement européens, les entreprises peuvent effectuer des paiements dans les mêmes conditions partout dans l'espace européen, aussi facilement que dans leur propre pays.</w:t>
      </w:r>
    </w:p>
    <w:p w:rsidR="00D05287" w:rsidRPr="009B0B72" w:rsidRDefault="00D05287" w:rsidP="00D05287">
      <w:pPr>
        <w:rPr>
          <w:sz w:val="22"/>
        </w:rPr>
      </w:pPr>
      <w:r w:rsidRPr="009B0B72">
        <w:rPr>
          <w:sz w:val="22"/>
        </w:rPr>
        <w:t xml:space="preserve">SEPA facilite les échanges transfrontaliers en Europe. La standardisation des moyens de paiement renforce aussi l’efficacité des paiements et unifie le traitement des ordres internationaux et nationaux. </w:t>
      </w:r>
    </w:p>
    <w:p w:rsidR="00D05287" w:rsidRPr="009B0B72" w:rsidRDefault="00D05287" w:rsidP="00470141">
      <w:pPr>
        <w:spacing w:after="80"/>
        <w:rPr>
          <w:sz w:val="22"/>
        </w:rPr>
      </w:pPr>
      <w:r w:rsidRPr="009B0B72">
        <w:rPr>
          <w:sz w:val="22"/>
        </w:rPr>
        <w:t>Le système SEPA se concentre essentiellement sur les trois instruments les plus utilisés en Europe :</w:t>
      </w:r>
    </w:p>
    <w:p w:rsidR="00D05287" w:rsidRPr="002336D5" w:rsidRDefault="00470141" w:rsidP="002336D5">
      <w:pPr>
        <w:pStyle w:val="Paragraphedeliste"/>
        <w:numPr>
          <w:ilvl w:val="0"/>
          <w:numId w:val="19"/>
        </w:numPr>
        <w:rPr>
          <w:sz w:val="22"/>
        </w:rPr>
      </w:pPr>
      <w:r w:rsidRPr="002336D5">
        <w:rPr>
          <w:sz w:val="22"/>
        </w:rPr>
        <w:t>l</w:t>
      </w:r>
      <w:r w:rsidR="00D05287" w:rsidRPr="002336D5">
        <w:rPr>
          <w:sz w:val="22"/>
        </w:rPr>
        <w:t>e virement</w:t>
      </w:r>
      <w:r w:rsidRPr="002336D5">
        <w:rPr>
          <w:sz w:val="22"/>
        </w:rPr>
        <w:t> ;</w:t>
      </w:r>
    </w:p>
    <w:p w:rsidR="00D05287" w:rsidRPr="002336D5" w:rsidRDefault="00470141" w:rsidP="002336D5">
      <w:pPr>
        <w:pStyle w:val="Paragraphedeliste"/>
        <w:numPr>
          <w:ilvl w:val="0"/>
          <w:numId w:val="19"/>
        </w:numPr>
        <w:rPr>
          <w:sz w:val="22"/>
        </w:rPr>
      </w:pPr>
      <w:r w:rsidRPr="002336D5">
        <w:rPr>
          <w:sz w:val="22"/>
        </w:rPr>
        <w:t>l</w:t>
      </w:r>
      <w:r w:rsidR="00D05287" w:rsidRPr="002336D5">
        <w:rPr>
          <w:sz w:val="22"/>
        </w:rPr>
        <w:t>e prélèvement</w:t>
      </w:r>
      <w:r w:rsidRPr="002336D5">
        <w:rPr>
          <w:sz w:val="22"/>
        </w:rPr>
        <w:t> ;</w:t>
      </w:r>
    </w:p>
    <w:p w:rsidR="00D05287" w:rsidRPr="002336D5" w:rsidRDefault="00470141" w:rsidP="002336D5">
      <w:pPr>
        <w:pStyle w:val="Paragraphedeliste"/>
        <w:numPr>
          <w:ilvl w:val="0"/>
          <w:numId w:val="19"/>
        </w:numPr>
        <w:rPr>
          <w:sz w:val="22"/>
        </w:rPr>
      </w:pPr>
      <w:r w:rsidRPr="002336D5">
        <w:rPr>
          <w:sz w:val="22"/>
        </w:rPr>
        <w:t>l</w:t>
      </w:r>
      <w:r w:rsidR="00AB5454" w:rsidRPr="002336D5">
        <w:rPr>
          <w:sz w:val="22"/>
        </w:rPr>
        <w:t>e</w:t>
      </w:r>
      <w:r w:rsidR="00D05287" w:rsidRPr="002336D5">
        <w:rPr>
          <w:sz w:val="22"/>
        </w:rPr>
        <w:t xml:space="preserve">s cartes </w:t>
      </w:r>
      <w:r w:rsidR="00AB5454" w:rsidRPr="002336D5">
        <w:rPr>
          <w:sz w:val="22"/>
        </w:rPr>
        <w:t>bancaires</w:t>
      </w:r>
      <w:r w:rsidRPr="002336D5">
        <w:rPr>
          <w:sz w:val="22"/>
        </w:rPr>
        <w:t>.</w:t>
      </w:r>
    </w:p>
    <w:p w:rsidR="00837952" w:rsidRPr="009B0B72" w:rsidRDefault="00837952" w:rsidP="00D05287">
      <w:pPr>
        <w:rPr>
          <w:sz w:val="22"/>
        </w:rPr>
      </w:pPr>
    </w:p>
    <w:p w:rsidR="000F7DB6" w:rsidRPr="009B0B72" w:rsidRDefault="00C52420" w:rsidP="00422265">
      <w:pPr>
        <w:pStyle w:val="Paragraphedeliste"/>
        <w:numPr>
          <w:ilvl w:val="0"/>
          <w:numId w:val="4"/>
        </w:numPr>
        <w:shd w:val="clear" w:color="auto" w:fill="FFFFFF"/>
        <w:tabs>
          <w:tab w:val="left" w:pos="426"/>
        </w:tabs>
        <w:spacing w:after="80"/>
        <w:ind w:left="714" w:hanging="357"/>
        <w:contextualSpacing w:val="0"/>
        <w:rPr>
          <w:b/>
          <w:bCs/>
          <w:sz w:val="22"/>
        </w:rPr>
      </w:pPr>
      <w:r w:rsidRPr="009B0B72">
        <w:rPr>
          <w:b/>
          <w:bCs/>
          <w:sz w:val="22"/>
        </w:rPr>
        <w:t xml:space="preserve">Après avoir défini la titrisation, indiquer les principaux avantages et les principaux inconvénients des opérations d’affacturage et des opérations de titrisation pour les entreprises qui y ont recours ? </w:t>
      </w:r>
    </w:p>
    <w:p w:rsidR="009B649D" w:rsidRPr="009B0B72" w:rsidRDefault="00AB5454" w:rsidP="00470141">
      <w:pPr>
        <w:shd w:val="clear" w:color="auto" w:fill="FFFFFF"/>
        <w:tabs>
          <w:tab w:val="left" w:pos="426"/>
        </w:tabs>
        <w:spacing w:after="80"/>
        <w:rPr>
          <w:b/>
          <w:bCs/>
          <w:sz w:val="22"/>
        </w:rPr>
      </w:pPr>
      <w:r w:rsidRPr="009B0B72">
        <w:rPr>
          <w:sz w:val="22"/>
        </w:rPr>
        <w:t xml:space="preserve">La </w:t>
      </w:r>
      <w:r w:rsidRPr="009B0B72">
        <w:rPr>
          <w:bCs/>
          <w:sz w:val="22"/>
        </w:rPr>
        <w:t>titrisation</w:t>
      </w:r>
      <w:r w:rsidRPr="009B0B72">
        <w:rPr>
          <w:sz w:val="22"/>
        </w:rPr>
        <w:t xml:space="preserve"> est une technique financière qui consiste à transférer à des investisseurs des actifs financiers tels que des créances (par exemple des prêts en cours), en transformant ces créances, par le passage à travers une société </w:t>
      </w:r>
      <w:r w:rsidRPr="009B0B72">
        <w:rPr>
          <w:iCs/>
          <w:sz w:val="22"/>
        </w:rPr>
        <w:t>ad hoc</w:t>
      </w:r>
      <w:r w:rsidRPr="009B0B72">
        <w:rPr>
          <w:sz w:val="22"/>
        </w:rPr>
        <w:t>, en titres financiers émis sur le marché des capitaux.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828"/>
        <w:gridCol w:w="4960"/>
      </w:tblGrid>
      <w:tr w:rsidR="00CF5854" w:rsidRPr="009B0B72" w:rsidTr="008616DF">
        <w:trPr>
          <w:jc w:val="center"/>
        </w:trPr>
        <w:tc>
          <w:tcPr>
            <w:tcW w:w="1526" w:type="dxa"/>
          </w:tcPr>
          <w:p w:rsidR="00CF5854" w:rsidRPr="008616DF" w:rsidRDefault="00CF5854" w:rsidP="008616DF">
            <w:pPr>
              <w:tabs>
                <w:tab w:val="left" w:pos="426"/>
              </w:tabs>
              <w:jc w:val="center"/>
              <w:rPr>
                <w:b/>
                <w:bCs/>
                <w:sz w:val="22"/>
              </w:rPr>
            </w:pPr>
          </w:p>
        </w:tc>
        <w:tc>
          <w:tcPr>
            <w:tcW w:w="3828" w:type="dxa"/>
          </w:tcPr>
          <w:p w:rsidR="00CF5854" w:rsidRPr="008616DF" w:rsidRDefault="00CF5854" w:rsidP="008616DF">
            <w:pPr>
              <w:tabs>
                <w:tab w:val="left" w:pos="426"/>
              </w:tabs>
              <w:jc w:val="center"/>
              <w:rPr>
                <w:b/>
                <w:bCs/>
                <w:sz w:val="22"/>
              </w:rPr>
            </w:pPr>
            <w:r w:rsidRPr="008616DF">
              <w:rPr>
                <w:b/>
                <w:bCs/>
                <w:sz w:val="22"/>
              </w:rPr>
              <w:t>Affacturage</w:t>
            </w:r>
          </w:p>
        </w:tc>
        <w:tc>
          <w:tcPr>
            <w:tcW w:w="4960" w:type="dxa"/>
          </w:tcPr>
          <w:p w:rsidR="00CF5854" w:rsidRPr="008616DF" w:rsidRDefault="00CF5854" w:rsidP="008616DF">
            <w:pPr>
              <w:tabs>
                <w:tab w:val="left" w:pos="426"/>
              </w:tabs>
              <w:jc w:val="center"/>
              <w:rPr>
                <w:b/>
                <w:bCs/>
                <w:sz w:val="22"/>
              </w:rPr>
            </w:pPr>
            <w:r w:rsidRPr="008616DF">
              <w:rPr>
                <w:b/>
                <w:bCs/>
                <w:sz w:val="22"/>
              </w:rPr>
              <w:t>Titrisation</w:t>
            </w:r>
          </w:p>
        </w:tc>
      </w:tr>
      <w:tr w:rsidR="00CF5854" w:rsidRPr="009B0B72" w:rsidTr="008616DF">
        <w:trPr>
          <w:jc w:val="center"/>
        </w:trPr>
        <w:tc>
          <w:tcPr>
            <w:tcW w:w="1526" w:type="dxa"/>
            <w:vAlign w:val="center"/>
          </w:tcPr>
          <w:p w:rsidR="00CF5854" w:rsidRPr="008616DF" w:rsidRDefault="00CF5854" w:rsidP="008616DF">
            <w:pPr>
              <w:tabs>
                <w:tab w:val="left" w:pos="426"/>
              </w:tabs>
              <w:jc w:val="center"/>
              <w:rPr>
                <w:b/>
                <w:bCs/>
                <w:sz w:val="22"/>
              </w:rPr>
            </w:pPr>
            <w:r w:rsidRPr="008616DF">
              <w:rPr>
                <w:b/>
                <w:bCs/>
                <w:sz w:val="22"/>
              </w:rPr>
              <w:t>Avantages</w:t>
            </w:r>
          </w:p>
        </w:tc>
        <w:tc>
          <w:tcPr>
            <w:tcW w:w="3828" w:type="dxa"/>
          </w:tcPr>
          <w:p w:rsidR="00B54E35" w:rsidRPr="008616DF" w:rsidRDefault="00B54E35" w:rsidP="008616DF">
            <w:pPr>
              <w:tabs>
                <w:tab w:val="left" w:pos="426"/>
              </w:tabs>
              <w:rPr>
                <w:bCs/>
                <w:sz w:val="22"/>
              </w:rPr>
            </w:pPr>
            <w:r w:rsidRPr="008616DF">
              <w:rPr>
                <w:bCs/>
                <w:sz w:val="22"/>
              </w:rPr>
              <w:t>Rentrée d’argent immédiate</w:t>
            </w:r>
          </w:p>
          <w:p w:rsidR="00B54E35" w:rsidRPr="008616DF" w:rsidRDefault="00B54E35" w:rsidP="008616DF">
            <w:pPr>
              <w:tabs>
                <w:tab w:val="left" w:pos="426"/>
              </w:tabs>
              <w:rPr>
                <w:bCs/>
                <w:sz w:val="22"/>
              </w:rPr>
            </w:pPr>
            <w:r w:rsidRPr="008616DF">
              <w:rPr>
                <w:bCs/>
                <w:sz w:val="22"/>
              </w:rPr>
              <w:t>Externalisation de la gestion du BFR et du poste clients en particulier</w:t>
            </w:r>
          </w:p>
          <w:p w:rsidR="00B54E35" w:rsidRPr="008616DF" w:rsidRDefault="00B54E35" w:rsidP="008616DF">
            <w:pPr>
              <w:tabs>
                <w:tab w:val="left" w:pos="426"/>
              </w:tabs>
              <w:rPr>
                <w:bCs/>
                <w:sz w:val="22"/>
              </w:rPr>
            </w:pPr>
            <w:r w:rsidRPr="008616DF">
              <w:rPr>
                <w:bCs/>
                <w:sz w:val="22"/>
              </w:rPr>
              <w:t>Convient à toutes les entreprises, notamment aux PME</w:t>
            </w:r>
          </w:p>
          <w:p w:rsidR="00B54E35" w:rsidRPr="008616DF" w:rsidRDefault="00B54E35" w:rsidP="008616DF">
            <w:pPr>
              <w:tabs>
                <w:tab w:val="left" w:pos="426"/>
              </w:tabs>
              <w:rPr>
                <w:bCs/>
                <w:sz w:val="22"/>
              </w:rPr>
            </w:pPr>
            <w:r w:rsidRPr="008616DF">
              <w:rPr>
                <w:bCs/>
                <w:sz w:val="22"/>
              </w:rPr>
              <w:t xml:space="preserve">Autres services proposés pour améliorer la gestion </w:t>
            </w:r>
            <w:r w:rsidR="00826D59" w:rsidRPr="008616DF">
              <w:rPr>
                <w:bCs/>
                <w:sz w:val="22"/>
              </w:rPr>
              <w:t>des comptes client</w:t>
            </w:r>
          </w:p>
        </w:tc>
        <w:tc>
          <w:tcPr>
            <w:tcW w:w="4960" w:type="dxa"/>
          </w:tcPr>
          <w:p w:rsidR="00CF5854" w:rsidRPr="008616DF" w:rsidRDefault="00CF5854" w:rsidP="008616DF">
            <w:pPr>
              <w:tabs>
                <w:tab w:val="left" w:pos="426"/>
              </w:tabs>
              <w:rPr>
                <w:bCs/>
                <w:sz w:val="22"/>
              </w:rPr>
            </w:pPr>
            <w:r w:rsidRPr="008616DF">
              <w:rPr>
                <w:bCs/>
                <w:sz w:val="22"/>
              </w:rPr>
              <w:t>Accès à de nouvelles sources de financement</w:t>
            </w:r>
          </w:p>
          <w:p w:rsidR="00CF5854" w:rsidRPr="008616DF" w:rsidRDefault="00CF5854" w:rsidP="008616DF">
            <w:pPr>
              <w:tabs>
                <w:tab w:val="left" w:pos="426"/>
              </w:tabs>
              <w:rPr>
                <w:bCs/>
                <w:sz w:val="22"/>
              </w:rPr>
            </w:pPr>
            <w:r w:rsidRPr="008616DF">
              <w:rPr>
                <w:bCs/>
                <w:sz w:val="22"/>
              </w:rPr>
              <w:t>Dilution des risques sur les marchés</w:t>
            </w:r>
          </w:p>
          <w:p w:rsidR="00C52420" w:rsidRPr="008616DF" w:rsidRDefault="00C52420" w:rsidP="008616DF">
            <w:pPr>
              <w:tabs>
                <w:tab w:val="left" w:pos="426"/>
              </w:tabs>
              <w:rPr>
                <w:bCs/>
                <w:i/>
                <w:sz w:val="22"/>
              </w:rPr>
            </w:pPr>
            <w:r w:rsidRPr="008616DF">
              <w:rPr>
                <w:bCs/>
                <w:i/>
                <w:sz w:val="22"/>
              </w:rPr>
              <w:t>D’autres arguments peuvent être évoqués :</w:t>
            </w:r>
          </w:p>
          <w:p w:rsidR="00CF5854" w:rsidRPr="008616DF" w:rsidRDefault="00C52420" w:rsidP="008616DF">
            <w:pPr>
              <w:tabs>
                <w:tab w:val="left" w:pos="426"/>
              </w:tabs>
              <w:rPr>
                <w:bCs/>
                <w:i/>
                <w:sz w:val="22"/>
              </w:rPr>
            </w:pPr>
            <w:r w:rsidRPr="008616DF">
              <w:rPr>
                <w:bCs/>
                <w:i/>
                <w:sz w:val="22"/>
              </w:rPr>
              <w:t xml:space="preserve">- </w:t>
            </w:r>
            <w:r w:rsidR="00B54E35" w:rsidRPr="008616DF">
              <w:rPr>
                <w:bCs/>
                <w:i/>
                <w:sz w:val="22"/>
              </w:rPr>
              <w:t>Baisse du coût de la liquidité et donc baisse du coût du capital</w:t>
            </w:r>
          </w:p>
          <w:p w:rsidR="00CF5854" w:rsidRPr="008616DF" w:rsidRDefault="00C52420" w:rsidP="008616DF">
            <w:pPr>
              <w:tabs>
                <w:tab w:val="left" w:pos="426"/>
              </w:tabs>
              <w:rPr>
                <w:bCs/>
                <w:sz w:val="22"/>
              </w:rPr>
            </w:pPr>
            <w:r w:rsidRPr="008616DF">
              <w:rPr>
                <w:bCs/>
                <w:i/>
                <w:sz w:val="22"/>
              </w:rPr>
              <w:t xml:space="preserve">- </w:t>
            </w:r>
            <w:r w:rsidR="00B54E35" w:rsidRPr="008616DF">
              <w:rPr>
                <w:bCs/>
                <w:i/>
                <w:sz w:val="22"/>
              </w:rPr>
              <w:t>Structuration du passif</w:t>
            </w:r>
          </w:p>
        </w:tc>
      </w:tr>
      <w:tr w:rsidR="00CF5854" w:rsidRPr="009B0B72" w:rsidTr="008616DF">
        <w:trPr>
          <w:jc w:val="center"/>
        </w:trPr>
        <w:tc>
          <w:tcPr>
            <w:tcW w:w="1526" w:type="dxa"/>
            <w:vAlign w:val="center"/>
          </w:tcPr>
          <w:p w:rsidR="00CF5854" w:rsidRPr="008616DF" w:rsidRDefault="00CF5854" w:rsidP="008616DF">
            <w:pPr>
              <w:tabs>
                <w:tab w:val="left" w:pos="426"/>
              </w:tabs>
              <w:jc w:val="center"/>
              <w:rPr>
                <w:b/>
                <w:bCs/>
                <w:sz w:val="22"/>
              </w:rPr>
            </w:pPr>
            <w:r w:rsidRPr="008616DF">
              <w:rPr>
                <w:b/>
                <w:bCs/>
                <w:sz w:val="22"/>
              </w:rPr>
              <w:t>Inconvénients</w:t>
            </w:r>
          </w:p>
        </w:tc>
        <w:tc>
          <w:tcPr>
            <w:tcW w:w="3828" w:type="dxa"/>
          </w:tcPr>
          <w:p w:rsidR="00B54E35" w:rsidRPr="008616DF" w:rsidRDefault="00826D59" w:rsidP="008616DF">
            <w:pPr>
              <w:tabs>
                <w:tab w:val="left" w:pos="426"/>
              </w:tabs>
              <w:rPr>
                <w:bCs/>
                <w:sz w:val="22"/>
              </w:rPr>
            </w:pPr>
            <w:r w:rsidRPr="008616DF">
              <w:rPr>
                <w:bCs/>
                <w:sz w:val="22"/>
              </w:rPr>
              <w:t xml:space="preserve">Dépendance envers le </w:t>
            </w:r>
            <w:r w:rsidR="00B54E35" w:rsidRPr="008616DF">
              <w:rPr>
                <w:bCs/>
                <w:sz w:val="22"/>
              </w:rPr>
              <w:t xml:space="preserve">factor </w:t>
            </w:r>
          </w:p>
          <w:p w:rsidR="00B54E35" w:rsidRPr="008616DF" w:rsidRDefault="00B54E35" w:rsidP="008616DF">
            <w:pPr>
              <w:tabs>
                <w:tab w:val="left" w:pos="426"/>
              </w:tabs>
              <w:rPr>
                <w:bCs/>
                <w:sz w:val="22"/>
              </w:rPr>
            </w:pPr>
            <w:r w:rsidRPr="008616DF">
              <w:rPr>
                <w:bCs/>
                <w:sz w:val="22"/>
              </w:rPr>
              <w:t xml:space="preserve">Coût plus onéreux que d’autres techniques de refinancement </w:t>
            </w:r>
          </w:p>
        </w:tc>
        <w:tc>
          <w:tcPr>
            <w:tcW w:w="4960" w:type="dxa"/>
          </w:tcPr>
          <w:p w:rsidR="00826D59" w:rsidRPr="008616DF" w:rsidRDefault="00B54E35" w:rsidP="008616DF">
            <w:pPr>
              <w:tabs>
                <w:tab w:val="left" w:pos="426"/>
              </w:tabs>
              <w:rPr>
                <w:bCs/>
                <w:sz w:val="22"/>
              </w:rPr>
            </w:pPr>
            <w:r w:rsidRPr="008616DF">
              <w:rPr>
                <w:bCs/>
                <w:sz w:val="22"/>
              </w:rPr>
              <w:t xml:space="preserve">Technique peu </w:t>
            </w:r>
            <w:r w:rsidR="00CF5854" w:rsidRPr="008616DF">
              <w:rPr>
                <w:bCs/>
                <w:sz w:val="22"/>
              </w:rPr>
              <w:t>appropriée aux PME</w:t>
            </w:r>
            <w:r w:rsidRPr="008616DF">
              <w:rPr>
                <w:bCs/>
                <w:sz w:val="22"/>
              </w:rPr>
              <w:t xml:space="preserve"> car assez </w:t>
            </w:r>
            <w:r w:rsidR="00826D59" w:rsidRPr="008616DF">
              <w:rPr>
                <w:bCs/>
                <w:sz w:val="22"/>
              </w:rPr>
              <w:t xml:space="preserve">coûteuse </w:t>
            </w:r>
          </w:p>
          <w:p w:rsidR="00B54E35" w:rsidRPr="008616DF" w:rsidRDefault="00B54E35" w:rsidP="008616DF">
            <w:pPr>
              <w:tabs>
                <w:tab w:val="left" w:pos="426"/>
              </w:tabs>
              <w:rPr>
                <w:bCs/>
                <w:sz w:val="22"/>
              </w:rPr>
            </w:pPr>
            <w:r w:rsidRPr="008616DF">
              <w:rPr>
                <w:bCs/>
                <w:sz w:val="22"/>
              </w:rPr>
              <w:t>Dépendan</w:t>
            </w:r>
            <w:r w:rsidR="00826D59" w:rsidRPr="008616DF">
              <w:rPr>
                <w:bCs/>
                <w:sz w:val="22"/>
              </w:rPr>
              <w:t>ce vis-à-vis</w:t>
            </w:r>
            <w:r w:rsidR="004A73BD" w:rsidRPr="008616DF">
              <w:rPr>
                <w:bCs/>
                <w:sz w:val="22"/>
              </w:rPr>
              <w:t xml:space="preserve"> </w:t>
            </w:r>
            <w:r w:rsidRPr="008616DF">
              <w:rPr>
                <w:bCs/>
                <w:sz w:val="22"/>
              </w:rPr>
              <w:t>de la conjoncture économique et des taux d’intérêt</w:t>
            </w:r>
          </w:p>
          <w:p w:rsidR="00837952" w:rsidRPr="008616DF" w:rsidRDefault="00837952" w:rsidP="008616DF">
            <w:pPr>
              <w:tabs>
                <w:tab w:val="left" w:pos="426"/>
              </w:tabs>
              <w:rPr>
                <w:bCs/>
                <w:sz w:val="22"/>
              </w:rPr>
            </w:pPr>
            <w:r w:rsidRPr="008616DF">
              <w:rPr>
                <w:bCs/>
                <w:sz w:val="22"/>
              </w:rPr>
              <w:t>Opacité des montages sur les marchés financiers</w:t>
            </w:r>
            <w:r w:rsidR="00CA189D" w:rsidRPr="008616DF">
              <w:rPr>
                <w:bCs/>
                <w:sz w:val="22"/>
              </w:rPr>
              <w:t xml:space="preserve"> vis à vis du risque</w:t>
            </w:r>
            <w:r w:rsidRPr="008616DF">
              <w:rPr>
                <w:bCs/>
                <w:sz w:val="22"/>
              </w:rPr>
              <w:t>. Peut conduire à des krachs financiers</w:t>
            </w:r>
          </w:p>
        </w:tc>
      </w:tr>
    </w:tbl>
    <w:p w:rsidR="007251D0" w:rsidRPr="009B0B72" w:rsidRDefault="007251D0" w:rsidP="007251D0">
      <w:pPr>
        <w:shd w:val="clear" w:color="auto" w:fill="FFFFFF"/>
        <w:tabs>
          <w:tab w:val="left" w:pos="426"/>
        </w:tabs>
        <w:rPr>
          <w:b/>
          <w:bCs/>
          <w:sz w:val="22"/>
        </w:rPr>
      </w:pPr>
    </w:p>
    <w:p w:rsidR="00CF5854" w:rsidRPr="009B0B72" w:rsidRDefault="00CF5854" w:rsidP="007251D0">
      <w:pPr>
        <w:shd w:val="clear" w:color="auto" w:fill="FFFFFF"/>
        <w:tabs>
          <w:tab w:val="left" w:pos="426"/>
        </w:tabs>
        <w:rPr>
          <w:b/>
          <w:bCs/>
          <w:sz w:val="22"/>
        </w:rPr>
      </w:pPr>
    </w:p>
    <w:p w:rsidR="00D05287" w:rsidRPr="009B0B72" w:rsidRDefault="007942A2" w:rsidP="00D05287">
      <w:pPr>
        <w:jc w:val="center"/>
        <w:rPr>
          <w:b/>
          <w:sz w:val="22"/>
          <w:u w:val="single"/>
        </w:rPr>
      </w:pPr>
      <w:r w:rsidRPr="009B0B72">
        <w:rPr>
          <w:b/>
          <w:sz w:val="22"/>
          <w:u w:val="single"/>
        </w:rPr>
        <w:t>Sous-d</w:t>
      </w:r>
      <w:r w:rsidR="00D05287" w:rsidRPr="009B0B72">
        <w:rPr>
          <w:b/>
          <w:sz w:val="22"/>
          <w:u w:val="single"/>
        </w:rPr>
        <w:t>ossier 2</w:t>
      </w:r>
    </w:p>
    <w:p w:rsidR="00D05287" w:rsidRPr="009B0B72" w:rsidRDefault="00D05287" w:rsidP="00D05287">
      <w:pPr>
        <w:rPr>
          <w:b/>
          <w:sz w:val="22"/>
        </w:rPr>
      </w:pPr>
    </w:p>
    <w:p w:rsidR="00DB271E" w:rsidRPr="009B0B72" w:rsidRDefault="00DB271E" w:rsidP="00422265">
      <w:pPr>
        <w:numPr>
          <w:ilvl w:val="0"/>
          <w:numId w:val="4"/>
        </w:numPr>
        <w:shd w:val="clear" w:color="auto" w:fill="FFFFFF"/>
        <w:tabs>
          <w:tab w:val="left" w:pos="426"/>
        </w:tabs>
        <w:spacing w:after="80"/>
        <w:ind w:left="714" w:hanging="357"/>
        <w:rPr>
          <w:b/>
          <w:bCs/>
          <w:sz w:val="22"/>
        </w:rPr>
      </w:pPr>
      <w:r w:rsidRPr="009B0B72">
        <w:rPr>
          <w:b/>
          <w:bCs/>
          <w:sz w:val="22"/>
        </w:rPr>
        <w:t>De manière générale, présenter brièvement les principaux risques financiers auxquels le trésorier doit faire face ?</w:t>
      </w:r>
    </w:p>
    <w:p w:rsidR="00DB271E" w:rsidRPr="004D5398" w:rsidRDefault="002336D5" w:rsidP="004D5398">
      <w:pPr>
        <w:pStyle w:val="Paragraphedeliste"/>
        <w:numPr>
          <w:ilvl w:val="0"/>
          <w:numId w:val="20"/>
        </w:numPr>
        <w:shd w:val="clear" w:color="auto" w:fill="FFFFFF"/>
        <w:rPr>
          <w:bCs/>
          <w:sz w:val="22"/>
        </w:rPr>
      </w:pPr>
      <w:r w:rsidRPr="004D5398">
        <w:rPr>
          <w:bCs/>
          <w:sz w:val="22"/>
        </w:rPr>
        <w:t>Le risque de taux.</w:t>
      </w:r>
    </w:p>
    <w:p w:rsidR="00DB271E" w:rsidRPr="004D5398" w:rsidRDefault="00DB271E" w:rsidP="004D5398">
      <w:pPr>
        <w:pStyle w:val="Paragraphedeliste"/>
        <w:numPr>
          <w:ilvl w:val="0"/>
          <w:numId w:val="20"/>
        </w:numPr>
        <w:shd w:val="clear" w:color="auto" w:fill="FFFFFF"/>
        <w:rPr>
          <w:bCs/>
          <w:sz w:val="22"/>
        </w:rPr>
      </w:pPr>
      <w:r w:rsidRPr="004D5398">
        <w:rPr>
          <w:bCs/>
          <w:sz w:val="22"/>
        </w:rPr>
        <w:t>Le risque de marché</w:t>
      </w:r>
      <w:r w:rsidR="002336D5" w:rsidRPr="004D5398">
        <w:rPr>
          <w:bCs/>
          <w:sz w:val="22"/>
        </w:rPr>
        <w:t>.</w:t>
      </w:r>
    </w:p>
    <w:p w:rsidR="00DB271E" w:rsidRPr="004D5398" w:rsidRDefault="00DB271E" w:rsidP="004D5398">
      <w:pPr>
        <w:pStyle w:val="Paragraphedeliste"/>
        <w:numPr>
          <w:ilvl w:val="0"/>
          <w:numId w:val="20"/>
        </w:numPr>
        <w:shd w:val="clear" w:color="auto" w:fill="FFFFFF"/>
        <w:rPr>
          <w:bCs/>
          <w:sz w:val="22"/>
        </w:rPr>
      </w:pPr>
      <w:r w:rsidRPr="004D5398">
        <w:rPr>
          <w:bCs/>
          <w:sz w:val="22"/>
        </w:rPr>
        <w:t>Le risque de change</w:t>
      </w:r>
      <w:r w:rsidR="002336D5" w:rsidRPr="004D5398">
        <w:rPr>
          <w:bCs/>
          <w:sz w:val="22"/>
        </w:rPr>
        <w:t>.</w:t>
      </w:r>
    </w:p>
    <w:p w:rsidR="004A73BD" w:rsidRPr="004D5398" w:rsidRDefault="004A73BD" w:rsidP="004D5398">
      <w:pPr>
        <w:pStyle w:val="Paragraphedeliste"/>
        <w:numPr>
          <w:ilvl w:val="0"/>
          <w:numId w:val="20"/>
        </w:numPr>
        <w:shd w:val="clear" w:color="auto" w:fill="FFFFFF"/>
        <w:rPr>
          <w:bCs/>
          <w:sz w:val="22"/>
        </w:rPr>
      </w:pPr>
      <w:r w:rsidRPr="004D5398">
        <w:rPr>
          <w:bCs/>
          <w:sz w:val="22"/>
        </w:rPr>
        <w:t>Le risque de contrepartie (ou de crédit)</w:t>
      </w:r>
      <w:r w:rsidR="002336D5" w:rsidRPr="004D5398">
        <w:rPr>
          <w:bCs/>
          <w:sz w:val="22"/>
        </w:rPr>
        <w:t>.</w:t>
      </w:r>
    </w:p>
    <w:p w:rsidR="004A73BD" w:rsidRPr="004D5398" w:rsidRDefault="004A73BD" w:rsidP="004D5398">
      <w:pPr>
        <w:pStyle w:val="Paragraphedeliste"/>
        <w:numPr>
          <w:ilvl w:val="0"/>
          <w:numId w:val="20"/>
        </w:numPr>
        <w:shd w:val="clear" w:color="auto" w:fill="FFFFFF"/>
        <w:rPr>
          <w:bCs/>
          <w:sz w:val="22"/>
        </w:rPr>
      </w:pPr>
      <w:r w:rsidRPr="004D5398">
        <w:rPr>
          <w:bCs/>
          <w:sz w:val="22"/>
        </w:rPr>
        <w:t>Le risque de liquidité</w:t>
      </w:r>
      <w:r w:rsidR="002336D5" w:rsidRPr="004D5398">
        <w:rPr>
          <w:bCs/>
          <w:sz w:val="22"/>
        </w:rPr>
        <w:t>.</w:t>
      </w:r>
    </w:p>
    <w:p w:rsidR="00DB271E" w:rsidRPr="009B0B72" w:rsidRDefault="00DB271E" w:rsidP="00DB271E">
      <w:pPr>
        <w:shd w:val="clear" w:color="auto" w:fill="FFFFFF"/>
        <w:tabs>
          <w:tab w:val="left" w:pos="426"/>
        </w:tabs>
        <w:ind w:left="360"/>
        <w:rPr>
          <w:b/>
          <w:bCs/>
          <w:sz w:val="22"/>
        </w:rPr>
      </w:pPr>
    </w:p>
    <w:p w:rsidR="00DB271E" w:rsidRPr="009B0B72" w:rsidRDefault="00DB271E" w:rsidP="00422265">
      <w:pPr>
        <w:numPr>
          <w:ilvl w:val="0"/>
          <w:numId w:val="4"/>
        </w:numPr>
        <w:shd w:val="clear" w:color="auto" w:fill="FFFFFF"/>
        <w:tabs>
          <w:tab w:val="left" w:pos="426"/>
        </w:tabs>
        <w:spacing w:after="80"/>
        <w:ind w:left="714" w:hanging="357"/>
        <w:rPr>
          <w:b/>
          <w:bCs/>
          <w:sz w:val="22"/>
        </w:rPr>
      </w:pPr>
      <w:r w:rsidRPr="009B0B72">
        <w:rPr>
          <w:b/>
          <w:bCs/>
          <w:sz w:val="22"/>
        </w:rPr>
        <w:t xml:space="preserve">Indiquer brièvement les principales caractéristiques des moyens usuels dont dispose une entreprise pour gérer son risque de change. </w:t>
      </w:r>
    </w:p>
    <w:p w:rsidR="004A5CF8" w:rsidRPr="004D5398" w:rsidRDefault="004A5CF8" w:rsidP="004D5398">
      <w:pPr>
        <w:pStyle w:val="Paragraphedeliste"/>
        <w:numPr>
          <w:ilvl w:val="0"/>
          <w:numId w:val="21"/>
        </w:numPr>
        <w:rPr>
          <w:sz w:val="22"/>
        </w:rPr>
      </w:pPr>
      <w:r w:rsidRPr="004D5398">
        <w:rPr>
          <w:sz w:val="22"/>
        </w:rPr>
        <w:t>Cours à terme ferme</w:t>
      </w:r>
      <w:r w:rsidR="002336D5" w:rsidRPr="004D5398">
        <w:rPr>
          <w:sz w:val="22"/>
        </w:rPr>
        <w:t>.</w:t>
      </w:r>
    </w:p>
    <w:p w:rsidR="00DB271E" w:rsidRPr="004D5398" w:rsidRDefault="00DB271E" w:rsidP="004D5398">
      <w:pPr>
        <w:pStyle w:val="Paragraphedeliste"/>
        <w:numPr>
          <w:ilvl w:val="0"/>
          <w:numId w:val="21"/>
        </w:numPr>
        <w:rPr>
          <w:sz w:val="22"/>
        </w:rPr>
      </w:pPr>
      <w:r w:rsidRPr="004D5398">
        <w:rPr>
          <w:sz w:val="22"/>
        </w:rPr>
        <w:t>Options de change</w:t>
      </w:r>
      <w:r w:rsidR="002336D5" w:rsidRPr="004D5398">
        <w:rPr>
          <w:sz w:val="22"/>
        </w:rPr>
        <w:t>.</w:t>
      </w:r>
    </w:p>
    <w:p w:rsidR="00526BC5" w:rsidRPr="004D5398" w:rsidRDefault="002336D5" w:rsidP="004D5398">
      <w:pPr>
        <w:pStyle w:val="Paragraphedeliste"/>
        <w:numPr>
          <w:ilvl w:val="0"/>
          <w:numId w:val="21"/>
        </w:numPr>
        <w:rPr>
          <w:sz w:val="22"/>
        </w:rPr>
      </w:pPr>
      <w:r w:rsidRPr="004D5398">
        <w:rPr>
          <w:sz w:val="22"/>
        </w:rPr>
        <w:t>Contrats à terme.</w:t>
      </w:r>
    </w:p>
    <w:p w:rsidR="00DB271E" w:rsidRPr="004D5398" w:rsidRDefault="004A73BD" w:rsidP="004D5398">
      <w:pPr>
        <w:pStyle w:val="Paragraphedeliste"/>
        <w:numPr>
          <w:ilvl w:val="0"/>
          <w:numId w:val="21"/>
        </w:numPr>
        <w:rPr>
          <w:sz w:val="22"/>
        </w:rPr>
      </w:pPr>
      <w:r w:rsidRPr="004D5398">
        <w:rPr>
          <w:sz w:val="22"/>
        </w:rPr>
        <w:t>W</w:t>
      </w:r>
      <w:r w:rsidR="00DB271E" w:rsidRPr="004D5398">
        <w:rPr>
          <w:sz w:val="22"/>
        </w:rPr>
        <w:t>arrants</w:t>
      </w:r>
      <w:r w:rsidR="002336D5" w:rsidRPr="004D5398">
        <w:rPr>
          <w:sz w:val="22"/>
        </w:rPr>
        <w:t>.</w:t>
      </w:r>
    </w:p>
    <w:p w:rsidR="00526BC5" w:rsidRPr="004D5398" w:rsidRDefault="00526BC5" w:rsidP="004D5398">
      <w:pPr>
        <w:pStyle w:val="Paragraphedeliste"/>
        <w:numPr>
          <w:ilvl w:val="0"/>
          <w:numId w:val="21"/>
        </w:numPr>
        <w:rPr>
          <w:sz w:val="22"/>
        </w:rPr>
      </w:pPr>
      <w:r w:rsidRPr="004D5398">
        <w:rPr>
          <w:sz w:val="22"/>
        </w:rPr>
        <w:t>Avance en devises</w:t>
      </w:r>
      <w:r w:rsidR="002336D5" w:rsidRPr="004D5398">
        <w:rPr>
          <w:sz w:val="22"/>
        </w:rPr>
        <w:t>.</w:t>
      </w:r>
    </w:p>
    <w:p w:rsidR="00526BC5" w:rsidRPr="004D5398" w:rsidRDefault="00526BC5" w:rsidP="004D5398">
      <w:pPr>
        <w:pStyle w:val="Paragraphedeliste"/>
        <w:numPr>
          <w:ilvl w:val="0"/>
          <w:numId w:val="21"/>
        </w:numPr>
        <w:rPr>
          <w:sz w:val="22"/>
        </w:rPr>
      </w:pPr>
      <w:r w:rsidRPr="004D5398">
        <w:rPr>
          <w:sz w:val="22"/>
        </w:rPr>
        <w:t>Recours aux polices d’assurance (Coface)</w:t>
      </w:r>
      <w:r w:rsidR="002336D5" w:rsidRPr="004D5398">
        <w:rPr>
          <w:sz w:val="22"/>
        </w:rPr>
        <w:t>.</w:t>
      </w:r>
    </w:p>
    <w:p w:rsidR="00526BC5" w:rsidRPr="004D5398" w:rsidRDefault="004A5CF8" w:rsidP="004D5398">
      <w:pPr>
        <w:pStyle w:val="Paragraphedeliste"/>
        <w:numPr>
          <w:ilvl w:val="0"/>
          <w:numId w:val="21"/>
        </w:numPr>
        <w:rPr>
          <w:sz w:val="22"/>
        </w:rPr>
      </w:pPr>
      <w:r w:rsidRPr="004D5398">
        <w:rPr>
          <w:sz w:val="22"/>
        </w:rPr>
        <w:t xml:space="preserve">Swaps </w:t>
      </w:r>
      <w:r w:rsidR="00526BC5" w:rsidRPr="004D5398">
        <w:rPr>
          <w:sz w:val="22"/>
        </w:rPr>
        <w:t xml:space="preserve">de </w:t>
      </w:r>
      <w:r w:rsidRPr="004D5398">
        <w:rPr>
          <w:sz w:val="22"/>
        </w:rPr>
        <w:t xml:space="preserve">devises ou de </w:t>
      </w:r>
      <w:r w:rsidR="002336D5" w:rsidRPr="004D5398">
        <w:rPr>
          <w:sz w:val="22"/>
        </w:rPr>
        <w:t>change.</w:t>
      </w:r>
    </w:p>
    <w:p w:rsidR="00526BC5" w:rsidRPr="009B0B72" w:rsidRDefault="00526BC5" w:rsidP="00DB271E">
      <w:pPr>
        <w:ind w:left="284" w:firstLine="142"/>
        <w:rPr>
          <w:sz w:val="22"/>
        </w:rPr>
      </w:pPr>
    </w:p>
    <w:p w:rsidR="00DB271E" w:rsidRPr="009B0B72" w:rsidRDefault="00DB271E" w:rsidP="00422265">
      <w:pPr>
        <w:pStyle w:val="Paragraphedeliste"/>
        <w:widowControl w:val="0"/>
        <w:numPr>
          <w:ilvl w:val="0"/>
          <w:numId w:val="4"/>
        </w:numPr>
        <w:shd w:val="clear" w:color="auto" w:fill="FFFFFF"/>
        <w:tabs>
          <w:tab w:val="left" w:pos="426"/>
        </w:tabs>
        <w:autoSpaceDE w:val="0"/>
        <w:autoSpaceDN w:val="0"/>
        <w:adjustRightInd w:val="0"/>
        <w:spacing w:after="80"/>
        <w:ind w:left="714" w:hanging="357"/>
        <w:contextualSpacing w:val="0"/>
        <w:rPr>
          <w:b/>
          <w:sz w:val="22"/>
        </w:rPr>
      </w:pPr>
      <w:r w:rsidRPr="009B0B72">
        <w:rPr>
          <w:b/>
          <w:bCs/>
          <w:sz w:val="22"/>
        </w:rPr>
        <w:t xml:space="preserve">Le trésorier demande à sa banque de lui faire un swap de devises afin de neutraliser le risque de change en USD. A partir de </w:t>
      </w:r>
      <w:r w:rsidRPr="009B0B72">
        <w:rPr>
          <w:b/>
          <w:bCs/>
          <w:i/>
          <w:sz w:val="22"/>
        </w:rPr>
        <w:t>l’annexe 2</w:t>
      </w:r>
      <w:r w:rsidRPr="009B0B72">
        <w:rPr>
          <w:b/>
          <w:bCs/>
          <w:sz w:val="22"/>
        </w:rPr>
        <w:t xml:space="preserve">, faire un schéma ou un tableau montrant les échanges de flux durant les 5 prochaines années. </w:t>
      </w:r>
    </w:p>
    <w:p w:rsidR="00D05287" w:rsidRPr="009B0B72" w:rsidRDefault="00D05287" w:rsidP="00470141">
      <w:pPr>
        <w:spacing w:after="80"/>
        <w:rPr>
          <w:b/>
          <w:sz w:val="22"/>
        </w:rPr>
      </w:pPr>
      <w:r w:rsidRPr="009B0B72">
        <w:rPr>
          <w:b/>
          <w:sz w:val="22"/>
        </w:rPr>
        <w:t>Flux sous forme de tableau :</w:t>
      </w:r>
    </w:p>
    <w:tbl>
      <w:tblPr>
        <w:tblW w:w="9809"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
        <w:gridCol w:w="3426"/>
        <w:gridCol w:w="2682"/>
        <w:gridCol w:w="2807"/>
      </w:tblGrid>
      <w:tr w:rsidR="00D05287" w:rsidRPr="004D5398" w:rsidTr="00470141">
        <w:trPr>
          <w:trHeight w:val="228"/>
          <w:jc w:val="center"/>
        </w:trPr>
        <w:tc>
          <w:tcPr>
            <w:tcW w:w="894" w:type="dxa"/>
          </w:tcPr>
          <w:p w:rsidR="00D05287" w:rsidRPr="004D5398" w:rsidRDefault="00D05287" w:rsidP="009B0B72">
            <w:pPr>
              <w:jc w:val="center"/>
              <w:rPr>
                <w:b/>
                <w:sz w:val="20"/>
                <w:szCs w:val="20"/>
              </w:rPr>
            </w:pPr>
            <w:r w:rsidRPr="004D5398">
              <w:rPr>
                <w:b/>
                <w:sz w:val="20"/>
                <w:szCs w:val="20"/>
              </w:rPr>
              <w:br w:type="page"/>
            </w:r>
          </w:p>
        </w:tc>
        <w:tc>
          <w:tcPr>
            <w:tcW w:w="3426" w:type="dxa"/>
          </w:tcPr>
          <w:p w:rsidR="00D05287" w:rsidRPr="004D5398" w:rsidRDefault="00D05287" w:rsidP="0048255F">
            <w:pPr>
              <w:jc w:val="center"/>
              <w:rPr>
                <w:b/>
                <w:sz w:val="20"/>
                <w:szCs w:val="20"/>
              </w:rPr>
            </w:pPr>
            <w:r w:rsidRPr="004D5398">
              <w:rPr>
                <w:b/>
                <w:sz w:val="20"/>
                <w:szCs w:val="20"/>
              </w:rPr>
              <w:t>Flux de PRIC vers le marché</w:t>
            </w:r>
          </w:p>
        </w:tc>
        <w:tc>
          <w:tcPr>
            <w:tcW w:w="2682" w:type="dxa"/>
          </w:tcPr>
          <w:p w:rsidR="00D05287" w:rsidRPr="004D5398" w:rsidRDefault="00D05287" w:rsidP="0048255F">
            <w:pPr>
              <w:jc w:val="center"/>
              <w:rPr>
                <w:b/>
                <w:sz w:val="20"/>
                <w:szCs w:val="20"/>
              </w:rPr>
            </w:pPr>
            <w:r w:rsidRPr="004D5398">
              <w:rPr>
                <w:b/>
                <w:sz w:val="20"/>
                <w:szCs w:val="20"/>
              </w:rPr>
              <w:t>Flux de PRIC vers la banque</w:t>
            </w:r>
          </w:p>
        </w:tc>
        <w:tc>
          <w:tcPr>
            <w:tcW w:w="2807" w:type="dxa"/>
          </w:tcPr>
          <w:p w:rsidR="00D05287" w:rsidRPr="004D5398" w:rsidRDefault="00D05287" w:rsidP="0048255F">
            <w:pPr>
              <w:jc w:val="center"/>
              <w:rPr>
                <w:b/>
                <w:sz w:val="20"/>
                <w:szCs w:val="20"/>
              </w:rPr>
            </w:pPr>
            <w:r w:rsidRPr="004D5398">
              <w:rPr>
                <w:b/>
                <w:sz w:val="20"/>
                <w:szCs w:val="20"/>
              </w:rPr>
              <w:t>Flux de la banque vers PRIC</w:t>
            </w:r>
          </w:p>
        </w:tc>
      </w:tr>
      <w:tr w:rsidR="00D05287" w:rsidRPr="00BE531B" w:rsidTr="00470141">
        <w:trPr>
          <w:trHeight w:val="1655"/>
          <w:jc w:val="center"/>
        </w:trPr>
        <w:tc>
          <w:tcPr>
            <w:tcW w:w="894" w:type="dxa"/>
          </w:tcPr>
          <w:p w:rsidR="00D05287" w:rsidRPr="009B0B72" w:rsidRDefault="00D05287" w:rsidP="009B0B72">
            <w:pPr>
              <w:jc w:val="center"/>
              <w:rPr>
                <w:sz w:val="20"/>
                <w:szCs w:val="20"/>
              </w:rPr>
            </w:pPr>
            <w:r w:rsidRPr="009B0B72">
              <w:rPr>
                <w:sz w:val="20"/>
                <w:szCs w:val="20"/>
              </w:rPr>
              <w:t>Année 0</w:t>
            </w:r>
          </w:p>
          <w:p w:rsidR="00D05287" w:rsidRPr="009B0B72" w:rsidRDefault="00D05287" w:rsidP="009B0B72">
            <w:pPr>
              <w:jc w:val="center"/>
              <w:rPr>
                <w:sz w:val="20"/>
                <w:szCs w:val="20"/>
              </w:rPr>
            </w:pPr>
            <w:r w:rsidRPr="009B0B72">
              <w:rPr>
                <w:sz w:val="20"/>
                <w:szCs w:val="20"/>
              </w:rPr>
              <w:t>1</w:t>
            </w:r>
          </w:p>
          <w:p w:rsidR="00D05287" w:rsidRPr="009B0B72" w:rsidRDefault="00D05287" w:rsidP="009B0B72">
            <w:pPr>
              <w:jc w:val="center"/>
              <w:rPr>
                <w:sz w:val="20"/>
                <w:szCs w:val="20"/>
              </w:rPr>
            </w:pPr>
            <w:r w:rsidRPr="009B0B72">
              <w:rPr>
                <w:sz w:val="20"/>
                <w:szCs w:val="20"/>
              </w:rPr>
              <w:t>2</w:t>
            </w:r>
          </w:p>
          <w:p w:rsidR="00D05287" w:rsidRPr="009B0B72" w:rsidRDefault="00D05287" w:rsidP="009B0B72">
            <w:pPr>
              <w:jc w:val="center"/>
              <w:rPr>
                <w:sz w:val="20"/>
                <w:szCs w:val="20"/>
              </w:rPr>
            </w:pPr>
            <w:r w:rsidRPr="009B0B72">
              <w:rPr>
                <w:sz w:val="20"/>
                <w:szCs w:val="20"/>
              </w:rPr>
              <w:t>3</w:t>
            </w:r>
          </w:p>
          <w:p w:rsidR="00D05287" w:rsidRPr="009B0B72" w:rsidRDefault="00D05287" w:rsidP="009B0B72">
            <w:pPr>
              <w:jc w:val="center"/>
              <w:rPr>
                <w:sz w:val="20"/>
                <w:szCs w:val="20"/>
              </w:rPr>
            </w:pPr>
            <w:r w:rsidRPr="009B0B72">
              <w:rPr>
                <w:sz w:val="20"/>
                <w:szCs w:val="20"/>
              </w:rPr>
              <w:t>4</w:t>
            </w:r>
          </w:p>
          <w:p w:rsidR="00D05287" w:rsidRPr="009B0B72" w:rsidRDefault="00D05287" w:rsidP="009B0B72">
            <w:pPr>
              <w:jc w:val="center"/>
              <w:rPr>
                <w:sz w:val="20"/>
                <w:szCs w:val="20"/>
              </w:rPr>
            </w:pPr>
            <w:r w:rsidRPr="009B0B72">
              <w:rPr>
                <w:sz w:val="20"/>
                <w:szCs w:val="20"/>
              </w:rPr>
              <w:t>5</w:t>
            </w:r>
          </w:p>
        </w:tc>
        <w:tc>
          <w:tcPr>
            <w:tcW w:w="3426" w:type="dxa"/>
          </w:tcPr>
          <w:p w:rsidR="00D05287" w:rsidRPr="009B0B72" w:rsidRDefault="004A342E" w:rsidP="0048255F">
            <w:pPr>
              <w:rPr>
                <w:sz w:val="20"/>
                <w:szCs w:val="20"/>
              </w:rPr>
            </w:pPr>
            <w:r w:rsidRPr="009B0B72">
              <w:rPr>
                <w:sz w:val="20"/>
                <w:szCs w:val="20"/>
              </w:rPr>
              <w:t xml:space="preserve"> - 2</w:t>
            </w:r>
            <w:r w:rsidR="00D05287" w:rsidRPr="009B0B72">
              <w:rPr>
                <w:sz w:val="20"/>
                <w:szCs w:val="20"/>
              </w:rPr>
              <w:t>00 millions USD</w:t>
            </w:r>
          </w:p>
          <w:p w:rsidR="00D05287" w:rsidRPr="009B0B72" w:rsidRDefault="00D05287" w:rsidP="0048255F">
            <w:pPr>
              <w:rPr>
                <w:sz w:val="20"/>
                <w:szCs w:val="20"/>
              </w:rPr>
            </w:pPr>
            <w:r w:rsidRPr="009B0B72">
              <w:rPr>
                <w:sz w:val="20"/>
                <w:szCs w:val="20"/>
              </w:rPr>
              <w:t>+ 48 (=0,04x200 +200/5) millions USD</w:t>
            </w:r>
          </w:p>
          <w:p w:rsidR="00D05287" w:rsidRPr="009B0B72" w:rsidRDefault="00D05287" w:rsidP="0048255F">
            <w:pPr>
              <w:rPr>
                <w:sz w:val="20"/>
                <w:szCs w:val="20"/>
              </w:rPr>
            </w:pPr>
            <w:r w:rsidRPr="009B0B72">
              <w:rPr>
                <w:sz w:val="20"/>
                <w:szCs w:val="20"/>
              </w:rPr>
              <w:t>+ 46,4 (=0,04x160 +40) millions USD</w:t>
            </w:r>
          </w:p>
          <w:p w:rsidR="00D05287" w:rsidRPr="009B0B72" w:rsidRDefault="00D05287" w:rsidP="0048255F">
            <w:pPr>
              <w:rPr>
                <w:sz w:val="20"/>
                <w:szCs w:val="20"/>
              </w:rPr>
            </w:pPr>
            <w:r w:rsidRPr="009B0B72">
              <w:rPr>
                <w:sz w:val="20"/>
                <w:szCs w:val="20"/>
              </w:rPr>
              <w:t>+ 44,8 (=0,04x12</w:t>
            </w:r>
            <w:r w:rsidR="004A342E" w:rsidRPr="009B0B72">
              <w:rPr>
                <w:sz w:val="20"/>
                <w:szCs w:val="20"/>
              </w:rPr>
              <w:t>0</w:t>
            </w:r>
            <w:r w:rsidRPr="009B0B72">
              <w:rPr>
                <w:sz w:val="20"/>
                <w:szCs w:val="20"/>
              </w:rPr>
              <w:t xml:space="preserve"> +4</w:t>
            </w:r>
            <w:r w:rsidR="004D5398">
              <w:rPr>
                <w:sz w:val="20"/>
                <w:szCs w:val="20"/>
              </w:rPr>
              <w:t>0</w:t>
            </w:r>
            <w:r w:rsidRPr="009B0B72">
              <w:rPr>
                <w:sz w:val="20"/>
                <w:szCs w:val="20"/>
              </w:rPr>
              <w:t>) millions USD</w:t>
            </w:r>
          </w:p>
          <w:p w:rsidR="00D05287" w:rsidRPr="009B0B72" w:rsidRDefault="00D05287" w:rsidP="0048255F">
            <w:pPr>
              <w:rPr>
                <w:sz w:val="20"/>
                <w:szCs w:val="20"/>
              </w:rPr>
            </w:pPr>
            <w:r w:rsidRPr="009B0B72">
              <w:rPr>
                <w:sz w:val="20"/>
                <w:szCs w:val="20"/>
              </w:rPr>
              <w:t>+ 43,2 M USD</w:t>
            </w:r>
          </w:p>
          <w:p w:rsidR="00D05287" w:rsidRPr="009B0B72" w:rsidRDefault="00D05287" w:rsidP="0048255F">
            <w:pPr>
              <w:rPr>
                <w:sz w:val="20"/>
                <w:szCs w:val="20"/>
              </w:rPr>
            </w:pPr>
            <w:r w:rsidRPr="009B0B72">
              <w:rPr>
                <w:sz w:val="20"/>
                <w:szCs w:val="20"/>
              </w:rPr>
              <w:t>+ 41,6 M USD</w:t>
            </w:r>
          </w:p>
        </w:tc>
        <w:tc>
          <w:tcPr>
            <w:tcW w:w="2682" w:type="dxa"/>
          </w:tcPr>
          <w:p w:rsidR="00D05287" w:rsidRPr="009B0B72" w:rsidRDefault="00D05287" w:rsidP="0048255F">
            <w:pPr>
              <w:rPr>
                <w:sz w:val="20"/>
                <w:szCs w:val="20"/>
              </w:rPr>
            </w:pPr>
            <w:r w:rsidRPr="009B0B72">
              <w:rPr>
                <w:sz w:val="20"/>
                <w:szCs w:val="20"/>
              </w:rPr>
              <w:t>+ 200 millions USD</w:t>
            </w:r>
          </w:p>
          <w:p w:rsidR="00D05287" w:rsidRPr="009B0B72" w:rsidRDefault="00D05287" w:rsidP="0048255F">
            <w:pPr>
              <w:rPr>
                <w:sz w:val="20"/>
                <w:szCs w:val="20"/>
              </w:rPr>
            </w:pPr>
            <w:r w:rsidRPr="009B0B72">
              <w:rPr>
                <w:sz w:val="20"/>
                <w:szCs w:val="20"/>
              </w:rPr>
              <w:t>+ 36,92 (=48/1,30) M EUR</w:t>
            </w:r>
          </w:p>
          <w:p w:rsidR="00D05287" w:rsidRPr="009B0B72" w:rsidRDefault="00D05287" w:rsidP="0048255F">
            <w:pPr>
              <w:rPr>
                <w:sz w:val="20"/>
                <w:szCs w:val="20"/>
              </w:rPr>
            </w:pPr>
            <w:r w:rsidRPr="009B0B72">
              <w:rPr>
                <w:sz w:val="20"/>
                <w:szCs w:val="20"/>
              </w:rPr>
              <w:t>+ 35,69 (=46,4/1,30) M EUR</w:t>
            </w:r>
          </w:p>
          <w:p w:rsidR="00D05287" w:rsidRPr="009B0B72" w:rsidRDefault="00D05287" w:rsidP="0048255F">
            <w:pPr>
              <w:rPr>
                <w:sz w:val="20"/>
                <w:szCs w:val="20"/>
              </w:rPr>
            </w:pPr>
            <w:r w:rsidRPr="009B0B72">
              <w:rPr>
                <w:sz w:val="20"/>
                <w:szCs w:val="20"/>
              </w:rPr>
              <w:t>+ 34,46 (=44,8/1,30) M EUR</w:t>
            </w:r>
          </w:p>
          <w:p w:rsidR="00D05287" w:rsidRPr="009B0B72" w:rsidRDefault="00D05287" w:rsidP="0048255F">
            <w:pPr>
              <w:rPr>
                <w:sz w:val="20"/>
                <w:szCs w:val="20"/>
              </w:rPr>
            </w:pPr>
            <w:r w:rsidRPr="009B0B72">
              <w:rPr>
                <w:sz w:val="20"/>
                <w:szCs w:val="20"/>
              </w:rPr>
              <w:t>+ 33,23 M EUR</w:t>
            </w:r>
          </w:p>
          <w:p w:rsidR="00D05287" w:rsidRPr="009B0B72" w:rsidRDefault="00D05287" w:rsidP="0048255F">
            <w:pPr>
              <w:rPr>
                <w:sz w:val="20"/>
                <w:szCs w:val="20"/>
              </w:rPr>
            </w:pPr>
            <w:r w:rsidRPr="009B0B72">
              <w:rPr>
                <w:sz w:val="20"/>
                <w:szCs w:val="20"/>
              </w:rPr>
              <w:t>+ 32 M EUR</w:t>
            </w:r>
          </w:p>
        </w:tc>
        <w:tc>
          <w:tcPr>
            <w:tcW w:w="2807" w:type="dxa"/>
          </w:tcPr>
          <w:p w:rsidR="00D05287" w:rsidRPr="009B0B72" w:rsidRDefault="00D05287" w:rsidP="0048255F">
            <w:pPr>
              <w:rPr>
                <w:sz w:val="20"/>
                <w:szCs w:val="20"/>
              </w:rPr>
            </w:pPr>
            <w:r w:rsidRPr="009B0B72">
              <w:rPr>
                <w:sz w:val="20"/>
                <w:szCs w:val="20"/>
              </w:rPr>
              <w:t>+ 153,85 (= 200/1,30) M EUR</w:t>
            </w:r>
          </w:p>
          <w:p w:rsidR="00D05287" w:rsidRPr="009B0B72" w:rsidRDefault="00D05287" w:rsidP="0048255F">
            <w:pPr>
              <w:rPr>
                <w:sz w:val="20"/>
                <w:szCs w:val="20"/>
              </w:rPr>
            </w:pPr>
            <w:r w:rsidRPr="009B0B72">
              <w:rPr>
                <w:sz w:val="20"/>
                <w:szCs w:val="20"/>
              </w:rPr>
              <w:t>+ 48 millions USD</w:t>
            </w:r>
          </w:p>
          <w:p w:rsidR="00D05287" w:rsidRPr="009B0B72" w:rsidRDefault="00D05287" w:rsidP="0048255F">
            <w:pPr>
              <w:rPr>
                <w:sz w:val="20"/>
                <w:szCs w:val="20"/>
              </w:rPr>
            </w:pPr>
            <w:r w:rsidRPr="009B0B72">
              <w:rPr>
                <w:sz w:val="20"/>
                <w:szCs w:val="20"/>
              </w:rPr>
              <w:t>+ 46,4 M USD</w:t>
            </w:r>
          </w:p>
          <w:p w:rsidR="00D05287" w:rsidRPr="0048255F" w:rsidRDefault="00D05287" w:rsidP="0048255F">
            <w:pPr>
              <w:rPr>
                <w:sz w:val="20"/>
                <w:szCs w:val="20"/>
                <w:lang w:val="de-DE"/>
              </w:rPr>
            </w:pPr>
            <w:r w:rsidRPr="0048255F">
              <w:rPr>
                <w:sz w:val="20"/>
                <w:szCs w:val="20"/>
                <w:lang w:val="de-DE"/>
              </w:rPr>
              <w:t>+ 44,8 M USD</w:t>
            </w:r>
          </w:p>
          <w:p w:rsidR="00D05287" w:rsidRPr="0048255F" w:rsidRDefault="00D05287" w:rsidP="0048255F">
            <w:pPr>
              <w:rPr>
                <w:sz w:val="20"/>
                <w:szCs w:val="20"/>
                <w:lang w:val="de-DE"/>
              </w:rPr>
            </w:pPr>
            <w:r w:rsidRPr="0048255F">
              <w:rPr>
                <w:sz w:val="20"/>
                <w:szCs w:val="20"/>
                <w:lang w:val="de-DE"/>
              </w:rPr>
              <w:t>+ 43,2 M USD</w:t>
            </w:r>
          </w:p>
          <w:p w:rsidR="00D05287" w:rsidRPr="0048255F" w:rsidRDefault="00D05287" w:rsidP="0048255F">
            <w:pPr>
              <w:rPr>
                <w:sz w:val="20"/>
                <w:szCs w:val="20"/>
                <w:lang w:val="de-DE"/>
              </w:rPr>
            </w:pPr>
            <w:r w:rsidRPr="0048255F">
              <w:rPr>
                <w:sz w:val="20"/>
                <w:szCs w:val="20"/>
                <w:lang w:val="de-DE"/>
              </w:rPr>
              <w:t>+ 41,6 M USD</w:t>
            </w:r>
          </w:p>
        </w:tc>
      </w:tr>
    </w:tbl>
    <w:p w:rsidR="00D05287" w:rsidRPr="0048255F" w:rsidRDefault="00D05287" w:rsidP="00D05287">
      <w:pPr>
        <w:rPr>
          <w:b/>
          <w:sz w:val="22"/>
          <w:lang w:val="de-DE"/>
        </w:rPr>
      </w:pPr>
    </w:p>
    <w:p w:rsidR="00D05287" w:rsidRPr="009B0B72" w:rsidRDefault="00D05287" w:rsidP="00D05287">
      <w:pPr>
        <w:rPr>
          <w:b/>
          <w:sz w:val="22"/>
        </w:rPr>
      </w:pPr>
      <w:r w:rsidRPr="009B0B72">
        <w:rPr>
          <w:b/>
          <w:sz w:val="22"/>
        </w:rPr>
        <w:t>Flux sous forme de schéma :</w:t>
      </w:r>
    </w:p>
    <w:p w:rsidR="00D05287" w:rsidRPr="009B0B72" w:rsidRDefault="00470141" w:rsidP="00D05287">
      <w:pPr>
        <w:rPr>
          <w:sz w:val="22"/>
        </w:rPr>
      </w:pPr>
      <w:r>
        <w:rPr>
          <w:sz w:val="22"/>
        </w:rPr>
        <w:t>À</w:t>
      </w:r>
      <w:r w:rsidR="00D05287" w:rsidRPr="009B0B72">
        <w:rPr>
          <w:sz w:val="22"/>
        </w:rPr>
        <w:t xml:space="preserve"> l’émission de l’emprunt (année 0) :</w:t>
      </w:r>
    </w:p>
    <w:p w:rsidR="00D05287" w:rsidRPr="009B0B72" w:rsidRDefault="003F708C" w:rsidP="00D05287">
      <w:pPr>
        <w:rPr>
          <w:rFonts w:ascii="Calibri" w:hAnsi="Calibri" w:cs="Calibri"/>
          <w:sz w:val="22"/>
        </w:rPr>
      </w:pPr>
      <w:r>
        <w:rPr>
          <w:rFonts w:ascii="Calibri" w:hAnsi="Calibri" w:cs="Calibri"/>
          <w:noProof/>
          <w:sz w:val="22"/>
        </w:rPr>
        <mc:AlternateContent>
          <mc:Choice Requires="wps">
            <w:drawing>
              <wp:anchor distT="0" distB="0" distL="114300" distR="114300" simplePos="0" relativeHeight="251656704" behindDoc="0" locked="0" layoutInCell="1" allowOverlap="1">
                <wp:simplePos x="0" y="0"/>
                <wp:positionH relativeFrom="column">
                  <wp:posOffset>2515235</wp:posOffset>
                </wp:positionH>
                <wp:positionV relativeFrom="paragraph">
                  <wp:posOffset>83820</wp:posOffset>
                </wp:positionV>
                <wp:extent cx="1174115" cy="228600"/>
                <wp:effectExtent l="0" t="0" r="0" b="0"/>
                <wp:wrapNone/>
                <wp:docPr id="13"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2286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8DF" w:rsidRDefault="002128DF" w:rsidP="00C871A0">
                            <w:pPr>
                              <w:pStyle w:val="Titre8"/>
                              <w:jc w:val="left"/>
                            </w:pPr>
                            <w:r>
                              <w:t>200 M USD</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2" o:spid="_x0000_s1029" type="#_x0000_t202" style="position:absolute;left:0;text-align:left;margin-left:198.05pt;margin-top:6.6pt;width:92.4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" filled="f" stroked="f">
                <v:fill opacity="32896f"/>
                <v:textbox inset="1.5mm,.3mm,1.5mm,.3mm">
                  <w:txbxContent>
                    <w:p w:rsidR="002128DF" w:rsidRDefault="002128DF" w:rsidP="00C871A0">
                      <w:pPr>
                        <w:pStyle w:val="Titre8"/>
                        <w:jc w:val="left"/>
                      </w:pPr>
                      <w:r>
                        <w:t>200 M USD</w:t>
                      </w:r>
                    </w:p>
                  </w:txbxContent>
                </v:textbox>
              </v:shape>
            </w:pict>
          </mc:Fallback>
        </mc:AlternateContent>
      </w:r>
    </w:p>
    <w:p w:rsidR="00D05287" w:rsidRPr="009B0B72" w:rsidRDefault="003F708C" w:rsidP="00D05287">
      <w:pPr>
        <w:rPr>
          <w:rFonts w:ascii="Calibri" w:hAnsi="Calibri" w:cs="Calibri"/>
          <w:sz w:val="22"/>
        </w:rPr>
      </w:pPr>
      <w:r>
        <w:rPr>
          <w:rFonts w:ascii="Calibri" w:hAnsi="Calibri" w:cs="Calibri"/>
          <w:noProof/>
          <w:sz w:val="22"/>
        </w:rPr>
        <mc:AlternateContent>
          <mc:Choice Requires="wps">
            <w:drawing>
              <wp:anchor distT="0" distB="0" distL="114300" distR="114300" simplePos="0" relativeHeight="251653632" behindDoc="0" locked="0" layoutInCell="1" allowOverlap="1">
                <wp:simplePos x="0" y="0"/>
                <wp:positionH relativeFrom="column">
                  <wp:posOffset>1170305</wp:posOffset>
                </wp:positionH>
                <wp:positionV relativeFrom="paragraph">
                  <wp:posOffset>141605</wp:posOffset>
                </wp:positionV>
                <wp:extent cx="914400" cy="304800"/>
                <wp:effectExtent l="5715" t="10795" r="2261235" b="8255"/>
                <wp:wrapNone/>
                <wp:docPr id="12" name="Légende encadrée 1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04800"/>
                        </a:xfrm>
                        <a:prstGeom prst="borderCallout1">
                          <a:avLst>
                            <a:gd name="adj1" fmla="val 37500"/>
                            <a:gd name="adj2" fmla="val 108333"/>
                            <a:gd name="adj3" fmla="val 35625"/>
                            <a:gd name="adj4" fmla="val 345000"/>
                          </a:avLst>
                        </a:prstGeom>
                        <a:solidFill>
                          <a:srgbClr val="FFFFFF"/>
                        </a:solidFill>
                        <a:ln w="9525">
                          <a:solidFill>
                            <a:srgbClr val="000000"/>
                          </a:solidFill>
                          <a:miter lim="800000"/>
                          <a:headEnd/>
                          <a:tailEnd type="arrow" w="med" len="med"/>
                        </a:ln>
                      </wps:spPr>
                      <wps:txbx>
                        <w:txbxContent>
                          <w:p w:rsidR="002128DF" w:rsidRPr="009B0B72" w:rsidRDefault="002128DF" w:rsidP="009B0B72">
                            <w:pPr>
                              <w:pStyle w:val="Pieddepage"/>
                              <w:tabs>
                                <w:tab w:val="clear" w:pos="4536"/>
                                <w:tab w:val="clear" w:pos="9072"/>
                              </w:tabs>
                              <w:jc w:val="center"/>
                              <w:rPr>
                                <w:b/>
                                <w:bCs/>
                                <w:sz w:val="22"/>
                              </w:rPr>
                            </w:pPr>
                            <w:r w:rsidRPr="009B0B72">
                              <w:rPr>
                                <w:b/>
                                <w:bCs/>
                                <w:sz w:val="22"/>
                              </w:rPr>
                              <w:t>PRIC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égende encadrée 1 11" o:spid="_x0000_s1030" type="#_x0000_t47" style="position:absolute;left:0;text-align:left;margin-left:92.15pt;margin-top:11.15pt;width:1in;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" adj="74520,7695,23400,8100">
                <v:stroke startarrow="open"/>
                <v:textbox>
                  <w:txbxContent>
                    <w:p w:rsidR="002128DF" w:rsidRPr="009B0B72" w:rsidRDefault="002128DF" w:rsidP="009B0B72">
                      <w:pPr>
                        <w:pStyle w:val="Pieddepage"/>
                        <w:tabs>
                          <w:tab w:val="clear" w:pos="4536"/>
                          <w:tab w:val="clear" w:pos="9072"/>
                        </w:tabs>
                        <w:jc w:val="center"/>
                        <w:rPr>
                          <w:b/>
                          <w:bCs/>
                          <w:sz w:val="22"/>
                        </w:rPr>
                      </w:pPr>
                      <w:r w:rsidRPr="009B0B72">
                        <w:rPr>
                          <w:b/>
                          <w:bCs/>
                          <w:sz w:val="22"/>
                        </w:rPr>
                        <w:t>PRIC</w:t>
                      </w:r>
                    </w:p>
                  </w:txbxContent>
                </v:textbox>
                <o:callout v:ext="edit" minusx="t"/>
              </v:shape>
            </w:pict>
          </mc:Fallback>
        </mc:AlternateContent>
      </w:r>
    </w:p>
    <w:p w:rsidR="00D05287" w:rsidRPr="009B0B72" w:rsidRDefault="003F708C" w:rsidP="00D05287">
      <w:pPr>
        <w:rPr>
          <w:rFonts w:ascii="Calibri" w:hAnsi="Calibri" w:cs="Calibri"/>
          <w:sz w:val="22"/>
        </w:rPr>
      </w:pPr>
      <w:r>
        <w:rPr>
          <w:rFonts w:ascii="Calibri" w:hAnsi="Calibri" w:cs="Calibri"/>
          <w:noProof/>
          <w:sz w:val="22"/>
        </w:rPr>
        <mc:AlternateContent>
          <mc:Choice Requires="wps">
            <w:drawing>
              <wp:anchor distT="0" distB="0" distL="114300" distR="114300" simplePos="0" relativeHeight="251654656" behindDoc="0" locked="0" layoutInCell="1" allowOverlap="1">
                <wp:simplePos x="0" y="0"/>
                <wp:positionH relativeFrom="column">
                  <wp:posOffset>4394835</wp:posOffset>
                </wp:positionH>
                <wp:positionV relativeFrom="paragraph">
                  <wp:posOffset>51435</wp:posOffset>
                </wp:positionV>
                <wp:extent cx="990600" cy="304800"/>
                <wp:effectExtent l="2220595" t="5715" r="8255" b="13335"/>
                <wp:wrapNone/>
                <wp:docPr id="11" name="Légende encadrée 1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304800"/>
                        </a:xfrm>
                        <a:prstGeom prst="borderCallout1">
                          <a:avLst>
                            <a:gd name="adj1" fmla="val 37500"/>
                            <a:gd name="adj2" fmla="val -7694"/>
                            <a:gd name="adj3" fmla="val 37500"/>
                            <a:gd name="adj4" fmla="val -222181"/>
                          </a:avLst>
                        </a:prstGeom>
                        <a:solidFill>
                          <a:srgbClr val="FFFFFF"/>
                        </a:solidFill>
                        <a:ln w="9525">
                          <a:solidFill>
                            <a:srgbClr val="000000"/>
                          </a:solidFill>
                          <a:miter lim="800000"/>
                          <a:headEnd/>
                          <a:tailEnd type="arrow" w="med" len="med"/>
                        </a:ln>
                      </wps:spPr>
                      <wps:txbx>
                        <w:txbxContent>
                          <w:p w:rsidR="002128DF" w:rsidRPr="009B0B72" w:rsidRDefault="002128DF" w:rsidP="009B0B72">
                            <w:pPr>
                              <w:pStyle w:val="Pieddepage"/>
                              <w:tabs>
                                <w:tab w:val="clear" w:pos="4536"/>
                                <w:tab w:val="clear" w:pos="9072"/>
                              </w:tabs>
                              <w:jc w:val="center"/>
                              <w:rPr>
                                <w:b/>
                                <w:bCs/>
                                <w:sz w:val="22"/>
                              </w:rPr>
                            </w:pPr>
                            <w:r w:rsidRPr="009B0B72">
                              <w:rPr>
                                <w:b/>
                                <w:bCs/>
                                <w:sz w:val="22"/>
                              </w:rPr>
                              <w:t>Banque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égende encadrée 1 10" o:spid="_x0000_s1031" type="#_x0000_t47" style="position:absolute;left:0;text-align:left;margin-left:346.05pt;margin-top:4.05pt;width:78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" adj="-47991,8100,-1662,8100">
                <v:stroke startarrow="open"/>
                <v:textbox>
                  <w:txbxContent>
                    <w:p w:rsidR="002128DF" w:rsidRPr="009B0B72" w:rsidRDefault="002128DF" w:rsidP="009B0B72">
                      <w:pPr>
                        <w:pStyle w:val="Pieddepage"/>
                        <w:tabs>
                          <w:tab w:val="clear" w:pos="4536"/>
                          <w:tab w:val="clear" w:pos="9072"/>
                        </w:tabs>
                        <w:jc w:val="center"/>
                        <w:rPr>
                          <w:b/>
                          <w:bCs/>
                          <w:sz w:val="22"/>
                        </w:rPr>
                      </w:pPr>
                      <w:r w:rsidRPr="009B0B72">
                        <w:rPr>
                          <w:b/>
                          <w:bCs/>
                          <w:sz w:val="22"/>
                        </w:rPr>
                        <w:t>Banque</w:t>
                      </w:r>
                    </w:p>
                  </w:txbxContent>
                </v:textbox>
              </v:shape>
            </w:pict>
          </mc:Fallback>
        </mc:AlternateContent>
      </w:r>
    </w:p>
    <w:p w:rsidR="00D05287" w:rsidRPr="009B0B72" w:rsidRDefault="003F708C" w:rsidP="00D05287">
      <w:pPr>
        <w:rPr>
          <w:rFonts w:ascii="Calibri" w:hAnsi="Calibri" w:cs="Calibri"/>
          <w:sz w:val="22"/>
        </w:rPr>
      </w:pPr>
      <w:r>
        <w:rPr>
          <w:rFonts w:ascii="Calibri" w:hAnsi="Calibri" w:cs="Calibri"/>
          <w:noProof/>
          <w:sz w:val="22"/>
        </w:rPr>
        <mc:AlternateContent>
          <mc:Choice Requires="wps">
            <w:drawing>
              <wp:anchor distT="0" distB="0" distL="114300" distR="114300" simplePos="0" relativeHeight="251652608" behindDoc="0" locked="0" layoutInCell="1" allowOverlap="1">
                <wp:simplePos x="0" y="0"/>
                <wp:positionH relativeFrom="column">
                  <wp:posOffset>2454275</wp:posOffset>
                </wp:positionH>
                <wp:positionV relativeFrom="paragraph">
                  <wp:posOffset>120015</wp:posOffset>
                </wp:positionV>
                <wp:extent cx="1524000" cy="228600"/>
                <wp:effectExtent l="0" t="0" r="0" b="0"/>
                <wp:wrapNone/>
                <wp:docPr id="10"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286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8DF" w:rsidRDefault="002128DF" w:rsidP="00D05287">
                            <w:pPr>
                              <w:pStyle w:val="Titre8"/>
                            </w:pPr>
                            <w:r>
                              <w:t>200/1,30 = 153,85 M EUR</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32" type="#_x0000_t202" style="position:absolute;left:0;text-align:left;margin-left:193.25pt;margin-top:9.45pt;width:120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" filled="f" stroked="f">
                <v:fill opacity="32896f"/>
                <v:textbox inset="1.5mm,.3mm,1.5mm,.3mm">
                  <w:txbxContent>
                    <w:p w:rsidR="002128DF" w:rsidRDefault="002128DF" w:rsidP="00D05287">
                      <w:pPr>
                        <w:pStyle w:val="Titre8"/>
                      </w:pPr>
                      <w:r>
                        <w:t>200/1,30 = 153,85 M EUR</w:t>
                      </w:r>
                    </w:p>
                  </w:txbxContent>
                </v:textbox>
              </v:shape>
            </w:pict>
          </mc:Fallback>
        </mc:AlternateContent>
      </w:r>
    </w:p>
    <w:p w:rsidR="00D05287" w:rsidRPr="009B0B72" w:rsidRDefault="003F708C" w:rsidP="00D05287">
      <w:pPr>
        <w:rPr>
          <w:rFonts w:ascii="Calibri" w:hAnsi="Calibri" w:cs="Calibri"/>
          <w:sz w:val="22"/>
        </w:rPr>
      </w:pPr>
      <w:r>
        <w:rPr>
          <w:rFonts w:ascii="Calibri" w:hAnsi="Calibri" w:cs="Calibri"/>
          <w:noProof/>
          <w:sz w:val="22"/>
        </w:rPr>
        <mc:AlternateContent>
          <mc:Choice Requires="wps">
            <w:drawing>
              <wp:anchor distT="0" distB="0" distL="114300" distR="114300" simplePos="0" relativeHeight="251651584" behindDoc="0" locked="0" layoutInCell="1" allowOverlap="1">
                <wp:simplePos x="0" y="0"/>
                <wp:positionH relativeFrom="column">
                  <wp:posOffset>343535</wp:posOffset>
                </wp:positionH>
                <wp:positionV relativeFrom="paragraph">
                  <wp:posOffset>14605</wp:posOffset>
                </wp:positionV>
                <wp:extent cx="1295400" cy="304800"/>
                <wp:effectExtent l="0" t="0" r="0" b="0"/>
                <wp:wrapNone/>
                <wp:docPr id="9"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048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8DF" w:rsidRDefault="002128DF" w:rsidP="00D05287">
                            <w:pPr>
                              <w:pStyle w:val="Titre8"/>
                            </w:pPr>
                            <w:r>
                              <w:t>Emprunt 200 M USD</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 o:spid="_x0000_s1033" type="#_x0000_t202" style="position:absolute;left:0;text-align:left;margin-left:27.05pt;margin-top:1.15pt;width:102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" filled="f" stroked="f">
                <v:fill opacity="32896f"/>
                <v:textbox inset="1.5mm,.3mm,1.5mm,.3mm">
                  <w:txbxContent>
                    <w:p w:rsidR="002128DF" w:rsidRDefault="002128DF" w:rsidP="00D05287">
                      <w:pPr>
                        <w:pStyle w:val="Titre8"/>
                      </w:pPr>
                      <w:r>
                        <w:t>Emprunt 200 M USD</w:t>
                      </w:r>
                    </w:p>
                  </w:txbxContent>
                </v:textbox>
              </v:shape>
            </w:pict>
          </mc:Fallback>
        </mc:AlternateContent>
      </w:r>
    </w:p>
    <w:p w:rsidR="00D05287" w:rsidRPr="009B0B72" w:rsidRDefault="00D05287" w:rsidP="00D05287">
      <w:pPr>
        <w:rPr>
          <w:rFonts w:ascii="Calibri" w:hAnsi="Calibri" w:cs="Calibri"/>
          <w:sz w:val="22"/>
        </w:rPr>
      </w:pPr>
    </w:p>
    <w:p w:rsidR="00D05287" w:rsidRPr="009B0B72" w:rsidRDefault="003F708C" w:rsidP="00D05287">
      <w:pPr>
        <w:rPr>
          <w:rFonts w:ascii="Calibri" w:hAnsi="Calibri" w:cs="Calibri"/>
          <w:sz w:val="22"/>
        </w:rPr>
      </w:pPr>
      <w:r>
        <w:rPr>
          <w:rFonts w:ascii="Calibri" w:hAnsi="Calibri" w:cs="Calibri"/>
          <w:noProof/>
          <w:sz w:val="22"/>
        </w:rPr>
        <mc:AlternateContent>
          <mc:Choice Requires="wps">
            <w:drawing>
              <wp:anchor distT="0" distB="0" distL="114300" distR="114300" simplePos="0" relativeHeight="251655680" behindDoc="0" locked="0" layoutInCell="1" allowOverlap="1">
                <wp:simplePos x="0" y="0"/>
                <wp:positionH relativeFrom="column">
                  <wp:posOffset>-128270</wp:posOffset>
                </wp:positionH>
                <wp:positionV relativeFrom="paragraph">
                  <wp:posOffset>156210</wp:posOffset>
                </wp:positionV>
                <wp:extent cx="1858645" cy="292100"/>
                <wp:effectExtent l="12065" t="611505" r="158115" b="10795"/>
                <wp:wrapNone/>
                <wp:docPr id="8" name="Légende encadrée 1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8645" cy="292100"/>
                        </a:xfrm>
                        <a:prstGeom prst="borderCallout1">
                          <a:avLst>
                            <a:gd name="adj1" fmla="val 39130"/>
                            <a:gd name="adj2" fmla="val 104102"/>
                            <a:gd name="adj3" fmla="val -203477"/>
                            <a:gd name="adj4" fmla="val 104407"/>
                          </a:avLst>
                        </a:prstGeom>
                        <a:solidFill>
                          <a:srgbClr val="FFFFFF"/>
                        </a:solidFill>
                        <a:ln w="9525">
                          <a:solidFill>
                            <a:srgbClr val="000000"/>
                          </a:solidFill>
                          <a:miter lim="800000"/>
                          <a:headEnd/>
                          <a:tailEnd type="arrow" w="med" len="med"/>
                        </a:ln>
                      </wps:spPr>
                      <wps:txbx>
                        <w:txbxContent>
                          <w:p w:rsidR="002128DF" w:rsidRPr="009B0B72" w:rsidRDefault="002128DF" w:rsidP="00D05287">
                            <w:pPr>
                              <w:pStyle w:val="Pieddepage"/>
                              <w:tabs>
                                <w:tab w:val="clear" w:pos="4536"/>
                                <w:tab w:val="clear" w:pos="9072"/>
                              </w:tabs>
                              <w:rPr>
                                <w:b/>
                                <w:bCs/>
                                <w:sz w:val="22"/>
                              </w:rPr>
                            </w:pPr>
                            <w:r w:rsidRPr="009B0B72">
                              <w:rPr>
                                <w:b/>
                                <w:bCs/>
                                <w:sz w:val="22"/>
                              </w:rPr>
                              <w:t>Marché obligataire en USD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égende encadrée 1 7" o:spid="_x0000_s1034" type="#_x0000_t47" style="position:absolute;left:0;text-align:left;margin-left:-10.1pt;margin-top:12.3pt;width:146.35pt;height:2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" adj="22552,-43951,22486,8452">
                <v:stroke startarrow="open"/>
                <v:textbox>
                  <w:txbxContent>
                    <w:p w:rsidR="002128DF" w:rsidRPr="009B0B72" w:rsidRDefault="002128DF" w:rsidP="00D05287">
                      <w:pPr>
                        <w:pStyle w:val="Pieddepage"/>
                        <w:tabs>
                          <w:tab w:val="clear" w:pos="4536"/>
                          <w:tab w:val="clear" w:pos="9072"/>
                        </w:tabs>
                        <w:rPr>
                          <w:b/>
                          <w:bCs/>
                          <w:sz w:val="22"/>
                        </w:rPr>
                      </w:pPr>
                      <w:r w:rsidRPr="009B0B72">
                        <w:rPr>
                          <w:b/>
                          <w:bCs/>
                          <w:sz w:val="22"/>
                        </w:rPr>
                        <w:t>Marché obligataire en USD</w:t>
                      </w:r>
                    </w:p>
                  </w:txbxContent>
                </v:textbox>
                <o:callout v:ext="edit" minusx="t"/>
              </v:shape>
            </w:pict>
          </mc:Fallback>
        </mc:AlternateContent>
      </w:r>
    </w:p>
    <w:p w:rsidR="00D05287" w:rsidRPr="009B0B72" w:rsidRDefault="00D05287" w:rsidP="00D05287">
      <w:pPr>
        <w:rPr>
          <w:rFonts w:ascii="Calibri" w:hAnsi="Calibri" w:cs="Calibri"/>
          <w:sz w:val="22"/>
        </w:rPr>
      </w:pPr>
    </w:p>
    <w:p w:rsidR="00D05287" w:rsidRPr="009B0B72" w:rsidRDefault="00D05287" w:rsidP="00D05287">
      <w:pPr>
        <w:rPr>
          <w:rFonts w:ascii="Calibri" w:hAnsi="Calibri" w:cs="Calibri"/>
          <w:sz w:val="22"/>
        </w:rPr>
      </w:pPr>
    </w:p>
    <w:p w:rsidR="00D05287" w:rsidRPr="009B0B72" w:rsidRDefault="00D05287" w:rsidP="00C871A0">
      <w:pPr>
        <w:ind w:left="426"/>
        <w:rPr>
          <w:sz w:val="22"/>
        </w:rPr>
      </w:pPr>
      <w:r w:rsidRPr="009B0B72">
        <w:rPr>
          <w:sz w:val="22"/>
        </w:rPr>
        <w:t>Puis chaque année (année 1 à 5) :</w:t>
      </w:r>
    </w:p>
    <w:p w:rsidR="00D05287" w:rsidRPr="009B0B72" w:rsidRDefault="003F708C" w:rsidP="00D05287">
      <w:pPr>
        <w:rPr>
          <w:rFonts w:ascii="Calibri" w:hAnsi="Calibri" w:cs="Calibri"/>
          <w:sz w:val="22"/>
        </w:rPr>
      </w:pPr>
      <w:r>
        <w:rPr>
          <w:rFonts w:ascii="Calibri" w:hAnsi="Calibri" w:cs="Calibri"/>
          <w:noProof/>
          <w:sz w:val="22"/>
        </w:rPr>
        <mc:AlternateContent>
          <mc:Choice Requires="wps">
            <w:drawing>
              <wp:anchor distT="0" distB="0" distL="114300" distR="114300" simplePos="0" relativeHeight="251662848" behindDoc="0" locked="0" layoutInCell="1" allowOverlap="1">
                <wp:simplePos x="0" y="0"/>
                <wp:positionH relativeFrom="column">
                  <wp:posOffset>2515235</wp:posOffset>
                </wp:positionH>
                <wp:positionV relativeFrom="paragraph">
                  <wp:posOffset>97155</wp:posOffset>
                </wp:positionV>
                <wp:extent cx="1524000" cy="228600"/>
                <wp:effectExtent l="0" t="0" r="0" b="0"/>
                <wp:wrapNone/>
                <wp:docPr id="7"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286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8DF" w:rsidRDefault="002128DF" w:rsidP="00D05287">
                            <w:pPr>
                              <w:pStyle w:val="Titre8"/>
                            </w:pPr>
                            <w:r>
                              <w:t>36,92 (=48/1,3) M EUR</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35" type="#_x0000_t202" style="position:absolute;left:0;text-align:left;margin-left:198.05pt;margin-top:7.65pt;width:120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" filled="f" stroked="f">
                <v:fill opacity="32896f"/>
                <v:textbox inset="1.5mm,.3mm,1.5mm,.3mm">
                  <w:txbxContent>
                    <w:p w:rsidR="002128DF" w:rsidRDefault="002128DF" w:rsidP="00D05287">
                      <w:pPr>
                        <w:pStyle w:val="Titre8"/>
                      </w:pPr>
                      <w:r>
                        <w:t>36,92 (=48/1,3) M EUR</w:t>
                      </w:r>
                    </w:p>
                  </w:txbxContent>
                </v:textbox>
              </v:shape>
            </w:pict>
          </mc:Fallback>
        </mc:AlternateContent>
      </w:r>
    </w:p>
    <w:p w:rsidR="00D05287" w:rsidRPr="009B0B72" w:rsidRDefault="003F708C" w:rsidP="00D05287">
      <w:pPr>
        <w:rPr>
          <w:rFonts w:ascii="Calibri" w:hAnsi="Calibri" w:cs="Calibri"/>
          <w:sz w:val="22"/>
        </w:rPr>
      </w:pPr>
      <w:r>
        <w:rPr>
          <w:rFonts w:ascii="Calibri" w:hAnsi="Calibri" w:cs="Calibri"/>
          <w:noProof/>
          <w:sz w:val="22"/>
        </w:rPr>
        <mc:AlternateContent>
          <mc:Choice Requires="wps">
            <w:drawing>
              <wp:anchor distT="0" distB="0" distL="114300" distR="114300" simplePos="0" relativeHeight="251659776" behindDoc="0" locked="0" layoutInCell="1" allowOverlap="1">
                <wp:simplePos x="0" y="0"/>
                <wp:positionH relativeFrom="column">
                  <wp:posOffset>1208405</wp:posOffset>
                </wp:positionH>
                <wp:positionV relativeFrom="paragraph">
                  <wp:posOffset>87630</wp:posOffset>
                </wp:positionV>
                <wp:extent cx="914400" cy="304800"/>
                <wp:effectExtent l="5715" t="13970" r="2213610" b="5080"/>
                <wp:wrapNone/>
                <wp:docPr id="6" name="Légende encadrée 1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04800"/>
                        </a:xfrm>
                        <a:prstGeom prst="borderCallout1">
                          <a:avLst>
                            <a:gd name="adj1" fmla="val 37500"/>
                            <a:gd name="adj2" fmla="val 108333"/>
                            <a:gd name="adj3" fmla="val 38125"/>
                            <a:gd name="adj4" fmla="val 340000"/>
                          </a:avLst>
                        </a:prstGeom>
                        <a:solidFill>
                          <a:srgbClr val="FFFFFF"/>
                        </a:solidFill>
                        <a:ln w="9525">
                          <a:solidFill>
                            <a:srgbClr val="000000"/>
                          </a:solidFill>
                          <a:miter lim="800000"/>
                          <a:headEnd/>
                          <a:tailEnd type="arrow" w="med" len="med"/>
                        </a:ln>
                      </wps:spPr>
                      <wps:txbx>
                        <w:txbxContent>
                          <w:p w:rsidR="002128DF" w:rsidRDefault="002128DF" w:rsidP="009B0B72">
                            <w:pPr>
                              <w:pStyle w:val="Pieddepage"/>
                              <w:tabs>
                                <w:tab w:val="clear" w:pos="4536"/>
                                <w:tab w:val="clear" w:pos="9072"/>
                              </w:tabs>
                              <w:jc w:val="center"/>
                              <w:rPr>
                                <w:rFonts w:ascii="Arial" w:hAnsi="Arial" w:cs="Arial"/>
                                <w:b/>
                                <w:bCs/>
                              </w:rPr>
                            </w:pPr>
                            <w:r w:rsidRPr="009B0B72">
                              <w:rPr>
                                <w:b/>
                                <w:bCs/>
                                <w:sz w:val="22"/>
                              </w:rPr>
                              <w:t>PRIC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égende encadrée 1 5" o:spid="_x0000_s1036" type="#_x0000_t47" style="position:absolute;left:0;text-align:left;margin-left:95.15pt;margin-top:6.9pt;width:1in;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" adj="73440,8235,23400,8100">
                <v:stroke startarrow="open"/>
                <v:textbox>
                  <w:txbxContent>
                    <w:p w:rsidR="002128DF" w:rsidRDefault="002128DF" w:rsidP="009B0B72">
                      <w:pPr>
                        <w:pStyle w:val="Pieddepage"/>
                        <w:tabs>
                          <w:tab w:val="clear" w:pos="4536"/>
                          <w:tab w:val="clear" w:pos="9072"/>
                        </w:tabs>
                        <w:jc w:val="center"/>
                        <w:rPr>
                          <w:rFonts w:ascii="Arial" w:hAnsi="Arial" w:cs="Arial"/>
                          <w:b/>
                          <w:bCs/>
                        </w:rPr>
                      </w:pPr>
                      <w:r w:rsidRPr="009B0B72">
                        <w:rPr>
                          <w:b/>
                          <w:bCs/>
                          <w:sz w:val="22"/>
                        </w:rPr>
                        <w:t>PRIC</w:t>
                      </w:r>
                    </w:p>
                  </w:txbxContent>
                </v:textbox>
                <o:callout v:ext="edit" minusx="t" minusy="t"/>
              </v:shape>
            </w:pict>
          </mc:Fallback>
        </mc:AlternateContent>
      </w:r>
    </w:p>
    <w:p w:rsidR="00D05287" w:rsidRPr="009B0B72" w:rsidRDefault="003F708C" w:rsidP="00D05287">
      <w:pPr>
        <w:rPr>
          <w:rFonts w:ascii="Calibri" w:hAnsi="Calibri" w:cs="Calibri"/>
          <w:sz w:val="22"/>
        </w:rPr>
      </w:pPr>
      <w:r>
        <w:rPr>
          <w:rFonts w:ascii="Calibri" w:hAnsi="Calibri" w:cs="Calibri"/>
          <w:noProof/>
          <w:sz w:val="22"/>
        </w:rPr>
        <mc:AlternateContent>
          <mc:Choice Requires="wps">
            <w:drawing>
              <wp:anchor distT="0" distB="0" distL="114300" distR="114300" simplePos="0" relativeHeight="251660800" behindDoc="0" locked="0" layoutInCell="1" allowOverlap="1">
                <wp:simplePos x="0" y="0"/>
                <wp:positionH relativeFrom="column">
                  <wp:posOffset>4432935</wp:posOffset>
                </wp:positionH>
                <wp:positionV relativeFrom="paragraph">
                  <wp:posOffset>5715</wp:posOffset>
                </wp:positionV>
                <wp:extent cx="990600" cy="304800"/>
                <wp:effectExtent l="2220595" t="7620" r="8255" b="11430"/>
                <wp:wrapNone/>
                <wp:docPr id="5" name="Légende encadrée 1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304800"/>
                        </a:xfrm>
                        <a:prstGeom prst="borderCallout1">
                          <a:avLst>
                            <a:gd name="adj1" fmla="val 37500"/>
                            <a:gd name="adj2" fmla="val -7694"/>
                            <a:gd name="adj3" fmla="val 37500"/>
                            <a:gd name="adj4" fmla="val -222181"/>
                          </a:avLst>
                        </a:prstGeom>
                        <a:solidFill>
                          <a:srgbClr val="FFFFFF"/>
                        </a:solidFill>
                        <a:ln w="9525">
                          <a:solidFill>
                            <a:srgbClr val="000000"/>
                          </a:solidFill>
                          <a:miter lim="800000"/>
                          <a:headEnd/>
                          <a:tailEnd type="arrow" w="med" len="med"/>
                        </a:ln>
                      </wps:spPr>
                      <wps:txbx>
                        <w:txbxContent>
                          <w:p w:rsidR="002128DF" w:rsidRDefault="002128DF" w:rsidP="009B0B72">
                            <w:pPr>
                              <w:pStyle w:val="Pieddepage"/>
                              <w:tabs>
                                <w:tab w:val="clear" w:pos="4536"/>
                                <w:tab w:val="clear" w:pos="9072"/>
                              </w:tabs>
                              <w:jc w:val="center"/>
                              <w:rPr>
                                <w:rFonts w:ascii="Arial" w:hAnsi="Arial" w:cs="Arial"/>
                                <w:b/>
                                <w:bCs/>
                              </w:rPr>
                            </w:pPr>
                            <w:r w:rsidRPr="009B0B72">
                              <w:rPr>
                                <w:b/>
                                <w:bCs/>
                                <w:sz w:val="22"/>
                              </w:rPr>
                              <w:t>Banque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égende encadrée 1 4" o:spid="_x0000_s1037" type="#_x0000_t47" style="position:absolute;left:0;text-align:left;margin-left:349.05pt;margin-top:.45pt;width:78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" adj="-47991,8100,-1662,8100">
                <v:stroke startarrow="open"/>
                <v:textbox>
                  <w:txbxContent>
                    <w:p w:rsidR="002128DF" w:rsidRDefault="002128DF" w:rsidP="009B0B72">
                      <w:pPr>
                        <w:pStyle w:val="Pieddepage"/>
                        <w:tabs>
                          <w:tab w:val="clear" w:pos="4536"/>
                          <w:tab w:val="clear" w:pos="9072"/>
                        </w:tabs>
                        <w:jc w:val="center"/>
                        <w:rPr>
                          <w:rFonts w:ascii="Arial" w:hAnsi="Arial" w:cs="Arial"/>
                          <w:b/>
                          <w:bCs/>
                        </w:rPr>
                      </w:pPr>
                      <w:r w:rsidRPr="009B0B72">
                        <w:rPr>
                          <w:b/>
                          <w:bCs/>
                          <w:sz w:val="22"/>
                        </w:rPr>
                        <w:t>Banque</w:t>
                      </w:r>
                    </w:p>
                  </w:txbxContent>
                </v:textbox>
              </v:shape>
            </w:pict>
          </mc:Fallback>
        </mc:AlternateContent>
      </w:r>
    </w:p>
    <w:p w:rsidR="00D05287" w:rsidRPr="009B0B72" w:rsidRDefault="003F708C" w:rsidP="00D05287">
      <w:pPr>
        <w:rPr>
          <w:rFonts w:ascii="Calibri" w:hAnsi="Calibri" w:cs="Calibri"/>
          <w:sz w:val="22"/>
        </w:rPr>
      </w:pPr>
      <w:r>
        <w:rPr>
          <w:rFonts w:ascii="Calibri" w:hAnsi="Calibri" w:cs="Calibri"/>
          <w:noProof/>
          <w:sz w:val="22"/>
        </w:rPr>
        <mc:AlternateContent>
          <mc:Choice Requires="wps">
            <w:drawing>
              <wp:anchor distT="0" distB="0" distL="114300" distR="114300" simplePos="0" relativeHeight="251658752" behindDoc="0" locked="0" layoutInCell="1" allowOverlap="1">
                <wp:simplePos x="0" y="0"/>
                <wp:positionH relativeFrom="column">
                  <wp:posOffset>2515235</wp:posOffset>
                </wp:positionH>
                <wp:positionV relativeFrom="paragraph">
                  <wp:posOffset>139700</wp:posOffset>
                </wp:positionV>
                <wp:extent cx="1524000" cy="955675"/>
                <wp:effectExtent l="0" t="0" r="0" b="0"/>
                <wp:wrapNone/>
                <wp:docPr id="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95567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8DF" w:rsidRDefault="002128DF" w:rsidP="00C871A0">
                            <w:pPr>
                              <w:pStyle w:val="Titre8"/>
                              <w:jc w:val="left"/>
                            </w:pPr>
                            <w:r>
                              <w:t>48 M USD en année 1</w:t>
                            </w:r>
                          </w:p>
                          <w:p w:rsidR="002128DF" w:rsidRDefault="002128DF" w:rsidP="00C871A0">
                            <w:pPr>
                              <w:jc w:val="left"/>
                            </w:pPr>
                            <w:r>
                              <w:t>46,4 en année 2</w:t>
                            </w:r>
                          </w:p>
                          <w:p w:rsidR="002128DF" w:rsidRDefault="002128DF" w:rsidP="00C871A0">
                            <w:pPr>
                              <w:jc w:val="left"/>
                            </w:pPr>
                            <w:r>
                              <w:t>44,8 en année 3</w:t>
                            </w:r>
                          </w:p>
                          <w:p w:rsidR="002128DF" w:rsidRDefault="002128DF" w:rsidP="00C871A0">
                            <w:pPr>
                              <w:jc w:val="left"/>
                            </w:pPr>
                            <w:r>
                              <w:t>43,2 en année 4</w:t>
                            </w:r>
                          </w:p>
                          <w:p w:rsidR="002128DF" w:rsidRPr="00790F9B" w:rsidRDefault="002128DF" w:rsidP="00C871A0">
                            <w:pPr>
                              <w:jc w:val="left"/>
                            </w:pPr>
                            <w:r>
                              <w:t>41,6 en année 5</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38" type="#_x0000_t202" style="position:absolute;left:0;text-align:left;margin-left:198.05pt;margin-top:11pt;width:120pt;height:7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" filled="f" stroked="f">
                <v:fill opacity="32896f"/>
                <v:textbox inset="1.5mm,.3mm,1.5mm,.3mm">
                  <w:txbxContent>
                    <w:p w:rsidR="002128DF" w:rsidRDefault="002128DF" w:rsidP="00C871A0">
                      <w:pPr>
                        <w:pStyle w:val="Titre8"/>
                        <w:jc w:val="left"/>
                      </w:pPr>
                      <w:r>
                        <w:t>48 M USD en année 1</w:t>
                      </w:r>
                    </w:p>
                    <w:p w:rsidR="002128DF" w:rsidRDefault="002128DF" w:rsidP="00C871A0">
                      <w:pPr>
                        <w:jc w:val="left"/>
                      </w:pPr>
                      <w:r>
                        <w:t>46,4 en année 2</w:t>
                      </w:r>
                    </w:p>
                    <w:p w:rsidR="002128DF" w:rsidRDefault="002128DF" w:rsidP="00C871A0">
                      <w:pPr>
                        <w:jc w:val="left"/>
                      </w:pPr>
                      <w:r>
                        <w:t>44,8 en année 3</w:t>
                      </w:r>
                    </w:p>
                    <w:p w:rsidR="002128DF" w:rsidRDefault="002128DF" w:rsidP="00C871A0">
                      <w:pPr>
                        <w:jc w:val="left"/>
                      </w:pPr>
                      <w:r>
                        <w:t>43,2 en année 4</w:t>
                      </w:r>
                    </w:p>
                    <w:p w:rsidR="002128DF" w:rsidRPr="00790F9B" w:rsidRDefault="002128DF" w:rsidP="00C871A0">
                      <w:pPr>
                        <w:jc w:val="left"/>
                      </w:pPr>
                      <w:r>
                        <w:t>41,6 en année 5</w:t>
                      </w:r>
                    </w:p>
                  </w:txbxContent>
                </v:textbox>
              </v:shape>
            </w:pict>
          </mc:Fallback>
        </mc:AlternateContent>
      </w:r>
    </w:p>
    <w:p w:rsidR="00D05287" w:rsidRPr="009B0B72" w:rsidRDefault="003F708C" w:rsidP="00D05287">
      <w:pPr>
        <w:rPr>
          <w:rFonts w:ascii="Calibri" w:hAnsi="Calibri" w:cs="Calibri"/>
          <w:sz w:val="22"/>
        </w:rPr>
      </w:pPr>
      <w:r>
        <w:rPr>
          <w:rFonts w:ascii="Calibri" w:hAnsi="Calibri" w:cs="Calibri"/>
          <w:noProof/>
          <w:sz w:val="22"/>
        </w:rPr>
        <mc:AlternateContent>
          <mc:Choice Requires="wps">
            <w:drawing>
              <wp:anchor distT="0" distB="0" distL="114300" distR="114300" simplePos="0" relativeHeight="251657728" behindDoc="0" locked="0" layoutInCell="1" allowOverlap="1">
                <wp:simplePos x="0" y="0"/>
                <wp:positionH relativeFrom="column">
                  <wp:posOffset>223520</wp:posOffset>
                </wp:positionH>
                <wp:positionV relativeFrom="paragraph">
                  <wp:posOffset>14605</wp:posOffset>
                </wp:positionV>
                <wp:extent cx="1685925" cy="3873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8735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8DF" w:rsidRDefault="002128DF" w:rsidP="009B0B72">
                            <w:pPr>
                              <w:pStyle w:val="Titre8"/>
                              <w:jc w:val="left"/>
                            </w:pPr>
                            <w:r>
                              <w:t>Intérêts + remboursement M 0,04x200 +200/5 = 48 M USD</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39" type="#_x0000_t202" style="position:absolute;left:0;text-align:left;margin-left:17.6pt;margin-top:1.15pt;width:132.75pt;height: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" filled="f" stroked="f">
                <v:fill opacity="32896f"/>
                <v:textbox inset="1.5mm,.3mm,1.5mm,.3mm">
                  <w:txbxContent>
                    <w:p w:rsidR="002128DF" w:rsidRDefault="002128DF" w:rsidP="009B0B72">
                      <w:pPr>
                        <w:pStyle w:val="Titre8"/>
                        <w:jc w:val="left"/>
                      </w:pPr>
                      <w:r>
                        <w:t>Intérêts + remboursement M 0,04x200 +200/5 = 48 M USD</w:t>
                      </w:r>
                    </w:p>
                  </w:txbxContent>
                </v:textbox>
              </v:shape>
            </w:pict>
          </mc:Fallback>
        </mc:AlternateContent>
      </w:r>
    </w:p>
    <w:p w:rsidR="00D05287" w:rsidRPr="009B0B72" w:rsidRDefault="00D05287" w:rsidP="00D05287">
      <w:pPr>
        <w:rPr>
          <w:rFonts w:ascii="Calibri" w:hAnsi="Calibri" w:cs="Calibri"/>
          <w:sz w:val="22"/>
        </w:rPr>
      </w:pPr>
    </w:p>
    <w:p w:rsidR="00D05287" w:rsidRPr="009B0B72" w:rsidRDefault="00D05287" w:rsidP="00D05287">
      <w:pPr>
        <w:rPr>
          <w:rFonts w:ascii="Calibri" w:hAnsi="Calibri" w:cs="Calibri"/>
          <w:sz w:val="22"/>
        </w:rPr>
      </w:pPr>
    </w:p>
    <w:p w:rsidR="00D05287" w:rsidRPr="009B0B72" w:rsidRDefault="003F708C" w:rsidP="00D05287">
      <w:pPr>
        <w:rPr>
          <w:rFonts w:ascii="Calibri" w:hAnsi="Calibri" w:cs="Calibri"/>
          <w:sz w:val="22"/>
        </w:rPr>
      </w:pPr>
      <w:r>
        <w:rPr>
          <w:rFonts w:ascii="Calibri" w:hAnsi="Calibri" w:cs="Calibri"/>
          <w:noProof/>
          <w:sz w:val="22"/>
        </w:rPr>
        <mc:AlternateContent>
          <mc:Choice Requires="wps">
            <w:drawing>
              <wp:anchor distT="0" distB="0" distL="114300" distR="114300" simplePos="0" relativeHeight="251661824" behindDoc="0" locked="0" layoutInCell="1" allowOverlap="1">
                <wp:simplePos x="0" y="0"/>
                <wp:positionH relativeFrom="column">
                  <wp:posOffset>60960</wp:posOffset>
                </wp:positionH>
                <wp:positionV relativeFrom="paragraph">
                  <wp:posOffset>78105</wp:posOffset>
                </wp:positionV>
                <wp:extent cx="1884680" cy="234950"/>
                <wp:effectExtent l="10795" t="694055" r="152400" b="13970"/>
                <wp:wrapNone/>
                <wp:docPr id="2" name="Légende encadrée 1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4680" cy="234950"/>
                        </a:xfrm>
                        <a:prstGeom prst="borderCallout1">
                          <a:avLst>
                            <a:gd name="adj1" fmla="val 48648"/>
                            <a:gd name="adj2" fmla="val 104042"/>
                            <a:gd name="adj3" fmla="val -291894"/>
                            <a:gd name="adj4" fmla="val 104042"/>
                          </a:avLst>
                        </a:prstGeom>
                        <a:solidFill>
                          <a:srgbClr val="FFFFFF"/>
                        </a:solidFill>
                        <a:ln w="9525">
                          <a:solidFill>
                            <a:srgbClr val="000000"/>
                          </a:solidFill>
                          <a:miter lim="800000"/>
                          <a:headEnd type="arrow" w="med" len="med"/>
                          <a:tailEnd/>
                        </a:ln>
                      </wps:spPr>
                      <wps:txbx>
                        <w:txbxContent>
                          <w:p w:rsidR="002128DF" w:rsidRPr="009B0B72" w:rsidRDefault="002128DF" w:rsidP="00D05287">
                            <w:pPr>
                              <w:pStyle w:val="Pieddepage"/>
                              <w:tabs>
                                <w:tab w:val="clear" w:pos="4536"/>
                                <w:tab w:val="clear" w:pos="9072"/>
                              </w:tabs>
                              <w:rPr>
                                <w:b/>
                                <w:bCs/>
                                <w:sz w:val="22"/>
                              </w:rPr>
                            </w:pPr>
                            <w:r w:rsidRPr="009B0B72">
                              <w:rPr>
                                <w:b/>
                                <w:bCs/>
                                <w:sz w:val="22"/>
                              </w:rPr>
                              <w:t>Marché obligataire en USD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égende encadrée 1 1" o:spid="_x0000_s1040" type="#_x0000_t47" style="position:absolute;left:0;text-align:left;margin-left:4.8pt;margin-top:6.15pt;width:148.4pt;height:1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" adj="22473,-63049,22473,10508">
                <v:stroke endarrow="open"/>
                <v:textbox>
                  <w:txbxContent>
                    <w:p w:rsidR="002128DF" w:rsidRPr="009B0B72" w:rsidRDefault="002128DF" w:rsidP="00D05287">
                      <w:pPr>
                        <w:pStyle w:val="Pieddepage"/>
                        <w:tabs>
                          <w:tab w:val="clear" w:pos="4536"/>
                          <w:tab w:val="clear" w:pos="9072"/>
                        </w:tabs>
                        <w:rPr>
                          <w:b/>
                          <w:bCs/>
                          <w:sz w:val="22"/>
                        </w:rPr>
                      </w:pPr>
                      <w:r w:rsidRPr="009B0B72">
                        <w:rPr>
                          <w:b/>
                          <w:bCs/>
                          <w:sz w:val="22"/>
                        </w:rPr>
                        <w:t>Marché obligataire en USD</w:t>
                      </w:r>
                    </w:p>
                  </w:txbxContent>
                </v:textbox>
              </v:shape>
            </w:pict>
          </mc:Fallback>
        </mc:AlternateContent>
      </w:r>
    </w:p>
    <w:p w:rsidR="00D05287" w:rsidRPr="009B0B72" w:rsidRDefault="00D05287" w:rsidP="00D05287">
      <w:pPr>
        <w:rPr>
          <w:rFonts w:ascii="Calibri" w:hAnsi="Calibri" w:cs="Calibri"/>
          <w:sz w:val="22"/>
        </w:rPr>
      </w:pPr>
    </w:p>
    <w:p w:rsidR="00422265" w:rsidRDefault="00422265">
      <w:pPr>
        <w:spacing w:after="200" w:line="276" w:lineRule="auto"/>
        <w:jc w:val="left"/>
        <w:rPr>
          <w:b/>
          <w:sz w:val="22"/>
          <w:highlight w:val="lightGray"/>
        </w:rPr>
      </w:pPr>
    </w:p>
    <w:p w:rsidR="009F7858" w:rsidRPr="00170A06" w:rsidRDefault="00470141" w:rsidP="00170A06">
      <w:pPr>
        <w:pStyle w:val="Paragraphedeliste"/>
        <w:widowControl w:val="0"/>
        <w:numPr>
          <w:ilvl w:val="0"/>
          <w:numId w:val="4"/>
        </w:numPr>
        <w:shd w:val="clear" w:color="auto" w:fill="FFFFFF"/>
        <w:tabs>
          <w:tab w:val="left" w:pos="426"/>
        </w:tabs>
        <w:autoSpaceDE w:val="0"/>
        <w:autoSpaceDN w:val="0"/>
        <w:adjustRightInd w:val="0"/>
        <w:rPr>
          <w:b/>
          <w:sz w:val="22"/>
        </w:rPr>
      </w:pPr>
      <w:r w:rsidRPr="00170A06">
        <w:rPr>
          <w:b/>
          <w:bCs/>
          <w:sz w:val="22"/>
        </w:rPr>
        <w:lastRenderedPageBreak/>
        <w:t>À</w:t>
      </w:r>
      <w:r w:rsidR="009F7858" w:rsidRPr="00170A06">
        <w:rPr>
          <w:b/>
          <w:bCs/>
          <w:sz w:val="22"/>
        </w:rPr>
        <w:t xml:space="preserve"> partir des informations fournies dans </w:t>
      </w:r>
      <w:r w:rsidR="009F7858" w:rsidRPr="00170A06">
        <w:rPr>
          <w:b/>
          <w:i/>
          <w:sz w:val="22"/>
        </w:rPr>
        <w:t>l’</w:t>
      </w:r>
      <w:r w:rsidR="009F7858" w:rsidRPr="00170A06">
        <w:rPr>
          <w:b/>
          <w:bCs/>
          <w:i/>
          <w:iCs/>
          <w:sz w:val="22"/>
        </w:rPr>
        <w:t>annexe</w:t>
      </w:r>
      <w:r w:rsidR="009F7858" w:rsidRPr="00170A06">
        <w:rPr>
          <w:b/>
          <w:bCs/>
          <w:sz w:val="22"/>
        </w:rPr>
        <w:t xml:space="preserve"> </w:t>
      </w:r>
      <w:r w:rsidR="009F7858" w:rsidRPr="00170A06">
        <w:rPr>
          <w:b/>
          <w:bCs/>
          <w:i/>
          <w:sz w:val="22"/>
        </w:rPr>
        <w:t>3</w:t>
      </w:r>
      <w:r w:rsidR="009F7858" w:rsidRPr="00170A06">
        <w:rPr>
          <w:b/>
          <w:sz w:val="22"/>
        </w:rPr>
        <w:t xml:space="preserve">, </w:t>
      </w:r>
    </w:p>
    <w:p w:rsidR="007F7599" w:rsidRPr="009B0B72" w:rsidRDefault="007F7599" w:rsidP="007F7599">
      <w:pPr>
        <w:widowControl w:val="0"/>
        <w:shd w:val="clear" w:color="auto" w:fill="FFFFFF"/>
        <w:tabs>
          <w:tab w:val="left" w:pos="142"/>
        </w:tabs>
        <w:autoSpaceDE w:val="0"/>
        <w:autoSpaceDN w:val="0"/>
        <w:adjustRightInd w:val="0"/>
        <w:rPr>
          <w:b/>
          <w:sz w:val="22"/>
        </w:rPr>
      </w:pPr>
    </w:p>
    <w:p w:rsidR="00527BB6" w:rsidRPr="009B0B72" w:rsidRDefault="009F7858" w:rsidP="00422265">
      <w:pPr>
        <w:widowControl w:val="0"/>
        <w:shd w:val="clear" w:color="auto" w:fill="FFFFFF"/>
        <w:tabs>
          <w:tab w:val="left" w:pos="426"/>
        </w:tabs>
        <w:autoSpaceDE w:val="0"/>
        <w:autoSpaceDN w:val="0"/>
        <w:adjustRightInd w:val="0"/>
        <w:spacing w:after="80"/>
        <w:rPr>
          <w:b/>
          <w:sz w:val="22"/>
        </w:rPr>
      </w:pPr>
      <w:r w:rsidRPr="009B0B72">
        <w:rPr>
          <w:b/>
          <w:sz w:val="22"/>
        </w:rPr>
        <w:t>8.</w:t>
      </w:r>
      <w:r w:rsidR="00AB334E" w:rsidRPr="009B0B72">
        <w:rPr>
          <w:b/>
          <w:sz w:val="22"/>
        </w:rPr>
        <w:t>1</w:t>
      </w:r>
      <w:r w:rsidRPr="009B0B72">
        <w:rPr>
          <w:b/>
          <w:sz w:val="22"/>
        </w:rPr>
        <w:t xml:space="preserve"> </w:t>
      </w:r>
      <w:r w:rsidR="00527BB6" w:rsidRPr="009B0B72">
        <w:rPr>
          <w:b/>
          <w:sz w:val="22"/>
        </w:rPr>
        <w:t xml:space="preserve">Calculer le montant net encaissé par l’entreprise en l’absence de couverture si à l’échéance le taux de change atteignait 100 JPY = 0,88 EUR? </w:t>
      </w:r>
    </w:p>
    <w:p w:rsidR="007F7599" w:rsidRPr="009B0B72" w:rsidRDefault="007F7599" w:rsidP="007F7599">
      <w:pPr>
        <w:spacing w:after="200" w:line="276" w:lineRule="auto"/>
        <w:rPr>
          <w:sz w:val="22"/>
        </w:rPr>
      </w:pPr>
      <w:r w:rsidRPr="009B0B72">
        <w:rPr>
          <w:sz w:val="22"/>
        </w:rPr>
        <w:t xml:space="preserve">En l’absence de couverture la valeur des JPY aurait été de : </w:t>
      </w:r>
      <w:r w:rsidRPr="009B0B72">
        <w:rPr>
          <w:b/>
          <w:bCs/>
          <w:sz w:val="22"/>
        </w:rPr>
        <w:t>20 000 000 x 0,88 /100 = 176 000 EUR</w:t>
      </w:r>
    </w:p>
    <w:p w:rsidR="007F7599" w:rsidRPr="009B0B72" w:rsidRDefault="007F7599" w:rsidP="007F7599">
      <w:pPr>
        <w:pStyle w:val="Paragraphedeliste"/>
        <w:widowControl w:val="0"/>
        <w:shd w:val="clear" w:color="auto" w:fill="FFFFFF"/>
        <w:tabs>
          <w:tab w:val="left" w:pos="426"/>
        </w:tabs>
        <w:autoSpaceDE w:val="0"/>
        <w:autoSpaceDN w:val="0"/>
        <w:adjustRightInd w:val="0"/>
        <w:ind w:left="360"/>
        <w:rPr>
          <w:b/>
          <w:sz w:val="22"/>
        </w:rPr>
      </w:pPr>
    </w:p>
    <w:p w:rsidR="00527BB6" w:rsidRPr="009B0B72" w:rsidRDefault="00527BB6" w:rsidP="00422265">
      <w:pPr>
        <w:pStyle w:val="Paragraphedeliste"/>
        <w:widowControl w:val="0"/>
        <w:numPr>
          <w:ilvl w:val="1"/>
          <w:numId w:val="14"/>
        </w:numPr>
        <w:shd w:val="clear" w:color="auto" w:fill="FFFFFF"/>
        <w:tabs>
          <w:tab w:val="left" w:pos="426"/>
        </w:tabs>
        <w:autoSpaceDE w:val="0"/>
        <w:autoSpaceDN w:val="0"/>
        <w:adjustRightInd w:val="0"/>
        <w:spacing w:after="80"/>
        <w:ind w:left="357" w:hanging="357"/>
        <w:contextualSpacing w:val="0"/>
        <w:rPr>
          <w:b/>
          <w:sz w:val="22"/>
        </w:rPr>
      </w:pPr>
      <w:r w:rsidRPr="009B0B72">
        <w:rPr>
          <w:b/>
          <w:sz w:val="22"/>
        </w:rPr>
        <w:t xml:space="preserve">Indiquer le montant de la réduction de perte obtenue grâce à l’utilisation de l’option ? </w:t>
      </w:r>
    </w:p>
    <w:p w:rsidR="00527BB6" w:rsidRPr="009B0B72" w:rsidRDefault="004A5CF8" w:rsidP="00FB1447">
      <w:pPr>
        <w:spacing w:after="120"/>
        <w:rPr>
          <w:sz w:val="22"/>
        </w:rPr>
      </w:pPr>
      <w:r w:rsidRPr="009B0B72">
        <w:rPr>
          <w:sz w:val="22"/>
        </w:rPr>
        <w:t xml:space="preserve">Le trésorier du </w:t>
      </w:r>
      <w:r w:rsidR="00D05287" w:rsidRPr="009B0B72">
        <w:rPr>
          <w:sz w:val="22"/>
        </w:rPr>
        <w:t xml:space="preserve">PRIC doit exercer son option de vente au taux de 100 JPY = 0,9234 EUR. </w:t>
      </w:r>
    </w:p>
    <w:p w:rsidR="00D05287" w:rsidRPr="009B0B72" w:rsidRDefault="00527BB6" w:rsidP="00FB1447">
      <w:pPr>
        <w:spacing w:after="120"/>
        <w:rPr>
          <w:sz w:val="22"/>
        </w:rPr>
      </w:pPr>
      <w:r w:rsidRPr="009B0B72">
        <w:rPr>
          <w:sz w:val="22"/>
        </w:rPr>
        <w:t xml:space="preserve">Le montant net encaissé est </w:t>
      </w:r>
      <w:r w:rsidR="00D05287" w:rsidRPr="009B0B72">
        <w:rPr>
          <w:sz w:val="22"/>
        </w:rPr>
        <w:t xml:space="preserve"> alors de : </w:t>
      </w:r>
      <w:r w:rsidR="00D05287" w:rsidRPr="009B0B72">
        <w:rPr>
          <w:b/>
          <w:sz w:val="22"/>
        </w:rPr>
        <w:t>20 000 000 x (0,9234 – 0,0374) /100 = 177 200 EUR</w:t>
      </w:r>
    </w:p>
    <w:p w:rsidR="00D05287" w:rsidRPr="009B0B72" w:rsidRDefault="00D05287" w:rsidP="00FB1447">
      <w:pPr>
        <w:spacing w:after="120"/>
        <w:rPr>
          <w:sz w:val="22"/>
        </w:rPr>
      </w:pPr>
      <w:r w:rsidRPr="009B0B72">
        <w:rPr>
          <w:sz w:val="22"/>
        </w:rPr>
        <w:t xml:space="preserve">En l’absence de couverture la valeur des JPY aurait été de : </w:t>
      </w:r>
      <w:r w:rsidRPr="009B0B72">
        <w:rPr>
          <w:b/>
          <w:bCs/>
          <w:sz w:val="22"/>
        </w:rPr>
        <w:t>20 000 000 x 0,88 /100 = 176 000 EUR</w:t>
      </w:r>
    </w:p>
    <w:p w:rsidR="00D05287" w:rsidRPr="009B0B72" w:rsidRDefault="00D05287" w:rsidP="00FB1447">
      <w:pPr>
        <w:spacing w:after="120"/>
        <w:rPr>
          <w:sz w:val="22"/>
        </w:rPr>
      </w:pPr>
      <w:r w:rsidRPr="009B0B72">
        <w:rPr>
          <w:sz w:val="22"/>
        </w:rPr>
        <w:t xml:space="preserve">Donc globalement l’utilisation de cette option a permis de réduire les pertes de change de : </w:t>
      </w:r>
    </w:p>
    <w:p w:rsidR="00D05287" w:rsidRPr="009B0B72" w:rsidRDefault="00AB334E" w:rsidP="00D05287">
      <w:pPr>
        <w:spacing w:after="200" w:line="276" w:lineRule="auto"/>
        <w:rPr>
          <w:b/>
          <w:sz w:val="22"/>
        </w:rPr>
      </w:pPr>
      <w:r w:rsidRPr="009B0B72">
        <w:rPr>
          <w:b/>
          <w:sz w:val="22"/>
        </w:rPr>
        <w:t>177200 € - 176.000 €</w:t>
      </w:r>
      <w:r w:rsidR="00D05287" w:rsidRPr="009B0B72">
        <w:rPr>
          <w:b/>
          <w:sz w:val="22"/>
        </w:rPr>
        <w:t>= 1200 EUR.</w:t>
      </w:r>
    </w:p>
    <w:p w:rsidR="00D05287" w:rsidRPr="009B0B72" w:rsidRDefault="00D05287" w:rsidP="00D05287">
      <w:pPr>
        <w:spacing w:after="200" w:line="276" w:lineRule="auto"/>
        <w:rPr>
          <w:sz w:val="22"/>
        </w:rPr>
      </w:pPr>
      <w:r w:rsidRPr="009B0B72">
        <w:rPr>
          <w:sz w:val="22"/>
        </w:rPr>
        <w:t xml:space="preserve">L’exportateur aurait pu se donner une plus grande marge de manœuvre en achetant non pas une option européenne ayant la même échéance que sa créance, mais une option américaine d’une échéance supérieure (plus lointaine). </w:t>
      </w:r>
    </w:p>
    <w:p w:rsidR="00527BB6" w:rsidRPr="009B0B72" w:rsidRDefault="00527BB6" w:rsidP="00422265">
      <w:pPr>
        <w:pStyle w:val="Paragraphedeliste"/>
        <w:widowControl w:val="0"/>
        <w:numPr>
          <w:ilvl w:val="1"/>
          <w:numId w:val="14"/>
        </w:numPr>
        <w:shd w:val="clear" w:color="auto" w:fill="FFFFFF"/>
        <w:tabs>
          <w:tab w:val="left" w:pos="426"/>
        </w:tabs>
        <w:autoSpaceDE w:val="0"/>
        <w:autoSpaceDN w:val="0"/>
        <w:adjustRightInd w:val="0"/>
        <w:spacing w:after="80"/>
        <w:ind w:left="357" w:hanging="357"/>
        <w:contextualSpacing w:val="0"/>
        <w:rPr>
          <w:b/>
          <w:sz w:val="22"/>
        </w:rPr>
      </w:pPr>
      <w:r w:rsidRPr="009B0B72">
        <w:rPr>
          <w:b/>
          <w:sz w:val="22"/>
        </w:rPr>
        <w:t xml:space="preserve">Si à l’échéance, le taux de change  atteignait 100 JPY = 1,02 EUR, indiquer la décision à prendre par la société et le montant net encaissé. </w:t>
      </w:r>
    </w:p>
    <w:p w:rsidR="00D05287" w:rsidRPr="009B0B72" w:rsidRDefault="00D05287" w:rsidP="00867463">
      <w:pPr>
        <w:spacing w:after="120"/>
        <w:rPr>
          <w:sz w:val="22"/>
          <w:u w:val="single"/>
        </w:rPr>
      </w:pPr>
      <w:r w:rsidRPr="009B0B72">
        <w:rPr>
          <w:sz w:val="22"/>
          <w:u w:val="single"/>
        </w:rPr>
        <w:t>Au terme des 3 mois si le taux atteint 100 JPY = 1,02 EUR :</w:t>
      </w:r>
    </w:p>
    <w:p w:rsidR="00D05287" w:rsidRPr="009B0B72" w:rsidRDefault="00D05287" w:rsidP="00867463">
      <w:pPr>
        <w:spacing w:after="120"/>
        <w:rPr>
          <w:sz w:val="22"/>
        </w:rPr>
      </w:pPr>
      <w:r w:rsidRPr="009B0B72">
        <w:rPr>
          <w:sz w:val="22"/>
        </w:rPr>
        <w:t xml:space="preserve">Cette hausse conduit l’exportateur à abandonner son option et à </w:t>
      </w:r>
      <w:r w:rsidR="00FB1447">
        <w:rPr>
          <w:sz w:val="22"/>
        </w:rPr>
        <w:t xml:space="preserve"> </w:t>
      </w:r>
      <w:r w:rsidRPr="009B0B72">
        <w:rPr>
          <w:sz w:val="22"/>
        </w:rPr>
        <w:t>vendre les JPY sur le</w:t>
      </w:r>
      <w:r w:rsidR="00FB1447">
        <w:rPr>
          <w:sz w:val="22"/>
        </w:rPr>
        <w:t xml:space="preserve"> </w:t>
      </w:r>
      <w:r w:rsidRPr="009B0B72">
        <w:rPr>
          <w:sz w:val="22"/>
        </w:rPr>
        <w:t xml:space="preserve"> marché. Il </w:t>
      </w:r>
      <w:r w:rsidR="00FB1447">
        <w:rPr>
          <w:sz w:val="22"/>
        </w:rPr>
        <w:t xml:space="preserve"> </w:t>
      </w:r>
      <w:r w:rsidRPr="009B0B72">
        <w:rPr>
          <w:sz w:val="22"/>
        </w:rPr>
        <w:t>obtient</w:t>
      </w:r>
      <w:r w:rsidR="00FB1447">
        <w:rPr>
          <w:sz w:val="22"/>
        </w:rPr>
        <w:t xml:space="preserve"> </w:t>
      </w:r>
      <w:r w:rsidRPr="009B0B72">
        <w:rPr>
          <w:sz w:val="22"/>
        </w:rPr>
        <w:t xml:space="preserve"> alors : </w:t>
      </w:r>
      <w:r w:rsidRPr="009B0B72">
        <w:rPr>
          <w:b/>
          <w:bCs/>
          <w:sz w:val="22"/>
        </w:rPr>
        <w:t>20 000 000 x 1,02 / 100 = 204 000 EUR</w:t>
      </w:r>
    </w:p>
    <w:p w:rsidR="00F16F80" w:rsidRPr="009B0B72" w:rsidRDefault="00F16F80" w:rsidP="00867463">
      <w:pPr>
        <w:spacing w:after="120"/>
        <w:rPr>
          <w:sz w:val="22"/>
        </w:rPr>
      </w:pPr>
      <w:r w:rsidRPr="009B0B72">
        <w:rPr>
          <w:sz w:val="22"/>
        </w:rPr>
        <w:t xml:space="preserve">Prime de l’option pour couvrir les 20 000 000 JPY : </w:t>
      </w:r>
      <w:r w:rsidRPr="009B0B72">
        <w:rPr>
          <w:b/>
          <w:sz w:val="22"/>
        </w:rPr>
        <w:t>20 000 000 x 0,0374 /100 = 7 480 EUR</w:t>
      </w:r>
    </w:p>
    <w:p w:rsidR="00D05287" w:rsidRPr="009B0B72" w:rsidRDefault="00F16F80" w:rsidP="00867463">
      <w:pPr>
        <w:tabs>
          <w:tab w:val="left" w:pos="284"/>
        </w:tabs>
        <w:spacing w:after="120"/>
        <w:rPr>
          <w:b/>
          <w:bCs/>
          <w:sz w:val="22"/>
        </w:rPr>
      </w:pPr>
      <w:r w:rsidRPr="009B0B72">
        <w:rPr>
          <w:b/>
          <w:bCs/>
          <w:sz w:val="22"/>
        </w:rPr>
        <w:t xml:space="preserve">Soit un montant obtenu après </w:t>
      </w:r>
      <w:r w:rsidR="00D05287" w:rsidRPr="009B0B72">
        <w:rPr>
          <w:b/>
          <w:bCs/>
          <w:sz w:val="22"/>
        </w:rPr>
        <w:t>déduction de la prime payée : 204 000 – 7480 = 196 520 EUR</w:t>
      </w:r>
    </w:p>
    <w:p w:rsidR="00D05287" w:rsidRPr="009B0B72" w:rsidRDefault="00D05287" w:rsidP="0051495D">
      <w:pPr>
        <w:spacing w:after="120"/>
        <w:rPr>
          <w:sz w:val="22"/>
        </w:rPr>
      </w:pPr>
      <w:r w:rsidRPr="009B0B72">
        <w:rPr>
          <w:sz w:val="22"/>
        </w:rPr>
        <w:t xml:space="preserve">Là encore, s’il avait acheté une option américaine d’une échéance supérieure (plus lointaine) à celle de la créance, l’exportateur aurait pu envisager de la revendre au lieu de l’abandonner. </w:t>
      </w:r>
    </w:p>
    <w:p w:rsidR="00D05287" w:rsidRPr="009B0B72" w:rsidRDefault="00D05287" w:rsidP="0051495D">
      <w:pPr>
        <w:spacing w:after="120"/>
        <w:rPr>
          <w:sz w:val="22"/>
        </w:rPr>
      </w:pPr>
      <w:r w:rsidRPr="009B0B72">
        <w:rPr>
          <w:sz w:val="22"/>
        </w:rPr>
        <w:t xml:space="preserve">L’achat de l’option de vente s’avère profitable dès que le cours des 100 JPY baisse en deçà d’un niveau égal au prix d’exercice moins la prime payée, soit : </w:t>
      </w:r>
      <w:r w:rsidRPr="009B0B72">
        <w:rPr>
          <w:b/>
          <w:bCs/>
          <w:sz w:val="22"/>
        </w:rPr>
        <w:t>0,9234 – 0,0374 = 0,8860 EUR</w:t>
      </w:r>
    </w:p>
    <w:p w:rsidR="00D05287" w:rsidRPr="009B0B72" w:rsidRDefault="00D05287" w:rsidP="0051495D">
      <w:pPr>
        <w:spacing w:after="120"/>
        <w:rPr>
          <w:sz w:val="22"/>
        </w:rPr>
      </w:pPr>
      <w:r w:rsidRPr="009B0B72">
        <w:rPr>
          <w:sz w:val="22"/>
        </w:rPr>
        <w:t xml:space="preserve">Ce taux correspond au </w:t>
      </w:r>
      <w:r w:rsidRPr="009B0B72">
        <w:rPr>
          <w:b/>
          <w:bCs/>
          <w:sz w:val="22"/>
        </w:rPr>
        <w:t>point mort de la stratégie d’achat d’option de vente</w:t>
      </w:r>
      <w:r w:rsidRPr="009B0B72">
        <w:rPr>
          <w:sz w:val="22"/>
        </w:rPr>
        <w:t xml:space="preserve">. </w:t>
      </w:r>
    </w:p>
    <w:p w:rsidR="007942A2" w:rsidRDefault="007942A2" w:rsidP="00D05287">
      <w:pPr>
        <w:rPr>
          <w:b/>
          <w:sz w:val="22"/>
        </w:rPr>
      </w:pPr>
    </w:p>
    <w:p w:rsidR="003C2614" w:rsidRDefault="003C2614" w:rsidP="00D05287">
      <w:pPr>
        <w:rPr>
          <w:b/>
          <w:sz w:val="22"/>
        </w:rPr>
      </w:pPr>
    </w:p>
    <w:p w:rsidR="003C2614" w:rsidRDefault="003C2614" w:rsidP="00D05287">
      <w:pPr>
        <w:rPr>
          <w:b/>
          <w:sz w:val="22"/>
        </w:rPr>
      </w:pPr>
    </w:p>
    <w:p w:rsidR="003C2614" w:rsidRDefault="003C2614" w:rsidP="00D05287">
      <w:pPr>
        <w:rPr>
          <w:b/>
          <w:sz w:val="22"/>
        </w:rPr>
      </w:pPr>
    </w:p>
    <w:p w:rsidR="003C2614" w:rsidRDefault="003C2614" w:rsidP="00D05287">
      <w:pPr>
        <w:rPr>
          <w:b/>
          <w:sz w:val="22"/>
        </w:rPr>
      </w:pPr>
    </w:p>
    <w:p w:rsidR="003C2614" w:rsidRDefault="003C2614" w:rsidP="00D05287">
      <w:pPr>
        <w:rPr>
          <w:b/>
          <w:sz w:val="22"/>
        </w:rPr>
      </w:pPr>
    </w:p>
    <w:p w:rsidR="003C2614" w:rsidRPr="009B0B72" w:rsidRDefault="003C2614" w:rsidP="00D05287">
      <w:pPr>
        <w:rPr>
          <w:b/>
          <w:sz w:val="22"/>
        </w:rPr>
      </w:pPr>
    </w:p>
    <w:p w:rsidR="007942A2" w:rsidRPr="002C5825" w:rsidRDefault="00170A06" w:rsidP="002C5825">
      <w:pPr>
        <w:pBdr>
          <w:top w:val="single" w:sz="4" w:space="1" w:color="auto"/>
          <w:left w:val="single" w:sz="4" w:space="4" w:color="auto"/>
          <w:bottom w:val="single" w:sz="4" w:space="1" w:color="auto"/>
          <w:right w:val="single" w:sz="4" w:space="4" w:color="auto"/>
        </w:pBdr>
        <w:shd w:val="clear" w:color="auto" w:fill="D9D9D9"/>
        <w:jc w:val="center"/>
        <w:rPr>
          <w:b/>
          <w:sz w:val="22"/>
        </w:rPr>
      </w:pPr>
      <w:r w:rsidRPr="002C5825">
        <w:rPr>
          <w:b/>
          <w:sz w:val="22"/>
        </w:rPr>
        <w:t xml:space="preserve">DOSSIER 2 : </w:t>
      </w:r>
      <w:r w:rsidR="007942A2" w:rsidRPr="002C5825">
        <w:rPr>
          <w:b/>
          <w:sz w:val="22"/>
        </w:rPr>
        <w:t xml:space="preserve">SUJET DE REFLEXION – LE TRADING </w:t>
      </w:r>
      <w:r w:rsidRPr="002C5825">
        <w:rPr>
          <w:b/>
          <w:sz w:val="22"/>
        </w:rPr>
        <w:t>À</w:t>
      </w:r>
      <w:r w:rsidR="007942A2" w:rsidRPr="002C5825">
        <w:rPr>
          <w:b/>
          <w:sz w:val="22"/>
        </w:rPr>
        <w:t xml:space="preserve"> HAUTE FR</w:t>
      </w:r>
      <w:r w:rsidRPr="002C5825">
        <w:rPr>
          <w:b/>
          <w:sz w:val="22"/>
        </w:rPr>
        <w:t>É</w:t>
      </w:r>
      <w:r w:rsidR="007942A2" w:rsidRPr="002C5825">
        <w:rPr>
          <w:b/>
          <w:sz w:val="22"/>
        </w:rPr>
        <w:t>QUENCE</w:t>
      </w:r>
    </w:p>
    <w:p w:rsidR="00966E49" w:rsidRPr="009B0B72" w:rsidRDefault="00966E49" w:rsidP="007942A2">
      <w:pPr>
        <w:jc w:val="center"/>
        <w:rPr>
          <w:b/>
          <w:sz w:val="22"/>
          <w:u w:val="single"/>
        </w:rPr>
      </w:pPr>
    </w:p>
    <w:p w:rsidR="00966E49" w:rsidRPr="009B0B72" w:rsidRDefault="00966E49" w:rsidP="00966E49">
      <w:pPr>
        <w:jc w:val="center"/>
        <w:rPr>
          <w:rStyle w:val="lev"/>
          <w:sz w:val="22"/>
        </w:rPr>
      </w:pPr>
      <w:r w:rsidRPr="009B0B72">
        <w:rPr>
          <w:rStyle w:val="lev"/>
          <w:sz w:val="22"/>
        </w:rPr>
        <w:t>Les transactions à haute fréquence contribuent-elles à une meilleure efficience des marchés ?</w:t>
      </w:r>
    </w:p>
    <w:p w:rsidR="00966E49" w:rsidRPr="009B0B72" w:rsidRDefault="00966E49" w:rsidP="00966E49">
      <w:pPr>
        <w:rPr>
          <w:b/>
          <w:sz w:val="22"/>
        </w:rPr>
      </w:pPr>
    </w:p>
    <w:p w:rsidR="00FA2CD4" w:rsidRPr="009B0B72" w:rsidRDefault="00FA2CD4" w:rsidP="00966E49">
      <w:pPr>
        <w:rPr>
          <w:bCs/>
          <w:i/>
          <w:sz w:val="22"/>
        </w:rPr>
      </w:pPr>
      <w:r w:rsidRPr="009B0B72">
        <w:rPr>
          <w:bCs/>
          <w:i/>
          <w:sz w:val="22"/>
        </w:rPr>
        <w:t>Il ne s’agit que de pistes de réflexion qui sont délivrées à titre indicatif.</w:t>
      </w:r>
    </w:p>
    <w:p w:rsidR="00966E49" w:rsidRPr="009B0B72" w:rsidRDefault="00966E49" w:rsidP="00966E49">
      <w:pPr>
        <w:rPr>
          <w:bCs/>
          <w:sz w:val="22"/>
        </w:rPr>
      </w:pPr>
    </w:p>
    <w:p w:rsidR="00966E49" w:rsidRPr="009B0B72" w:rsidRDefault="00966E49" w:rsidP="00966E49">
      <w:pPr>
        <w:numPr>
          <w:ilvl w:val="0"/>
          <w:numId w:val="11"/>
        </w:numPr>
        <w:rPr>
          <w:b/>
          <w:bCs/>
          <w:sz w:val="22"/>
        </w:rPr>
      </w:pPr>
      <w:r w:rsidRPr="009B0B72">
        <w:rPr>
          <w:b/>
          <w:bCs/>
          <w:sz w:val="22"/>
        </w:rPr>
        <w:t>le concept</w:t>
      </w:r>
      <w:r w:rsidR="00422265">
        <w:rPr>
          <w:b/>
          <w:bCs/>
          <w:sz w:val="22"/>
        </w:rPr>
        <w:t xml:space="preserve"> d’efficience informationnelle.</w:t>
      </w:r>
    </w:p>
    <w:p w:rsidR="00527BB6" w:rsidRPr="009B0B72" w:rsidRDefault="007A13BF" w:rsidP="00047D59">
      <w:pPr>
        <w:rPr>
          <w:bCs/>
          <w:sz w:val="22"/>
        </w:rPr>
      </w:pPr>
      <w:r>
        <w:rPr>
          <w:bCs/>
          <w:sz w:val="22"/>
        </w:rPr>
        <w:t>T</w:t>
      </w:r>
      <w:r w:rsidR="00966E49" w:rsidRPr="009B0B72">
        <w:rPr>
          <w:bCs/>
          <w:sz w:val="22"/>
        </w:rPr>
        <w:t>rois formes d’efficience informationnelle (Eugène Fama) : le cours est censé refléter la valeur fondamentale de la société</w:t>
      </w:r>
      <w:r>
        <w:rPr>
          <w:bCs/>
          <w:sz w:val="22"/>
        </w:rPr>
        <w:t> :</w:t>
      </w:r>
    </w:p>
    <w:p w:rsidR="00047D59" w:rsidRPr="007A13BF" w:rsidRDefault="00047D59" w:rsidP="007A13BF">
      <w:pPr>
        <w:pStyle w:val="Paragraphedeliste"/>
        <w:numPr>
          <w:ilvl w:val="0"/>
          <w:numId w:val="22"/>
        </w:numPr>
        <w:rPr>
          <w:sz w:val="22"/>
        </w:rPr>
      </w:pPr>
      <w:r w:rsidRPr="007A13BF">
        <w:rPr>
          <w:sz w:val="22"/>
        </w:rPr>
        <w:t>efficience faible (les cours intègrent toute l’information sur les cours passés)</w:t>
      </w:r>
      <w:r w:rsidR="00BE087A" w:rsidRPr="007A13BF">
        <w:rPr>
          <w:sz w:val="22"/>
        </w:rPr>
        <w:t> ;</w:t>
      </w:r>
    </w:p>
    <w:p w:rsidR="00047D59" w:rsidRPr="007A13BF" w:rsidRDefault="00047D59" w:rsidP="007A13BF">
      <w:pPr>
        <w:pStyle w:val="Paragraphedeliste"/>
        <w:numPr>
          <w:ilvl w:val="0"/>
          <w:numId w:val="22"/>
        </w:numPr>
        <w:rPr>
          <w:sz w:val="22"/>
        </w:rPr>
      </w:pPr>
      <w:r w:rsidRPr="007A13BF">
        <w:rPr>
          <w:sz w:val="22"/>
        </w:rPr>
        <w:t>efficience semi-forte (les cours intègrent toute l’information sur les cours passés ainsi que l’information financière publique sur les sociétés)</w:t>
      </w:r>
      <w:r w:rsidR="00BE087A" w:rsidRPr="007A13BF">
        <w:rPr>
          <w:sz w:val="22"/>
        </w:rPr>
        <w:t> ;</w:t>
      </w:r>
    </w:p>
    <w:p w:rsidR="00047D59" w:rsidRPr="007A13BF" w:rsidRDefault="00047D59" w:rsidP="007A13BF">
      <w:pPr>
        <w:pStyle w:val="Paragraphedeliste"/>
        <w:numPr>
          <w:ilvl w:val="0"/>
          <w:numId w:val="22"/>
        </w:numPr>
        <w:rPr>
          <w:sz w:val="22"/>
        </w:rPr>
      </w:pPr>
      <w:r w:rsidRPr="007A13BF">
        <w:rPr>
          <w:sz w:val="22"/>
        </w:rPr>
        <w:t>efficience forte (les cours intègrent toute l’information sur les cours passés, l’information publique et l’information financière privée non accessible à tous)</w:t>
      </w:r>
      <w:r w:rsidR="00BE087A" w:rsidRPr="007A13BF">
        <w:rPr>
          <w:sz w:val="22"/>
        </w:rPr>
        <w:t> ;</w:t>
      </w:r>
    </w:p>
    <w:p w:rsidR="00047D59" w:rsidRDefault="00047D59" w:rsidP="00047D59">
      <w:pPr>
        <w:rPr>
          <w:sz w:val="22"/>
        </w:rPr>
      </w:pPr>
    </w:p>
    <w:p w:rsidR="00867463" w:rsidRDefault="00867463" w:rsidP="00047D59">
      <w:pPr>
        <w:rPr>
          <w:sz w:val="22"/>
        </w:rPr>
      </w:pPr>
    </w:p>
    <w:p w:rsidR="00867463" w:rsidRDefault="00867463" w:rsidP="00047D59">
      <w:pPr>
        <w:rPr>
          <w:sz w:val="22"/>
        </w:rPr>
      </w:pPr>
    </w:p>
    <w:p w:rsidR="007A13BF" w:rsidRPr="009B0B72" w:rsidRDefault="007A13BF" w:rsidP="00047D59">
      <w:pPr>
        <w:rPr>
          <w:sz w:val="22"/>
        </w:rPr>
      </w:pPr>
    </w:p>
    <w:p w:rsidR="00047D59" w:rsidRPr="009B0B72" w:rsidRDefault="00047D59" w:rsidP="00047D59">
      <w:pPr>
        <w:rPr>
          <w:bCs/>
          <w:sz w:val="22"/>
        </w:rPr>
      </w:pPr>
      <w:r w:rsidRPr="009B0B72">
        <w:rPr>
          <w:bCs/>
          <w:sz w:val="22"/>
        </w:rPr>
        <w:t xml:space="preserve">Les concepts de rationalité et de liquidité peuvent être évoqués car liés à l’hypothèse d’efficience. </w:t>
      </w:r>
    </w:p>
    <w:p w:rsidR="00047D59" w:rsidRPr="009B0B72" w:rsidRDefault="001E1321" w:rsidP="00047D59">
      <w:pPr>
        <w:rPr>
          <w:sz w:val="22"/>
        </w:rPr>
      </w:pPr>
      <w:r w:rsidRPr="009B0B72">
        <w:rPr>
          <w:sz w:val="22"/>
        </w:rPr>
        <w:t xml:space="preserve">La </w:t>
      </w:r>
      <w:r w:rsidRPr="009B0B72">
        <w:rPr>
          <w:bCs/>
          <w:sz w:val="22"/>
        </w:rPr>
        <w:t>liquidité</w:t>
      </w:r>
      <w:r w:rsidRPr="009B0B72">
        <w:rPr>
          <w:sz w:val="22"/>
        </w:rPr>
        <w:t xml:space="preserve"> d'un marché financier représente la capacité à acheter ou à vendre rapidement les actifs qui y sont cotés sans que cela ait d'effet majeur sur les prix. Plus un marché est liquide, plus il est aisé, rapide et peu coûteux d'y réaliser des transactions.</w:t>
      </w:r>
    </w:p>
    <w:p w:rsidR="00047D59" w:rsidRPr="009B0B72" w:rsidRDefault="00047D59" w:rsidP="00047D59">
      <w:pPr>
        <w:rPr>
          <w:sz w:val="22"/>
        </w:rPr>
      </w:pPr>
      <w:r w:rsidRPr="009B0B72">
        <w:rPr>
          <w:sz w:val="22"/>
        </w:rPr>
        <w:t>Si les marchés ne sont pas efficient</w:t>
      </w:r>
      <w:r w:rsidR="00527BB6" w:rsidRPr="009B0B72">
        <w:rPr>
          <w:sz w:val="22"/>
        </w:rPr>
        <w:t>s</w:t>
      </w:r>
      <w:r w:rsidRPr="009B0B72">
        <w:rPr>
          <w:sz w:val="22"/>
        </w:rPr>
        <w:t>, l’information circule imparfaitement, il y a potentiellement un manque de liquidité sur les marchés, (le t</w:t>
      </w:r>
      <w:r w:rsidR="00985CB0" w:rsidRPr="009B0B72">
        <w:rPr>
          <w:sz w:val="22"/>
        </w:rPr>
        <w:t>rading HF en augmentant sensiblement le no</w:t>
      </w:r>
      <w:r w:rsidR="007A13BF">
        <w:rPr>
          <w:sz w:val="22"/>
        </w:rPr>
        <w:t xml:space="preserve">mbre de transactions pourrait </w:t>
      </w:r>
      <w:r w:rsidR="00985CB0" w:rsidRPr="009B0B72">
        <w:rPr>
          <w:sz w:val="22"/>
        </w:rPr>
        <w:t>contribuer à remédier à cette situation</w:t>
      </w:r>
      <w:r w:rsidRPr="009B0B72">
        <w:rPr>
          <w:sz w:val="22"/>
        </w:rPr>
        <w:t>).</w:t>
      </w:r>
    </w:p>
    <w:p w:rsidR="00047D59" w:rsidRPr="009B0B72" w:rsidRDefault="00047D59" w:rsidP="00047D59">
      <w:pPr>
        <w:rPr>
          <w:sz w:val="22"/>
        </w:rPr>
      </w:pPr>
      <w:r w:rsidRPr="009B0B72">
        <w:rPr>
          <w:sz w:val="22"/>
        </w:rPr>
        <w:t>Si les marchés sont efficients ou presque, des transactions supplémentaires créent essentiellement du bruit, mais n’apportent pas d’information supplémentaire utile, et peuvent créer des déséquilibres sur les cours.</w:t>
      </w:r>
    </w:p>
    <w:p w:rsidR="00966E49" w:rsidRPr="009B0B72" w:rsidRDefault="00966E49" w:rsidP="00966E49">
      <w:pPr>
        <w:rPr>
          <w:bCs/>
          <w:sz w:val="22"/>
        </w:rPr>
      </w:pPr>
    </w:p>
    <w:p w:rsidR="00966E49" w:rsidRPr="009B0B72" w:rsidRDefault="00966E49" w:rsidP="00966E49">
      <w:pPr>
        <w:numPr>
          <w:ilvl w:val="0"/>
          <w:numId w:val="11"/>
        </w:numPr>
        <w:rPr>
          <w:b/>
          <w:bCs/>
          <w:sz w:val="22"/>
        </w:rPr>
      </w:pPr>
      <w:r w:rsidRPr="009B0B72">
        <w:rPr>
          <w:b/>
          <w:bCs/>
          <w:sz w:val="22"/>
        </w:rPr>
        <w:t xml:space="preserve">la </w:t>
      </w:r>
      <w:r w:rsidR="00422265">
        <w:rPr>
          <w:b/>
          <w:bCs/>
          <w:sz w:val="22"/>
        </w:rPr>
        <w:t>remise en cause de ce postulat.</w:t>
      </w:r>
    </w:p>
    <w:p w:rsidR="00AD0C7B" w:rsidRPr="009B0B72" w:rsidRDefault="00AD0C7B" w:rsidP="00AD0C7B">
      <w:pPr>
        <w:rPr>
          <w:bCs/>
          <w:sz w:val="22"/>
        </w:rPr>
      </w:pPr>
      <w:r w:rsidRPr="009B0B72">
        <w:rPr>
          <w:bCs/>
          <w:sz w:val="22"/>
        </w:rPr>
        <w:t xml:space="preserve">Le postulat de l’efficience a été remis en cause par la finance comportementale (Kahneman et Tversky), remettant en cause la rationalité des agents et mettant en avant les </w:t>
      </w:r>
      <w:r w:rsidR="001E1321" w:rsidRPr="009B0B72">
        <w:rPr>
          <w:bCs/>
          <w:sz w:val="22"/>
        </w:rPr>
        <w:t xml:space="preserve">anomalies </w:t>
      </w:r>
      <w:r w:rsidRPr="009B0B72">
        <w:rPr>
          <w:bCs/>
          <w:sz w:val="22"/>
        </w:rPr>
        <w:t xml:space="preserve">en matière de prises de décisions. </w:t>
      </w:r>
    </w:p>
    <w:p w:rsidR="00966E49" w:rsidRPr="009B0B72" w:rsidRDefault="00966E49" w:rsidP="00966E49">
      <w:pPr>
        <w:ind w:left="720"/>
        <w:rPr>
          <w:bCs/>
          <w:sz w:val="22"/>
        </w:rPr>
      </w:pPr>
    </w:p>
    <w:p w:rsidR="00966E49" w:rsidRPr="009B0B72" w:rsidRDefault="00966E49" w:rsidP="007F0019">
      <w:pPr>
        <w:numPr>
          <w:ilvl w:val="0"/>
          <w:numId w:val="11"/>
        </w:numPr>
        <w:spacing w:after="80"/>
        <w:ind w:left="714" w:hanging="357"/>
        <w:rPr>
          <w:rStyle w:val="lev"/>
          <w:sz w:val="22"/>
        </w:rPr>
      </w:pPr>
      <w:r w:rsidRPr="009B0B72">
        <w:rPr>
          <w:rStyle w:val="lev"/>
          <w:sz w:val="22"/>
        </w:rPr>
        <w:t xml:space="preserve">les avantages et les inconvénients des </w:t>
      </w:r>
      <w:r w:rsidR="00422265">
        <w:rPr>
          <w:rStyle w:val="lev"/>
          <w:sz w:val="22"/>
        </w:rPr>
        <w:t>transactions à haute fréquence.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5173"/>
      </w:tblGrid>
      <w:tr w:rsidR="007A759B" w:rsidRPr="007A13BF" w:rsidTr="008616DF">
        <w:tc>
          <w:tcPr>
            <w:tcW w:w="5172" w:type="dxa"/>
          </w:tcPr>
          <w:p w:rsidR="007A759B" w:rsidRPr="008616DF" w:rsidRDefault="007A759B" w:rsidP="008616DF">
            <w:pPr>
              <w:jc w:val="center"/>
              <w:rPr>
                <w:rStyle w:val="lev"/>
                <w:sz w:val="22"/>
              </w:rPr>
            </w:pPr>
            <w:r w:rsidRPr="008616DF">
              <w:rPr>
                <w:rStyle w:val="lev"/>
                <w:sz w:val="22"/>
              </w:rPr>
              <w:t>Avantages</w:t>
            </w:r>
          </w:p>
        </w:tc>
        <w:tc>
          <w:tcPr>
            <w:tcW w:w="5173" w:type="dxa"/>
          </w:tcPr>
          <w:p w:rsidR="007A759B" w:rsidRPr="008616DF" w:rsidRDefault="007A759B" w:rsidP="008616DF">
            <w:pPr>
              <w:jc w:val="center"/>
              <w:rPr>
                <w:rStyle w:val="lev"/>
                <w:sz w:val="22"/>
              </w:rPr>
            </w:pPr>
            <w:r w:rsidRPr="008616DF">
              <w:rPr>
                <w:rStyle w:val="lev"/>
                <w:sz w:val="22"/>
              </w:rPr>
              <w:t>Inconvénients</w:t>
            </w:r>
          </w:p>
        </w:tc>
      </w:tr>
      <w:tr w:rsidR="007A759B" w:rsidRPr="009B0B72" w:rsidTr="008616DF">
        <w:tc>
          <w:tcPr>
            <w:tcW w:w="5172" w:type="dxa"/>
          </w:tcPr>
          <w:p w:rsidR="007A759B" w:rsidRPr="008616DF" w:rsidRDefault="007A759B" w:rsidP="00AD0C7B">
            <w:pPr>
              <w:rPr>
                <w:rStyle w:val="lev"/>
                <w:b w:val="0"/>
                <w:sz w:val="22"/>
              </w:rPr>
            </w:pPr>
            <w:r w:rsidRPr="008616DF">
              <w:rPr>
                <w:rStyle w:val="lev"/>
                <w:b w:val="0"/>
                <w:sz w:val="22"/>
              </w:rPr>
              <w:t>Amélioration de la liquidité</w:t>
            </w:r>
          </w:p>
          <w:p w:rsidR="007A759B" w:rsidRPr="008616DF" w:rsidRDefault="007A759B" w:rsidP="00AD0C7B">
            <w:pPr>
              <w:rPr>
                <w:rStyle w:val="lev"/>
                <w:b w:val="0"/>
                <w:sz w:val="22"/>
              </w:rPr>
            </w:pPr>
            <w:r w:rsidRPr="008616DF">
              <w:rPr>
                <w:rStyle w:val="lev"/>
                <w:b w:val="0"/>
                <w:sz w:val="22"/>
              </w:rPr>
              <w:t>Réduction de l’arbitrage</w:t>
            </w:r>
          </w:p>
          <w:p w:rsidR="007A759B" w:rsidRPr="008616DF" w:rsidRDefault="007A759B" w:rsidP="00AD0C7B">
            <w:pPr>
              <w:rPr>
                <w:rStyle w:val="lev"/>
                <w:b w:val="0"/>
                <w:sz w:val="22"/>
              </w:rPr>
            </w:pPr>
            <w:r w:rsidRPr="008616DF">
              <w:rPr>
                <w:rStyle w:val="lev"/>
                <w:b w:val="0"/>
                <w:sz w:val="22"/>
              </w:rPr>
              <w:t>Fractionnement des ordres permettant plus d’anonymat dans les transactions</w:t>
            </w:r>
          </w:p>
        </w:tc>
        <w:tc>
          <w:tcPr>
            <w:tcW w:w="5173" w:type="dxa"/>
          </w:tcPr>
          <w:p w:rsidR="007A759B" w:rsidRPr="008616DF" w:rsidRDefault="007A759B" w:rsidP="00AD0C7B">
            <w:pPr>
              <w:rPr>
                <w:rStyle w:val="lev"/>
                <w:b w:val="0"/>
                <w:sz w:val="22"/>
              </w:rPr>
            </w:pPr>
            <w:r w:rsidRPr="008616DF">
              <w:rPr>
                <w:rStyle w:val="lev"/>
                <w:b w:val="0"/>
                <w:sz w:val="22"/>
              </w:rPr>
              <w:t>Absence de centralisation rendant plus d’opacité</w:t>
            </w:r>
          </w:p>
          <w:p w:rsidR="007A759B" w:rsidRPr="008616DF" w:rsidRDefault="007A759B" w:rsidP="00AD0C7B">
            <w:pPr>
              <w:rPr>
                <w:rStyle w:val="lev"/>
                <w:b w:val="0"/>
                <w:sz w:val="22"/>
              </w:rPr>
            </w:pPr>
            <w:r w:rsidRPr="008616DF">
              <w:rPr>
                <w:rStyle w:val="lev"/>
                <w:b w:val="0"/>
                <w:sz w:val="22"/>
              </w:rPr>
              <w:t>Variations brutales des cours et accélération des tendances</w:t>
            </w:r>
          </w:p>
          <w:p w:rsidR="007A759B" w:rsidRPr="008616DF" w:rsidRDefault="007A759B" w:rsidP="00AD0C7B">
            <w:pPr>
              <w:rPr>
                <w:rStyle w:val="lev"/>
                <w:b w:val="0"/>
                <w:sz w:val="22"/>
              </w:rPr>
            </w:pPr>
            <w:r w:rsidRPr="008616DF">
              <w:rPr>
                <w:rStyle w:val="lev"/>
                <w:b w:val="0"/>
                <w:sz w:val="22"/>
              </w:rPr>
              <w:t>Marché</w:t>
            </w:r>
            <w:r w:rsidR="008A1E2F" w:rsidRPr="008616DF">
              <w:rPr>
                <w:rStyle w:val="lev"/>
                <w:b w:val="0"/>
                <w:sz w:val="22"/>
              </w:rPr>
              <w:t>s qui échappent au temps humain</w:t>
            </w:r>
          </w:p>
        </w:tc>
      </w:tr>
    </w:tbl>
    <w:p w:rsidR="00AD0C7B" w:rsidRPr="009B0B72" w:rsidRDefault="00AD0C7B" w:rsidP="00AD0C7B">
      <w:pPr>
        <w:rPr>
          <w:rStyle w:val="lev"/>
          <w:b w:val="0"/>
          <w:sz w:val="22"/>
        </w:rPr>
      </w:pPr>
    </w:p>
    <w:p w:rsidR="00047D59" w:rsidRPr="009B0B72" w:rsidRDefault="00047D59" w:rsidP="00047D59">
      <w:pPr>
        <w:rPr>
          <w:b/>
          <w:i/>
          <w:sz w:val="22"/>
        </w:rPr>
      </w:pPr>
      <w:r w:rsidRPr="009B0B72">
        <w:rPr>
          <w:b/>
          <w:i/>
          <w:sz w:val="22"/>
        </w:rPr>
        <w:t>Article ABC Bourse </w:t>
      </w:r>
    </w:p>
    <w:p w:rsidR="00047D59" w:rsidRPr="009B0B72" w:rsidRDefault="00047D59" w:rsidP="00047D59">
      <w:pPr>
        <w:rPr>
          <w:sz w:val="22"/>
        </w:rPr>
      </w:pPr>
      <w:r w:rsidRPr="009B0B72">
        <w:rPr>
          <w:sz w:val="22"/>
        </w:rPr>
        <w:t>Le Trading HF est un trading automatique, mais à l’échelle de la micro-seconde. Il consacre le règne des algorithmes mathématiques au lieu de l’analyse fondamentale des valeurs pour prendre des décisions d’achat ou de vente.</w:t>
      </w:r>
    </w:p>
    <w:p w:rsidR="00047D59" w:rsidRPr="009B0B72" w:rsidRDefault="00047D59" w:rsidP="00047D59">
      <w:pPr>
        <w:rPr>
          <w:sz w:val="22"/>
        </w:rPr>
      </w:pPr>
      <w:r w:rsidRPr="009B0B72">
        <w:rPr>
          <w:sz w:val="22"/>
        </w:rPr>
        <w:t xml:space="preserve">Les ordres flash représentent des transactions sur informations confidentielles pas passage d’un ordre durant quelques micro-secondes avant l’ordre final, donc ils ne sont accessibles qu’à des opérateurs très bien équipés sur le plan informatique. Cela accroît l’asymétrie d’information entre les acteurs du marché. Par ailleurs, les ordres sont parfois délocalisés pour réduire les coûts de nombreux ordre HF (dont 95% ne sont finalement pas </w:t>
      </w:r>
      <w:r w:rsidR="007A13BF" w:rsidRPr="009B0B72">
        <w:rPr>
          <w:sz w:val="22"/>
        </w:rPr>
        <w:t>exécutés</w:t>
      </w:r>
      <w:r w:rsidRPr="009B0B72">
        <w:rPr>
          <w:sz w:val="22"/>
        </w:rPr>
        <w:t>). D’où un risque de manipulation du marché.</w:t>
      </w:r>
    </w:p>
    <w:p w:rsidR="00AD0C7B" w:rsidRPr="009B0B72" w:rsidRDefault="00AD0C7B" w:rsidP="00AD0C7B">
      <w:pPr>
        <w:rPr>
          <w:rStyle w:val="lev"/>
          <w:b w:val="0"/>
          <w:sz w:val="22"/>
        </w:rPr>
      </w:pPr>
    </w:p>
    <w:p w:rsidR="00966E49" w:rsidRPr="009B0B72" w:rsidRDefault="00966E49" w:rsidP="00966E49">
      <w:pPr>
        <w:numPr>
          <w:ilvl w:val="0"/>
          <w:numId w:val="11"/>
        </w:numPr>
        <w:rPr>
          <w:rStyle w:val="lev"/>
          <w:sz w:val="22"/>
        </w:rPr>
      </w:pPr>
      <w:r w:rsidRPr="009B0B72">
        <w:rPr>
          <w:rStyle w:val="lev"/>
          <w:sz w:val="22"/>
        </w:rPr>
        <w:t>les modalités de r</w:t>
      </w:r>
      <w:r w:rsidR="00047D59" w:rsidRPr="009B0B72">
        <w:rPr>
          <w:rStyle w:val="lev"/>
          <w:sz w:val="22"/>
        </w:rPr>
        <w:t>églementation de cette pratique</w:t>
      </w:r>
      <w:r w:rsidR="00422265">
        <w:rPr>
          <w:rStyle w:val="lev"/>
          <w:sz w:val="22"/>
        </w:rPr>
        <w:t>.</w:t>
      </w:r>
    </w:p>
    <w:p w:rsidR="00CD1287" w:rsidRPr="009B0B72" w:rsidRDefault="008A1E2F" w:rsidP="007A13BF">
      <w:pPr>
        <w:pStyle w:val="Paragraphedeliste"/>
        <w:numPr>
          <w:ilvl w:val="0"/>
          <w:numId w:val="23"/>
        </w:numPr>
        <w:rPr>
          <w:sz w:val="22"/>
        </w:rPr>
      </w:pPr>
      <w:r w:rsidRPr="009B0B72">
        <w:rPr>
          <w:sz w:val="22"/>
        </w:rPr>
        <w:t>Taxes sur les flux</w:t>
      </w:r>
    </w:p>
    <w:p w:rsidR="008A1E2F" w:rsidRPr="009B0B72" w:rsidRDefault="008A1E2F" w:rsidP="007A13BF">
      <w:pPr>
        <w:pStyle w:val="Paragraphedeliste"/>
        <w:numPr>
          <w:ilvl w:val="0"/>
          <w:numId w:val="23"/>
        </w:numPr>
        <w:rPr>
          <w:sz w:val="22"/>
        </w:rPr>
      </w:pPr>
      <w:r w:rsidRPr="009B0B72">
        <w:rPr>
          <w:sz w:val="22"/>
        </w:rPr>
        <w:t>Renforcement du pouvoir du superviseur</w:t>
      </w:r>
    </w:p>
    <w:p w:rsidR="008A1E2F" w:rsidRPr="009B0B72" w:rsidRDefault="00FA2CD4" w:rsidP="007A13BF">
      <w:pPr>
        <w:pStyle w:val="Paragraphedeliste"/>
        <w:numPr>
          <w:ilvl w:val="0"/>
          <w:numId w:val="23"/>
        </w:numPr>
        <w:rPr>
          <w:sz w:val="22"/>
        </w:rPr>
      </w:pPr>
      <w:r w:rsidRPr="009B0B72">
        <w:rPr>
          <w:sz w:val="22"/>
        </w:rPr>
        <w:t>Interdiction par les pouvoirs publics</w:t>
      </w:r>
    </w:p>
    <w:p w:rsidR="00FA2CD4" w:rsidRPr="009B0B72" w:rsidRDefault="00FA2CD4">
      <w:pPr>
        <w:rPr>
          <w:sz w:val="22"/>
        </w:rPr>
      </w:pPr>
    </w:p>
    <w:p w:rsidR="00047D59" w:rsidRPr="009B0B72" w:rsidRDefault="00047D59" w:rsidP="00047D59">
      <w:pPr>
        <w:rPr>
          <w:b/>
          <w:i/>
          <w:sz w:val="22"/>
        </w:rPr>
      </w:pPr>
      <w:r w:rsidRPr="009B0B72">
        <w:rPr>
          <w:b/>
          <w:i/>
          <w:sz w:val="22"/>
        </w:rPr>
        <w:t xml:space="preserve">Article Le Point </w:t>
      </w:r>
    </w:p>
    <w:p w:rsidR="00047D59" w:rsidRPr="009B0B72" w:rsidRDefault="00047D59" w:rsidP="00047D59">
      <w:pPr>
        <w:rPr>
          <w:sz w:val="22"/>
        </w:rPr>
      </w:pPr>
      <w:r w:rsidRPr="009B0B72">
        <w:rPr>
          <w:sz w:val="22"/>
        </w:rPr>
        <w:t>Il existe une volonté du Ministère de l’Economie d’empêcher le trading HF en séparant les opérations spéculatives des banques pour leur propre compte. L’interdiction du trading HF pourrait nuire à la liquidité selon certains opérateurs, mais réduire les incidents de marché (tel le flash crash du Dow Jones qui a chuté de 1000 points en quelques minutes en mai 2010) selon d’autres.</w:t>
      </w:r>
    </w:p>
    <w:p w:rsidR="00047D59" w:rsidRPr="009B0B72" w:rsidRDefault="00047D59" w:rsidP="00047D59">
      <w:pPr>
        <w:rPr>
          <w:sz w:val="22"/>
        </w:rPr>
      </w:pPr>
    </w:p>
    <w:p w:rsidR="00047D59" w:rsidRPr="009B0B72" w:rsidRDefault="00047D59" w:rsidP="00047D59">
      <w:pPr>
        <w:rPr>
          <w:b/>
          <w:i/>
          <w:sz w:val="22"/>
        </w:rPr>
      </w:pPr>
      <w:r w:rsidRPr="009B0B72">
        <w:rPr>
          <w:b/>
          <w:i/>
          <w:sz w:val="22"/>
        </w:rPr>
        <w:t xml:space="preserve">Article Les Echos </w:t>
      </w:r>
    </w:p>
    <w:p w:rsidR="00047D59" w:rsidRPr="009B0B72" w:rsidRDefault="00047D59" w:rsidP="00047D59">
      <w:pPr>
        <w:rPr>
          <w:sz w:val="22"/>
        </w:rPr>
      </w:pPr>
      <w:r w:rsidRPr="009B0B72">
        <w:rPr>
          <w:sz w:val="22"/>
        </w:rPr>
        <w:t>11 pays membres de l’UE souhaitent contrôler et encadrer le trading HF. Il existe un caractère artificiel dans ces transactions, dont le nombre dépasse largement la demande réelle de la clientèle. Il est difficile de mener des analyses précises sur les effets du trading HF ca</w:t>
      </w:r>
      <w:r w:rsidR="001E1321" w:rsidRPr="009B0B72">
        <w:rPr>
          <w:sz w:val="22"/>
        </w:rPr>
        <w:t>r</w:t>
      </w:r>
      <w:r w:rsidRPr="009B0B72">
        <w:rPr>
          <w:sz w:val="22"/>
        </w:rPr>
        <w:t xml:space="preserve"> il faut travailler à l’échelle de la micro-seconde. Il est envisageable de taxer les transactions de ce type, avec une taxe type Tobin.</w:t>
      </w:r>
    </w:p>
    <w:p w:rsidR="00047D59" w:rsidRPr="009B0B72" w:rsidRDefault="00047D59" w:rsidP="00047D59">
      <w:pPr>
        <w:rPr>
          <w:sz w:val="22"/>
        </w:rPr>
      </w:pPr>
    </w:p>
    <w:p w:rsidR="00047D59" w:rsidRPr="009B0B72" w:rsidRDefault="00047D59" w:rsidP="00047D59">
      <w:pPr>
        <w:rPr>
          <w:b/>
          <w:sz w:val="22"/>
        </w:rPr>
      </w:pPr>
      <w:r w:rsidRPr="009B0B72">
        <w:rPr>
          <w:b/>
          <w:sz w:val="22"/>
        </w:rPr>
        <w:t>Contraintes réglementaires</w:t>
      </w:r>
    </w:p>
    <w:p w:rsidR="00047D59" w:rsidRPr="009B0B72" w:rsidRDefault="00047D59" w:rsidP="00047D59">
      <w:pPr>
        <w:rPr>
          <w:sz w:val="22"/>
        </w:rPr>
      </w:pPr>
      <w:r w:rsidRPr="009B0B72">
        <w:rPr>
          <w:sz w:val="22"/>
        </w:rPr>
        <w:t>L’AMF mène une réflexion globale sur la structure de marché, et il existe une volonté des régulateurs de favoriser la concurrence entre les lieux d’exécution.</w:t>
      </w:r>
    </w:p>
    <w:p w:rsidR="00047D59" w:rsidRPr="009B0B72" w:rsidRDefault="00047D59" w:rsidP="00047D59">
      <w:pPr>
        <w:rPr>
          <w:sz w:val="22"/>
        </w:rPr>
      </w:pPr>
      <w:r w:rsidRPr="009B0B72">
        <w:rPr>
          <w:sz w:val="22"/>
        </w:rPr>
        <w:t>On peut s</w:t>
      </w:r>
      <w:r w:rsidR="001E1321" w:rsidRPr="009B0B72">
        <w:rPr>
          <w:sz w:val="22"/>
        </w:rPr>
        <w:t>e</w:t>
      </w:r>
      <w:r w:rsidRPr="009B0B72">
        <w:rPr>
          <w:sz w:val="22"/>
        </w:rPr>
        <w:t xml:space="preserve"> référer aux principes généraux de l’Organisation Internationale des Commissions de Valeurs (2011).</w:t>
      </w:r>
    </w:p>
    <w:p w:rsidR="00047D59" w:rsidRDefault="00047D59">
      <w:pPr>
        <w:rPr>
          <w:sz w:val="22"/>
        </w:rPr>
      </w:pPr>
      <w:r w:rsidRPr="009B0B72">
        <w:rPr>
          <w:sz w:val="22"/>
        </w:rPr>
        <w:t>La Commission Européenne inclut des réflexions sur le trading HF dans sa révision de la Market In Financial Instruments Directive (2011) : elle préconise l’extension du périmètre des exigences aux opérateurs pour compte propre, favorise des règles d’organisation, de contrôle des risques, de surveillance des transactions historiques, et de modification des incitations des opérateurs. On peut citer aussi les travaux de l’European Securities and Markets Authority (2011).</w:t>
      </w:r>
    </w:p>
    <w:p w:rsidR="008B0388" w:rsidRDefault="008B0388">
      <w:pPr>
        <w:rPr>
          <w:sz w:val="22"/>
        </w:rPr>
      </w:pPr>
    </w:p>
    <w:p w:rsidR="008B0388" w:rsidRPr="006631B3" w:rsidRDefault="008B0388" w:rsidP="002128DF">
      <w:pPr>
        <w:spacing w:after="200" w:line="276" w:lineRule="auto"/>
        <w:jc w:val="left"/>
        <w:rPr>
          <w:sz w:val="8"/>
          <w:szCs w:val="8"/>
        </w:rPr>
      </w:pPr>
    </w:p>
    <w:sectPr w:rsidR="008B0388" w:rsidRPr="006631B3" w:rsidSect="00470141">
      <w:headerReference w:type="default" r:id="rId8"/>
      <w:footerReference w:type="even" r:id="rId9"/>
      <w:footerReference w:type="default" r:id="rId10"/>
      <w:pgSz w:w="11906" w:h="16838" w:code="9"/>
      <w:pgMar w:top="680" w:right="851" w:bottom="425" w:left="85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6A9" w:rsidRDefault="009C76A9">
      <w:r>
        <w:separator/>
      </w:r>
    </w:p>
  </w:endnote>
  <w:endnote w:type="continuationSeparator" w:id="0">
    <w:p w:rsidR="009C76A9" w:rsidRDefault="009C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dsor">
    <w:altName w:val="Courier New"/>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DF" w:rsidRDefault="00DF3632">
    <w:pPr>
      <w:pStyle w:val="Pieddepage"/>
      <w:framePr w:wrap="around" w:vAnchor="text" w:hAnchor="margin" w:xAlign="right" w:y="1"/>
      <w:rPr>
        <w:rStyle w:val="Numrodepage"/>
      </w:rPr>
    </w:pPr>
    <w:r>
      <w:rPr>
        <w:rStyle w:val="Numrodepage"/>
      </w:rPr>
      <w:fldChar w:fldCharType="begin"/>
    </w:r>
    <w:r w:rsidR="002128DF">
      <w:rPr>
        <w:rStyle w:val="Numrodepage"/>
      </w:rPr>
      <w:instrText xml:space="preserve">PAGE  </w:instrText>
    </w:r>
    <w:r>
      <w:rPr>
        <w:rStyle w:val="Numrodepage"/>
      </w:rPr>
      <w:fldChar w:fldCharType="end"/>
    </w:r>
  </w:p>
  <w:p w:rsidR="002128DF" w:rsidRDefault="002128D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B1" w:rsidRDefault="00E45FB1" w:rsidP="00E45FB1">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831980">
      <w:rPr>
        <w:rStyle w:val="Numrodepage"/>
        <w:noProof/>
      </w:rPr>
      <w:t>6</w:t>
    </w:r>
    <w:r>
      <w:rPr>
        <w:rStyle w:val="Numrodepage"/>
      </w:rPr>
      <w:fldChar w:fldCharType="end"/>
    </w:r>
  </w:p>
  <w:p w:rsidR="002128DF" w:rsidRPr="00E45FB1" w:rsidRDefault="00E45FB1" w:rsidP="00E45FB1">
    <w:pPr>
      <w:pStyle w:val="Pieddepage"/>
      <w:tabs>
        <w:tab w:val="clear" w:pos="9072"/>
        <w:tab w:val="right" w:pos="9781"/>
      </w:tabs>
      <w:ind w:right="360"/>
      <w:rPr>
        <w:sz w:val="20"/>
        <w:szCs w:val="20"/>
      </w:rPr>
    </w:pPr>
    <w:r w:rsidRPr="00A111B8">
      <w:rPr>
        <w:sz w:val="20"/>
        <w:szCs w:val="20"/>
      </w:rPr>
      <w:t xml:space="preserve">©Comptazine – Reproduction interdite – DSCG </w:t>
    </w:r>
    <w:r>
      <w:rPr>
        <w:sz w:val="20"/>
        <w:szCs w:val="20"/>
      </w:rPr>
      <w:t>Finance</w:t>
    </w:r>
    <w:r w:rsidRPr="00A111B8">
      <w:rPr>
        <w:sz w:val="20"/>
        <w:szCs w:val="20"/>
      </w:rPr>
      <w:t xml:space="preserve"> 201</w:t>
    </w:r>
    <w:r>
      <w:rPr>
        <w:sz w:val="20"/>
        <w:szCs w:val="20"/>
      </w:rPr>
      <w:t>3</w:t>
    </w:r>
    <w:r w:rsidRPr="00A111B8">
      <w:rPr>
        <w:sz w:val="20"/>
        <w:szCs w:val="20"/>
      </w:rPr>
      <w:tab/>
    </w:r>
    <w:r w:rsidRPr="00A111B8">
      <w:rPr>
        <w:rStyle w:val="Numrodepage"/>
        <w:sz w:val="20"/>
        <w:szCs w:val="20"/>
      </w:rPr>
      <w:fldChar w:fldCharType="begin"/>
    </w:r>
    <w:r w:rsidRPr="00A111B8">
      <w:rPr>
        <w:rStyle w:val="Numrodepage"/>
        <w:sz w:val="20"/>
        <w:szCs w:val="20"/>
      </w:rPr>
      <w:instrText xml:space="preserve"> PAGE </w:instrText>
    </w:r>
    <w:r w:rsidRPr="00A111B8">
      <w:rPr>
        <w:rStyle w:val="Numrodepage"/>
        <w:sz w:val="20"/>
        <w:szCs w:val="20"/>
      </w:rPr>
      <w:fldChar w:fldCharType="separate"/>
    </w:r>
    <w:r w:rsidR="00831980">
      <w:rPr>
        <w:rStyle w:val="Numrodepage"/>
        <w:noProof/>
        <w:sz w:val="20"/>
        <w:szCs w:val="20"/>
      </w:rPr>
      <w:t>6</w:t>
    </w:r>
    <w:r w:rsidRPr="00A111B8">
      <w:rPr>
        <w:rStyle w:val="Numrodepage"/>
        <w:sz w:val="20"/>
        <w:szCs w:val="20"/>
      </w:rPr>
      <w:fldChar w:fldCharType="end"/>
    </w:r>
    <w:r w:rsidRPr="00A111B8">
      <w:rPr>
        <w:rStyle w:val="Numrodepage"/>
        <w:sz w:val="20"/>
        <w:szCs w:val="20"/>
      </w:rPr>
      <w:t>/</w:t>
    </w:r>
    <w:r w:rsidRPr="00A111B8">
      <w:rPr>
        <w:rStyle w:val="Numrodepage"/>
        <w:sz w:val="20"/>
        <w:szCs w:val="20"/>
      </w:rPr>
      <w:fldChar w:fldCharType="begin"/>
    </w:r>
    <w:r w:rsidRPr="00A111B8">
      <w:rPr>
        <w:rStyle w:val="Numrodepage"/>
        <w:sz w:val="20"/>
        <w:szCs w:val="20"/>
      </w:rPr>
      <w:instrText xml:space="preserve"> NUMPAGES </w:instrText>
    </w:r>
    <w:r w:rsidRPr="00A111B8">
      <w:rPr>
        <w:rStyle w:val="Numrodepage"/>
        <w:sz w:val="20"/>
        <w:szCs w:val="20"/>
      </w:rPr>
      <w:fldChar w:fldCharType="separate"/>
    </w:r>
    <w:r w:rsidR="00831980">
      <w:rPr>
        <w:rStyle w:val="Numrodepage"/>
        <w:noProof/>
        <w:sz w:val="20"/>
        <w:szCs w:val="20"/>
      </w:rPr>
      <w:t>6</w:t>
    </w:r>
    <w:r w:rsidRPr="00A111B8">
      <w:rPr>
        <w:rStyle w:val="Numrodepage"/>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6A9" w:rsidRDefault="009C76A9">
      <w:r>
        <w:separator/>
      </w:r>
    </w:p>
  </w:footnote>
  <w:footnote w:type="continuationSeparator" w:id="0">
    <w:p w:rsidR="009C76A9" w:rsidRDefault="009C7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31B" w:rsidRPr="00E45FB1" w:rsidRDefault="003F708C" w:rsidP="00E45FB1">
    <w:pPr>
      <w:pStyle w:val="En-tte"/>
      <w:ind w:left="3252" w:right="849" w:firstLine="3828"/>
    </w:pPr>
    <w:r>
      <w:rPr>
        <w:noProof/>
      </w:rPr>
      <w:drawing>
        <wp:anchor distT="0" distB="0" distL="114300" distR="114300" simplePos="0" relativeHeight="251659264" behindDoc="1" locked="0" layoutInCell="1" allowOverlap="1">
          <wp:simplePos x="0" y="0"/>
          <wp:positionH relativeFrom="margin">
            <wp:posOffset>5678805</wp:posOffset>
          </wp:positionH>
          <wp:positionV relativeFrom="margin">
            <wp:posOffset>-385445</wp:posOffset>
          </wp:positionV>
          <wp:extent cx="381000" cy="381000"/>
          <wp:effectExtent l="0" t="0" r="0" b="0"/>
          <wp:wrapNone/>
          <wp:docPr id="1" name="Image 6"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00E45FB1">
        <w:rPr>
          <w:rStyle w:val="Lienhypertexte"/>
          <w:rFonts w:ascii="Calibri" w:hAnsi="Calibri" w:cs="Calibri"/>
          <w:color w:val="E36C0A"/>
          <w:sz w:val="18"/>
        </w:rPr>
        <w:t>www.comptazine.fr</w:t>
      </w:r>
    </w:hyperlink>
    <w:r w:rsidR="00E45FB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075"/>
    <w:multiLevelType w:val="hybridMultilevel"/>
    <w:tmpl w:val="76D6528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DB6D1E"/>
    <w:multiLevelType w:val="hybridMultilevel"/>
    <w:tmpl w:val="C93E0B30"/>
    <w:lvl w:ilvl="0" w:tplc="11847BAC">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1051BE"/>
    <w:multiLevelType w:val="hybridMultilevel"/>
    <w:tmpl w:val="42DEADE2"/>
    <w:lvl w:ilvl="0" w:tplc="040C0001">
      <w:start w:val="1"/>
      <w:numFmt w:val="bullet"/>
      <w:lvlText w:val=""/>
      <w:lvlJc w:val="left"/>
      <w:pPr>
        <w:ind w:left="720" w:hanging="360"/>
      </w:pPr>
      <w:rPr>
        <w:rFonts w:ascii="Symbol" w:hAnsi="Symbol"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807067"/>
    <w:multiLevelType w:val="hybridMultilevel"/>
    <w:tmpl w:val="0310D464"/>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4">
    <w:nsid w:val="126F69AE"/>
    <w:multiLevelType w:val="multilevel"/>
    <w:tmpl w:val="F580ED6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06619"/>
    <w:multiLevelType w:val="hybridMultilevel"/>
    <w:tmpl w:val="48D0CC28"/>
    <w:lvl w:ilvl="0" w:tplc="040C0005">
      <w:start w:val="1"/>
      <w:numFmt w:val="bullet"/>
      <w:lvlText w:val=""/>
      <w:lvlJc w:val="left"/>
      <w:pPr>
        <w:ind w:left="720" w:hanging="360"/>
      </w:pPr>
      <w:rPr>
        <w:rFonts w:ascii="Wingdings" w:hAnsi="Wingdings"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1E51F5"/>
    <w:multiLevelType w:val="multilevel"/>
    <w:tmpl w:val="2304C734"/>
    <w:lvl w:ilvl="0">
      <w:start w:val="1"/>
      <w:numFmt w:val="bullet"/>
      <w:lvlText w:val=""/>
      <w:lvlJc w:val="left"/>
      <w:pPr>
        <w:tabs>
          <w:tab w:val="num" w:pos="720"/>
        </w:tabs>
        <w:ind w:left="720" w:hanging="360"/>
      </w:pPr>
      <w:rPr>
        <w:rFonts w:ascii="Symbol" w:hAnsi="Symbol" w:hint="default"/>
        <w:sz w:val="20"/>
      </w:rPr>
    </w:lvl>
    <w:lvl w:ilvl="1">
      <w:start w:val="2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A77BFB"/>
    <w:multiLevelType w:val="hybridMultilevel"/>
    <w:tmpl w:val="2402C7F0"/>
    <w:lvl w:ilvl="0" w:tplc="11847BAC">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
    <w:nsid w:val="28A161C2"/>
    <w:multiLevelType w:val="hybridMultilevel"/>
    <w:tmpl w:val="861C7DA8"/>
    <w:lvl w:ilvl="0" w:tplc="C0506544">
      <w:start w:val="1"/>
      <w:numFmt w:val="bullet"/>
      <w:lvlText w:val="-"/>
      <w:lvlJc w:val="left"/>
      <w:pPr>
        <w:ind w:left="720" w:hanging="360"/>
      </w:pPr>
      <w:rPr>
        <w:rFonts w:ascii="Windsor" w:hAnsi="Windso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AC875DD"/>
    <w:multiLevelType w:val="multilevel"/>
    <w:tmpl w:val="CCB0F458"/>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2ADF5A9B"/>
    <w:multiLevelType w:val="hybridMultilevel"/>
    <w:tmpl w:val="F716B056"/>
    <w:lvl w:ilvl="0" w:tplc="11847BAC">
      <w:numFmt w:val="bullet"/>
      <w:lvlText w:val="-"/>
      <w:lvlJc w:val="left"/>
      <w:pPr>
        <w:tabs>
          <w:tab w:val="num" w:pos="1425"/>
        </w:tabs>
        <w:ind w:left="1425"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2CEE6ED0"/>
    <w:multiLevelType w:val="hybridMultilevel"/>
    <w:tmpl w:val="0472D1CC"/>
    <w:lvl w:ilvl="0" w:tplc="040C0001">
      <w:start w:val="1"/>
      <w:numFmt w:val="bullet"/>
      <w:lvlText w:val=""/>
      <w:lvlJc w:val="left"/>
      <w:pPr>
        <w:ind w:left="1434" w:hanging="360"/>
      </w:pPr>
      <w:rPr>
        <w:rFonts w:ascii="Symbol" w:hAnsi="Symbol" w:hint="default"/>
      </w:rPr>
    </w:lvl>
    <w:lvl w:ilvl="1" w:tplc="040C0019">
      <w:start w:val="1"/>
      <w:numFmt w:val="lowerLetter"/>
      <w:lvlText w:val="%2."/>
      <w:lvlJc w:val="left"/>
      <w:pPr>
        <w:ind w:left="2154" w:hanging="360"/>
      </w:pPr>
    </w:lvl>
    <w:lvl w:ilvl="2" w:tplc="040C001B" w:tentative="1">
      <w:start w:val="1"/>
      <w:numFmt w:val="lowerRoman"/>
      <w:lvlText w:val="%3."/>
      <w:lvlJc w:val="right"/>
      <w:pPr>
        <w:ind w:left="2874" w:hanging="180"/>
      </w:pPr>
    </w:lvl>
    <w:lvl w:ilvl="3" w:tplc="040C000F" w:tentative="1">
      <w:start w:val="1"/>
      <w:numFmt w:val="decimal"/>
      <w:lvlText w:val="%4."/>
      <w:lvlJc w:val="left"/>
      <w:pPr>
        <w:ind w:left="3594" w:hanging="360"/>
      </w:pPr>
    </w:lvl>
    <w:lvl w:ilvl="4" w:tplc="040C0019" w:tentative="1">
      <w:start w:val="1"/>
      <w:numFmt w:val="lowerLetter"/>
      <w:lvlText w:val="%5."/>
      <w:lvlJc w:val="left"/>
      <w:pPr>
        <w:ind w:left="4314" w:hanging="360"/>
      </w:pPr>
    </w:lvl>
    <w:lvl w:ilvl="5" w:tplc="040C001B" w:tentative="1">
      <w:start w:val="1"/>
      <w:numFmt w:val="lowerRoman"/>
      <w:lvlText w:val="%6."/>
      <w:lvlJc w:val="right"/>
      <w:pPr>
        <w:ind w:left="5034" w:hanging="180"/>
      </w:pPr>
    </w:lvl>
    <w:lvl w:ilvl="6" w:tplc="040C000F" w:tentative="1">
      <w:start w:val="1"/>
      <w:numFmt w:val="decimal"/>
      <w:lvlText w:val="%7."/>
      <w:lvlJc w:val="left"/>
      <w:pPr>
        <w:ind w:left="5754" w:hanging="360"/>
      </w:pPr>
    </w:lvl>
    <w:lvl w:ilvl="7" w:tplc="040C0019" w:tentative="1">
      <w:start w:val="1"/>
      <w:numFmt w:val="lowerLetter"/>
      <w:lvlText w:val="%8."/>
      <w:lvlJc w:val="left"/>
      <w:pPr>
        <w:ind w:left="6474" w:hanging="360"/>
      </w:pPr>
    </w:lvl>
    <w:lvl w:ilvl="8" w:tplc="040C001B" w:tentative="1">
      <w:start w:val="1"/>
      <w:numFmt w:val="lowerRoman"/>
      <w:lvlText w:val="%9."/>
      <w:lvlJc w:val="right"/>
      <w:pPr>
        <w:ind w:left="7194" w:hanging="180"/>
      </w:pPr>
    </w:lvl>
  </w:abstractNum>
  <w:abstractNum w:abstractNumId="12">
    <w:nsid w:val="432A5B15"/>
    <w:multiLevelType w:val="hybridMultilevel"/>
    <w:tmpl w:val="4560E234"/>
    <w:lvl w:ilvl="0" w:tplc="11847BAC">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0116235"/>
    <w:multiLevelType w:val="hybridMultilevel"/>
    <w:tmpl w:val="6888BE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A0A6ED5"/>
    <w:multiLevelType w:val="multilevel"/>
    <w:tmpl w:val="B2C22DF6"/>
    <w:lvl w:ilvl="0">
      <w:start w:val="1"/>
      <w:numFmt w:val="decimal"/>
      <w:lvlText w:val="%1."/>
      <w:lvlJc w:val="left"/>
      <w:pPr>
        <w:ind w:left="720" w:hanging="360"/>
      </w:pPr>
      <w:rPr>
        <w:rFonts w:hint="default"/>
      </w:rPr>
    </w:lvl>
    <w:lvl w:ilvl="1">
      <w:start w:val="1"/>
      <w:numFmt w:val="decimal"/>
      <w:isLgl/>
      <w:lvlText w:val="%1.%2"/>
      <w:lvlJc w:val="left"/>
      <w:pPr>
        <w:ind w:left="1800" w:hanging="375"/>
      </w:pPr>
      <w:rPr>
        <w:rFonts w:hint="default"/>
        <w:b/>
      </w:rPr>
    </w:lvl>
    <w:lvl w:ilvl="2">
      <w:start w:val="1"/>
      <w:numFmt w:val="decimal"/>
      <w:isLgl/>
      <w:lvlText w:val="%1.%2.%3"/>
      <w:lvlJc w:val="left"/>
      <w:pPr>
        <w:ind w:left="3210" w:hanging="720"/>
      </w:pPr>
      <w:rPr>
        <w:rFonts w:hint="default"/>
        <w:b/>
      </w:rPr>
    </w:lvl>
    <w:lvl w:ilvl="3">
      <w:start w:val="1"/>
      <w:numFmt w:val="decimal"/>
      <w:isLgl/>
      <w:lvlText w:val="%1.%2.%3.%4"/>
      <w:lvlJc w:val="left"/>
      <w:pPr>
        <w:ind w:left="4275" w:hanging="720"/>
      </w:pPr>
      <w:rPr>
        <w:rFonts w:hint="default"/>
        <w:b/>
      </w:rPr>
    </w:lvl>
    <w:lvl w:ilvl="4">
      <w:start w:val="1"/>
      <w:numFmt w:val="decimal"/>
      <w:isLgl/>
      <w:lvlText w:val="%1.%2.%3.%4.%5"/>
      <w:lvlJc w:val="left"/>
      <w:pPr>
        <w:ind w:left="5700" w:hanging="1080"/>
      </w:pPr>
      <w:rPr>
        <w:rFonts w:hint="default"/>
        <w:b/>
      </w:rPr>
    </w:lvl>
    <w:lvl w:ilvl="5">
      <w:start w:val="1"/>
      <w:numFmt w:val="decimal"/>
      <w:isLgl/>
      <w:lvlText w:val="%1.%2.%3.%4.%5.%6"/>
      <w:lvlJc w:val="left"/>
      <w:pPr>
        <w:ind w:left="6765" w:hanging="1080"/>
      </w:pPr>
      <w:rPr>
        <w:rFonts w:hint="default"/>
        <w:b/>
      </w:rPr>
    </w:lvl>
    <w:lvl w:ilvl="6">
      <w:start w:val="1"/>
      <w:numFmt w:val="decimal"/>
      <w:isLgl/>
      <w:lvlText w:val="%1.%2.%3.%4.%5.%6.%7"/>
      <w:lvlJc w:val="left"/>
      <w:pPr>
        <w:ind w:left="8190" w:hanging="1440"/>
      </w:pPr>
      <w:rPr>
        <w:rFonts w:hint="default"/>
        <w:b/>
      </w:rPr>
    </w:lvl>
    <w:lvl w:ilvl="7">
      <w:start w:val="1"/>
      <w:numFmt w:val="decimal"/>
      <w:isLgl/>
      <w:lvlText w:val="%1.%2.%3.%4.%5.%6.%7.%8"/>
      <w:lvlJc w:val="left"/>
      <w:pPr>
        <w:ind w:left="9255" w:hanging="1440"/>
      </w:pPr>
      <w:rPr>
        <w:rFonts w:hint="default"/>
        <w:b/>
      </w:rPr>
    </w:lvl>
    <w:lvl w:ilvl="8">
      <w:start w:val="1"/>
      <w:numFmt w:val="decimal"/>
      <w:isLgl/>
      <w:lvlText w:val="%1.%2.%3.%4.%5.%6.%7.%8.%9"/>
      <w:lvlJc w:val="left"/>
      <w:pPr>
        <w:ind w:left="10680" w:hanging="1800"/>
      </w:pPr>
      <w:rPr>
        <w:rFonts w:hint="default"/>
        <w:b/>
      </w:rPr>
    </w:lvl>
  </w:abstractNum>
  <w:abstractNum w:abstractNumId="15">
    <w:nsid w:val="5BCA2FAF"/>
    <w:multiLevelType w:val="multilevel"/>
    <w:tmpl w:val="F14A343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C26718A"/>
    <w:multiLevelType w:val="multilevel"/>
    <w:tmpl w:val="CCB0F458"/>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nsid w:val="5E216D32"/>
    <w:multiLevelType w:val="multilevel"/>
    <w:tmpl w:val="CCB0F458"/>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nsid w:val="683C13EE"/>
    <w:multiLevelType w:val="multilevel"/>
    <w:tmpl w:val="6EF4154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E383A2F"/>
    <w:multiLevelType w:val="hybridMultilevel"/>
    <w:tmpl w:val="1BCA7438"/>
    <w:lvl w:ilvl="0" w:tplc="11847BAC">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09C554B"/>
    <w:multiLevelType w:val="hybridMultilevel"/>
    <w:tmpl w:val="B6D48C7A"/>
    <w:lvl w:ilvl="0" w:tplc="D332E4DA">
      <w:start w:val="33"/>
      <w:numFmt w:val="bullet"/>
      <w:lvlText w:val="-"/>
      <w:lvlJc w:val="left"/>
      <w:pPr>
        <w:ind w:left="720" w:hanging="360"/>
      </w:pPr>
      <w:rPr>
        <w:rFonts w:ascii="Times New Roman" w:eastAsia="Times New Roman" w:hAnsi="Times New Roman" w:cs="Times New Roman"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CD07B96"/>
    <w:multiLevelType w:val="hybridMultilevel"/>
    <w:tmpl w:val="E3FE41FA"/>
    <w:lvl w:ilvl="0" w:tplc="11847BAC">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D5F6AD2"/>
    <w:multiLevelType w:val="hybridMultilevel"/>
    <w:tmpl w:val="12689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4"/>
  </w:num>
  <w:num w:numId="4">
    <w:abstractNumId w:val="0"/>
  </w:num>
  <w:num w:numId="5">
    <w:abstractNumId w:val="8"/>
  </w:num>
  <w:num w:numId="6">
    <w:abstractNumId w:val="7"/>
  </w:num>
  <w:num w:numId="7">
    <w:abstractNumId w:val="9"/>
  </w:num>
  <w:num w:numId="8">
    <w:abstractNumId w:val="16"/>
  </w:num>
  <w:num w:numId="9">
    <w:abstractNumId w:val="17"/>
  </w:num>
  <w:num w:numId="10">
    <w:abstractNumId w:val="4"/>
  </w:num>
  <w:num w:numId="11">
    <w:abstractNumId w:val="20"/>
  </w:num>
  <w:num w:numId="12">
    <w:abstractNumId w:val="5"/>
  </w:num>
  <w:num w:numId="13">
    <w:abstractNumId w:val="15"/>
  </w:num>
  <w:num w:numId="14">
    <w:abstractNumId w:val="18"/>
  </w:num>
  <w:num w:numId="15">
    <w:abstractNumId w:val="10"/>
  </w:num>
  <w:num w:numId="16">
    <w:abstractNumId w:val="21"/>
  </w:num>
  <w:num w:numId="17">
    <w:abstractNumId w:val="1"/>
  </w:num>
  <w:num w:numId="18">
    <w:abstractNumId w:val="12"/>
  </w:num>
  <w:num w:numId="19">
    <w:abstractNumId w:val="19"/>
  </w:num>
  <w:num w:numId="20">
    <w:abstractNumId w:val="3"/>
  </w:num>
  <w:num w:numId="21">
    <w:abstractNumId w:val="11"/>
  </w:num>
  <w:num w:numId="22">
    <w:abstractNumId w:val="2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287"/>
    <w:rsid w:val="00045F0A"/>
    <w:rsid w:val="00047D59"/>
    <w:rsid w:val="000525F6"/>
    <w:rsid w:val="0007054C"/>
    <w:rsid w:val="0008313E"/>
    <w:rsid w:val="00097EA5"/>
    <w:rsid w:val="000F7DB6"/>
    <w:rsid w:val="00136E43"/>
    <w:rsid w:val="0014364B"/>
    <w:rsid w:val="00170A06"/>
    <w:rsid w:val="001B0C5D"/>
    <w:rsid w:val="001C7D1E"/>
    <w:rsid w:val="001E1321"/>
    <w:rsid w:val="001E2E97"/>
    <w:rsid w:val="001E3A69"/>
    <w:rsid w:val="002128DF"/>
    <w:rsid w:val="00212FAC"/>
    <w:rsid w:val="00225777"/>
    <w:rsid w:val="002336D5"/>
    <w:rsid w:val="00250F1F"/>
    <w:rsid w:val="002C5825"/>
    <w:rsid w:val="002F3693"/>
    <w:rsid w:val="0033155F"/>
    <w:rsid w:val="003956E8"/>
    <w:rsid w:val="003C2614"/>
    <w:rsid w:val="003C690A"/>
    <w:rsid w:val="003F708C"/>
    <w:rsid w:val="00405624"/>
    <w:rsid w:val="00422265"/>
    <w:rsid w:val="00437D32"/>
    <w:rsid w:val="00470141"/>
    <w:rsid w:val="00472AF4"/>
    <w:rsid w:val="0048255F"/>
    <w:rsid w:val="004A342E"/>
    <w:rsid w:val="004A5CF8"/>
    <w:rsid w:val="004A73BD"/>
    <w:rsid w:val="004D5398"/>
    <w:rsid w:val="004D7792"/>
    <w:rsid w:val="0051495D"/>
    <w:rsid w:val="00526BC5"/>
    <w:rsid w:val="00527BB6"/>
    <w:rsid w:val="00541209"/>
    <w:rsid w:val="00602CE7"/>
    <w:rsid w:val="006414E8"/>
    <w:rsid w:val="006631B3"/>
    <w:rsid w:val="006806BB"/>
    <w:rsid w:val="0068373E"/>
    <w:rsid w:val="006A5E9B"/>
    <w:rsid w:val="006A7D43"/>
    <w:rsid w:val="006B2233"/>
    <w:rsid w:val="006B4B7D"/>
    <w:rsid w:val="007251D0"/>
    <w:rsid w:val="007942A2"/>
    <w:rsid w:val="007A13BF"/>
    <w:rsid w:val="007A759B"/>
    <w:rsid w:val="007B2F73"/>
    <w:rsid w:val="007F0019"/>
    <w:rsid w:val="007F1AE4"/>
    <w:rsid w:val="007F7599"/>
    <w:rsid w:val="00822C30"/>
    <w:rsid w:val="00826D59"/>
    <w:rsid w:val="00831980"/>
    <w:rsid w:val="00837952"/>
    <w:rsid w:val="008616DF"/>
    <w:rsid w:val="00867463"/>
    <w:rsid w:val="00882D3B"/>
    <w:rsid w:val="008A1E2F"/>
    <w:rsid w:val="008B0388"/>
    <w:rsid w:val="00923A76"/>
    <w:rsid w:val="00955698"/>
    <w:rsid w:val="00966E49"/>
    <w:rsid w:val="00982F3B"/>
    <w:rsid w:val="00985CB0"/>
    <w:rsid w:val="009B0B72"/>
    <w:rsid w:val="009B649D"/>
    <w:rsid w:val="009C76A9"/>
    <w:rsid w:val="009D1CA0"/>
    <w:rsid w:val="009F7858"/>
    <w:rsid w:val="00A170F3"/>
    <w:rsid w:val="00A71095"/>
    <w:rsid w:val="00AB334E"/>
    <w:rsid w:val="00AB5454"/>
    <w:rsid w:val="00AC40A9"/>
    <w:rsid w:val="00AC7C60"/>
    <w:rsid w:val="00AD0C7B"/>
    <w:rsid w:val="00B31E22"/>
    <w:rsid w:val="00B54E35"/>
    <w:rsid w:val="00B633CD"/>
    <w:rsid w:val="00BA27E5"/>
    <w:rsid w:val="00BB0A78"/>
    <w:rsid w:val="00BC7E94"/>
    <w:rsid w:val="00BE087A"/>
    <w:rsid w:val="00BE531B"/>
    <w:rsid w:val="00C23DA5"/>
    <w:rsid w:val="00C45B5D"/>
    <w:rsid w:val="00C52420"/>
    <w:rsid w:val="00C77C48"/>
    <w:rsid w:val="00C871A0"/>
    <w:rsid w:val="00CA189D"/>
    <w:rsid w:val="00CA71EB"/>
    <w:rsid w:val="00CA72F0"/>
    <w:rsid w:val="00CC1A1E"/>
    <w:rsid w:val="00CD1287"/>
    <w:rsid w:val="00CF5854"/>
    <w:rsid w:val="00D05287"/>
    <w:rsid w:val="00DB271E"/>
    <w:rsid w:val="00DC3498"/>
    <w:rsid w:val="00DE6346"/>
    <w:rsid w:val="00DF3632"/>
    <w:rsid w:val="00E45FB1"/>
    <w:rsid w:val="00E57039"/>
    <w:rsid w:val="00E70633"/>
    <w:rsid w:val="00EB00D7"/>
    <w:rsid w:val="00F00BAD"/>
    <w:rsid w:val="00F16F80"/>
    <w:rsid w:val="00FA2CD4"/>
    <w:rsid w:val="00FB08AF"/>
    <w:rsid w:val="00FB1447"/>
    <w:rsid w:val="00FD68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287"/>
    <w:pPr>
      <w:jc w:val="both"/>
    </w:pPr>
    <w:rPr>
      <w:rFonts w:ascii="Times New Roman" w:eastAsia="Times New Roman" w:hAnsi="Times New Roman"/>
      <w:sz w:val="24"/>
      <w:szCs w:val="22"/>
    </w:rPr>
  </w:style>
  <w:style w:type="paragraph" w:styleId="Titre1">
    <w:name w:val="heading 1"/>
    <w:basedOn w:val="Normal"/>
    <w:next w:val="Normal"/>
    <w:link w:val="Titre1Car"/>
    <w:qFormat/>
    <w:rsid w:val="0048255F"/>
    <w:pPr>
      <w:keepNext/>
      <w:ind w:left="34"/>
      <w:outlineLvl w:val="0"/>
    </w:pPr>
    <w:rPr>
      <w:b/>
      <w:bCs/>
      <w:sz w:val="36"/>
      <w:szCs w:val="36"/>
    </w:rPr>
  </w:style>
  <w:style w:type="paragraph" w:styleId="Titre2">
    <w:name w:val="heading 2"/>
    <w:basedOn w:val="Normal"/>
    <w:next w:val="Normal"/>
    <w:link w:val="Titre2Car"/>
    <w:qFormat/>
    <w:rsid w:val="0048255F"/>
    <w:pPr>
      <w:keepNext/>
      <w:ind w:left="34"/>
      <w:jc w:val="right"/>
      <w:outlineLvl w:val="1"/>
    </w:pPr>
    <w:rPr>
      <w:sz w:val="28"/>
      <w:szCs w:val="28"/>
    </w:rPr>
  </w:style>
  <w:style w:type="paragraph" w:styleId="Titre3">
    <w:name w:val="heading 3"/>
    <w:basedOn w:val="Normal"/>
    <w:next w:val="Normal"/>
    <w:link w:val="Titre3Car"/>
    <w:qFormat/>
    <w:rsid w:val="0048255F"/>
    <w:pPr>
      <w:keepNext/>
      <w:spacing w:line="259" w:lineRule="auto"/>
      <w:ind w:left="34"/>
      <w:jc w:val="center"/>
      <w:outlineLvl w:val="2"/>
    </w:pPr>
    <w:rPr>
      <w:b/>
      <w:sz w:val="32"/>
      <w:szCs w:val="32"/>
    </w:rPr>
  </w:style>
  <w:style w:type="paragraph" w:styleId="Titre6">
    <w:name w:val="heading 6"/>
    <w:basedOn w:val="Normal"/>
    <w:next w:val="Normal"/>
    <w:link w:val="Titre6Car"/>
    <w:qFormat/>
    <w:rsid w:val="0048255F"/>
    <w:pPr>
      <w:keepNext/>
      <w:shd w:val="clear" w:color="auto" w:fill="FFFFFF"/>
      <w:tabs>
        <w:tab w:val="left" w:pos="284"/>
        <w:tab w:val="left" w:pos="9356"/>
      </w:tabs>
      <w:ind w:left="34"/>
      <w:outlineLvl w:val="5"/>
    </w:pPr>
    <w:rPr>
      <w:b/>
      <w:bCs/>
      <w:color w:val="000000"/>
      <w:spacing w:val="-14"/>
      <w:sz w:val="22"/>
    </w:rPr>
  </w:style>
  <w:style w:type="paragraph" w:styleId="Titre8">
    <w:name w:val="heading 8"/>
    <w:basedOn w:val="Normal"/>
    <w:next w:val="Normal"/>
    <w:link w:val="Titre8Car"/>
    <w:qFormat/>
    <w:rsid w:val="00D05287"/>
    <w:pPr>
      <w:keepNext/>
      <w:tabs>
        <w:tab w:val="left" w:pos="284"/>
        <w:tab w:val="left" w:pos="9356"/>
      </w:tabs>
      <w:ind w:right="-427"/>
      <w:outlineLvl w:val="7"/>
    </w:pPr>
    <w:rPr>
      <w:b/>
      <w:bCs/>
      <w:spacing w:val="-15"/>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sid w:val="00D05287"/>
    <w:rPr>
      <w:rFonts w:ascii="Times New Roman" w:eastAsia="Times New Roman" w:hAnsi="Times New Roman" w:cs="Times New Roman"/>
      <w:b/>
      <w:bCs/>
      <w:spacing w:val="-15"/>
      <w:lang w:eastAsia="fr-FR"/>
    </w:rPr>
  </w:style>
  <w:style w:type="paragraph" w:styleId="Pieddepage">
    <w:name w:val="footer"/>
    <w:basedOn w:val="Normal"/>
    <w:link w:val="PieddepageCar"/>
    <w:uiPriority w:val="99"/>
    <w:rsid w:val="00D05287"/>
    <w:pPr>
      <w:tabs>
        <w:tab w:val="center" w:pos="4536"/>
        <w:tab w:val="right" w:pos="9072"/>
      </w:tabs>
    </w:pPr>
  </w:style>
  <w:style w:type="character" w:customStyle="1" w:styleId="PieddepageCar">
    <w:name w:val="Pied de page Car"/>
    <w:basedOn w:val="Policepardfaut"/>
    <w:link w:val="Pieddepage"/>
    <w:uiPriority w:val="99"/>
    <w:rsid w:val="00D05287"/>
    <w:rPr>
      <w:rFonts w:ascii="Times New Roman" w:eastAsia="Times New Roman" w:hAnsi="Times New Roman" w:cs="Times New Roman"/>
      <w:sz w:val="24"/>
      <w:lang w:eastAsia="fr-FR"/>
    </w:rPr>
  </w:style>
  <w:style w:type="character" w:styleId="Numrodepage">
    <w:name w:val="page number"/>
    <w:basedOn w:val="Policepardfaut"/>
    <w:uiPriority w:val="99"/>
    <w:rsid w:val="00D05287"/>
  </w:style>
  <w:style w:type="paragraph" w:styleId="Paragraphedeliste">
    <w:name w:val="List Paragraph"/>
    <w:basedOn w:val="Normal"/>
    <w:uiPriority w:val="34"/>
    <w:qFormat/>
    <w:rsid w:val="00541209"/>
    <w:pPr>
      <w:ind w:left="720"/>
      <w:contextualSpacing/>
    </w:pPr>
  </w:style>
  <w:style w:type="paragraph" w:customStyle="1" w:styleId="Appliquestiontexte">
    <w:name w:val="Appli question texte"/>
    <w:basedOn w:val="Normal"/>
    <w:rsid w:val="000F7DB6"/>
    <w:pPr>
      <w:tabs>
        <w:tab w:val="left" w:pos="900"/>
      </w:tabs>
      <w:spacing w:after="40"/>
      <w:ind w:left="900" w:hanging="540"/>
    </w:pPr>
    <w:rPr>
      <w:rFonts w:ascii="Arial" w:hAnsi="Arial" w:cs="Arial"/>
      <w:b/>
      <w:bCs/>
      <w:sz w:val="20"/>
      <w:szCs w:val="24"/>
    </w:rPr>
  </w:style>
  <w:style w:type="table" w:styleId="Grilledutableau">
    <w:name w:val="Table Grid"/>
    <w:basedOn w:val="TableauNormal"/>
    <w:uiPriority w:val="59"/>
    <w:rsid w:val="00CF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uiPriority w:val="22"/>
    <w:qFormat/>
    <w:rsid w:val="00966E49"/>
    <w:rPr>
      <w:b/>
      <w:bCs/>
    </w:rPr>
  </w:style>
  <w:style w:type="character" w:styleId="Lienhypertexte">
    <w:name w:val="Hyperlink"/>
    <w:basedOn w:val="Policepardfaut"/>
    <w:unhideWhenUsed/>
    <w:rsid w:val="00AB5454"/>
    <w:rPr>
      <w:color w:val="0000FF"/>
      <w:u w:val="single"/>
    </w:rPr>
  </w:style>
  <w:style w:type="character" w:customStyle="1" w:styleId="Titre1Car">
    <w:name w:val="Titre 1 Car"/>
    <w:basedOn w:val="Policepardfaut"/>
    <w:link w:val="Titre1"/>
    <w:rsid w:val="0048255F"/>
    <w:rPr>
      <w:rFonts w:ascii="Times New Roman" w:eastAsia="Times New Roman" w:hAnsi="Times New Roman" w:cs="Times New Roman"/>
      <w:b/>
      <w:bCs/>
      <w:sz w:val="36"/>
      <w:szCs w:val="36"/>
      <w:lang w:eastAsia="fr-FR"/>
    </w:rPr>
  </w:style>
  <w:style w:type="character" w:customStyle="1" w:styleId="Titre2Car">
    <w:name w:val="Titre 2 Car"/>
    <w:basedOn w:val="Policepardfaut"/>
    <w:link w:val="Titre2"/>
    <w:rsid w:val="0048255F"/>
    <w:rPr>
      <w:rFonts w:ascii="Times New Roman" w:eastAsia="Times New Roman" w:hAnsi="Times New Roman" w:cs="Times New Roman"/>
      <w:sz w:val="28"/>
      <w:szCs w:val="28"/>
      <w:lang w:eastAsia="fr-FR"/>
    </w:rPr>
  </w:style>
  <w:style w:type="character" w:customStyle="1" w:styleId="Titre3Car">
    <w:name w:val="Titre 3 Car"/>
    <w:basedOn w:val="Policepardfaut"/>
    <w:link w:val="Titre3"/>
    <w:rsid w:val="0048255F"/>
    <w:rPr>
      <w:rFonts w:ascii="Times New Roman" w:eastAsia="Times New Roman" w:hAnsi="Times New Roman" w:cs="Times New Roman"/>
      <w:b/>
      <w:sz w:val="32"/>
      <w:szCs w:val="32"/>
      <w:lang w:eastAsia="fr-FR"/>
    </w:rPr>
  </w:style>
  <w:style w:type="character" w:customStyle="1" w:styleId="Titre6Car">
    <w:name w:val="Titre 6 Car"/>
    <w:basedOn w:val="Policepardfaut"/>
    <w:link w:val="Titre6"/>
    <w:rsid w:val="0048255F"/>
    <w:rPr>
      <w:rFonts w:ascii="Times New Roman" w:eastAsia="Times New Roman" w:hAnsi="Times New Roman" w:cs="Times New Roman"/>
      <w:b/>
      <w:bCs/>
      <w:color w:val="000000"/>
      <w:spacing w:val="-14"/>
      <w:shd w:val="clear" w:color="auto" w:fill="FFFFFF"/>
      <w:lang w:eastAsia="fr-FR"/>
    </w:rPr>
  </w:style>
  <w:style w:type="paragraph" w:styleId="Titre">
    <w:name w:val="Title"/>
    <w:basedOn w:val="Normal"/>
    <w:link w:val="TitreCar"/>
    <w:qFormat/>
    <w:rsid w:val="0048255F"/>
    <w:pPr>
      <w:widowControl w:val="0"/>
      <w:overflowPunct w:val="0"/>
      <w:autoSpaceDE w:val="0"/>
      <w:autoSpaceDN w:val="0"/>
      <w:adjustRightInd w:val="0"/>
      <w:ind w:left="34"/>
      <w:jc w:val="center"/>
      <w:textAlignment w:val="baseline"/>
    </w:pPr>
    <w:rPr>
      <w:noProof/>
      <w:sz w:val="28"/>
      <w:szCs w:val="28"/>
    </w:rPr>
  </w:style>
  <w:style w:type="character" w:customStyle="1" w:styleId="TitreCar">
    <w:name w:val="Titre Car"/>
    <w:basedOn w:val="Policepardfaut"/>
    <w:link w:val="Titre"/>
    <w:rsid w:val="0048255F"/>
    <w:rPr>
      <w:rFonts w:ascii="Times New Roman" w:eastAsia="Times New Roman" w:hAnsi="Times New Roman" w:cs="Times New Roman"/>
      <w:noProof/>
      <w:sz w:val="28"/>
      <w:szCs w:val="28"/>
      <w:lang w:eastAsia="fr-FR"/>
    </w:rPr>
  </w:style>
  <w:style w:type="paragraph" w:styleId="En-tte">
    <w:name w:val="header"/>
    <w:basedOn w:val="Normal"/>
    <w:link w:val="En-tteCar"/>
    <w:unhideWhenUsed/>
    <w:rsid w:val="0048255F"/>
    <w:pPr>
      <w:tabs>
        <w:tab w:val="center" w:pos="4536"/>
        <w:tab w:val="right" w:pos="9072"/>
      </w:tabs>
    </w:pPr>
  </w:style>
  <w:style w:type="character" w:customStyle="1" w:styleId="En-tteCar">
    <w:name w:val="En-tête Car"/>
    <w:basedOn w:val="Policepardfaut"/>
    <w:link w:val="En-tte"/>
    <w:rsid w:val="0048255F"/>
    <w:rPr>
      <w:rFonts w:ascii="Times New Roman" w:eastAsia="Times New Roman" w:hAnsi="Times New Roman" w:cs="Times New Roman"/>
      <w:sz w:val="24"/>
      <w:lang w:eastAsia="fr-FR"/>
    </w:rPr>
  </w:style>
  <w:style w:type="paragraph" w:styleId="Sansinterligne">
    <w:name w:val="No Spacing"/>
    <w:uiPriority w:val="1"/>
    <w:qFormat/>
    <w:rsid w:val="00212FAC"/>
    <w:pPr>
      <w:jc w:val="both"/>
    </w:pPr>
    <w:rPr>
      <w:rFonts w:ascii="Times New Roman" w:eastAsia="Times New Roman"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287"/>
    <w:pPr>
      <w:jc w:val="both"/>
    </w:pPr>
    <w:rPr>
      <w:rFonts w:ascii="Times New Roman" w:eastAsia="Times New Roman" w:hAnsi="Times New Roman"/>
      <w:sz w:val="24"/>
      <w:szCs w:val="22"/>
    </w:rPr>
  </w:style>
  <w:style w:type="paragraph" w:styleId="Titre1">
    <w:name w:val="heading 1"/>
    <w:basedOn w:val="Normal"/>
    <w:next w:val="Normal"/>
    <w:link w:val="Titre1Car"/>
    <w:qFormat/>
    <w:rsid w:val="0048255F"/>
    <w:pPr>
      <w:keepNext/>
      <w:ind w:left="34"/>
      <w:outlineLvl w:val="0"/>
    </w:pPr>
    <w:rPr>
      <w:b/>
      <w:bCs/>
      <w:sz w:val="36"/>
      <w:szCs w:val="36"/>
    </w:rPr>
  </w:style>
  <w:style w:type="paragraph" w:styleId="Titre2">
    <w:name w:val="heading 2"/>
    <w:basedOn w:val="Normal"/>
    <w:next w:val="Normal"/>
    <w:link w:val="Titre2Car"/>
    <w:qFormat/>
    <w:rsid w:val="0048255F"/>
    <w:pPr>
      <w:keepNext/>
      <w:ind w:left="34"/>
      <w:jc w:val="right"/>
      <w:outlineLvl w:val="1"/>
    </w:pPr>
    <w:rPr>
      <w:sz w:val="28"/>
      <w:szCs w:val="28"/>
    </w:rPr>
  </w:style>
  <w:style w:type="paragraph" w:styleId="Titre3">
    <w:name w:val="heading 3"/>
    <w:basedOn w:val="Normal"/>
    <w:next w:val="Normal"/>
    <w:link w:val="Titre3Car"/>
    <w:qFormat/>
    <w:rsid w:val="0048255F"/>
    <w:pPr>
      <w:keepNext/>
      <w:spacing w:line="259" w:lineRule="auto"/>
      <w:ind w:left="34"/>
      <w:jc w:val="center"/>
      <w:outlineLvl w:val="2"/>
    </w:pPr>
    <w:rPr>
      <w:b/>
      <w:sz w:val="32"/>
      <w:szCs w:val="32"/>
    </w:rPr>
  </w:style>
  <w:style w:type="paragraph" w:styleId="Titre6">
    <w:name w:val="heading 6"/>
    <w:basedOn w:val="Normal"/>
    <w:next w:val="Normal"/>
    <w:link w:val="Titre6Car"/>
    <w:qFormat/>
    <w:rsid w:val="0048255F"/>
    <w:pPr>
      <w:keepNext/>
      <w:shd w:val="clear" w:color="auto" w:fill="FFFFFF"/>
      <w:tabs>
        <w:tab w:val="left" w:pos="284"/>
        <w:tab w:val="left" w:pos="9356"/>
      </w:tabs>
      <w:ind w:left="34"/>
      <w:outlineLvl w:val="5"/>
    </w:pPr>
    <w:rPr>
      <w:b/>
      <w:bCs/>
      <w:color w:val="000000"/>
      <w:spacing w:val="-14"/>
      <w:sz w:val="22"/>
    </w:rPr>
  </w:style>
  <w:style w:type="paragraph" w:styleId="Titre8">
    <w:name w:val="heading 8"/>
    <w:basedOn w:val="Normal"/>
    <w:next w:val="Normal"/>
    <w:link w:val="Titre8Car"/>
    <w:qFormat/>
    <w:rsid w:val="00D05287"/>
    <w:pPr>
      <w:keepNext/>
      <w:tabs>
        <w:tab w:val="left" w:pos="284"/>
        <w:tab w:val="left" w:pos="9356"/>
      </w:tabs>
      <w:ind w:right="-427"/>
      <w:outlineLvl w:val="7"/>
    </w:pPr>
    <w:rPr>
      <w:b/>
      <w:bCs/>
      <w:spacing w:val="-15"/>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sid w:val="00D05287"/>
    <w:rPr>
      <w:rFonts w:ascii="Times New Roman" w:eastAsia="Times New Roman" w:hAnsi="Times New Roman" w:cs="Times New Roman"/>
      <w:b/>
      <w:bCs/>
      <w:spacing w:val="-15"/>
      <w:lang w:eastAsia="fr-FR"/>
    </w:rPr>
  </w:style>
  <w:style w:type="paragraph" w:styleId="Pieddepage">
    <w:name w:val="footer"/>
    <w:basedOn w:val="Normal"/>
    <w:link w:val="PieddepageCar"/>
    <w:uiPriority w:val="99"/>
    <w:rsid w:val="00D05287"/>
    <w:pPr>
      <w:tabs>
        <w:tab w:val="center" w:pos="4536"/>
        <w:tab w:val="right" w:pos="9072"/>
      </w:tabs>
    </w:pPr>
  </w:style>
  <w:style w:type="character" w:customStyle="1" w:styleId="PieddepageCar">
    <w:name w:val="Pied de page Car"/>
    <w:basedOn w:val="Policepardfaut"/>
    <w:link w:val="Pieddepage"/>
    <w:uiPriority w:val="99"/>
    <w:rsid w:val="00D05287"/>
    <w:rPr>
      <w:rFonts w:ascii="Times New Roman" w:eastAsia="Times New Roman" w:hAnsi="Times New Roman" w:cs="Times New Roman"/>
      <w:sz w:val="24"/>
      <w:lang w:eastAsia="fr-FR"/>
    </w:rPr>
  </w:style>
  <w:style w:type="character" w:styleId="Numrodepage">
    <w:name w:val="page number"/>
    <w:basedOn w:val="Policepardfaut"/>
    <w:uiPriority w:val="99"/>
    <w:rsid w:val="00D05287"/>
  </w:style>
  <w:style w:type="paragraph" w:styleId="Paragraphedeliste">
    <w:name w:val="List Paragraph"/>
    <w:basedOn w:val="Normal"/>
    <w:uiPriority w:val="34"/>
    <w:qFormat/>
    <w:rsid w:val="00541209"/>
    <w:pPr>
      <w:ind w:left="720"/>
      <w:contextualSpacing/>
    </w:pPr>
  </w:style>
  <w:style w:type="paragraph" w:customStyle="1" w:styleId="Appliquestiontexte">
    <w:name w:val="Appli question texte"/>
    <w:basedOn w:val="Normal"/>
    <w:rsid w:val="000F7DB6"/>
    <w:pPr>
      <w:tabs>
        <w:tab w:val="left" w:pos="900"/>
      </w:tabs>
      <w:spacing w:after="40"/>
      <w:ind w:left="900" w:hanging="540"/>
    </w:pPr>
    <w:rPr>
      <w:rFonts w:ascii="Arial" w:hAnsi="Arial" w:cs="Arial"/>
      <w:b/>
      <w:bCs/>
      <w:sz w:val="20"/>
      <w:szCs w:val="24"/>
    </w:rPr>
  </w:style>
  <w:style w:type="table" w:styleId="Grilledutableau">
    <w:name w:val="Table Grid"/>
    <w:basedOn w:val="TableauNormal"/>
    <w:uiPriority w:val="59"/>
    <w:rsid w:val="00CF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uiPriority w:val="22"/>
    <w:qFormat/>
    <w:rsid w:val="00966E49"/>
    <w:rPr>
      <w:b/>
      <w:bCs/>
    </w:rPr>
  </w:style>
  <w:style w:type="character" w:styleId="Lienhypertexte">
    <w:name w:val="Hyperlink"/>
    <w:basedOn w:val="Policepardfaut"/>
    <w:unhideWhenUsed/>
    <w:rsid w:val="00AB5454"/>
    <w:rPr>
      <w:color w:val="0000FF"/>
      <w:u w:val="single"/>
    </w:rPr>
  </w:style>
  <w:style w:type="character" w:customStyle="1" w:styleId="Titre1Car">
    <w:name w:val="Titre 1 Car"/>
    <w:basedOn w:val="Policepardfaut"/>
    <w:link w:val="Titre1"/>
    <w:rsid w:val="0048255F"/>
    <w:rPr>
      <w:rFonts w:ascii="Times New Roman" w:eastAsia="Times New Roman" w:hAnsi="Times New Roman" w:cs="Times New Roman"/>
      <w:b/>
      <w:bCs/>
      <w:sz w:val="36"/>
      <w:szCs w:val="36"/>
      <w:lang w:eastAsia="fr-FR"/>
    </w:rPr>
  </w:style>
  <w:style w:type="character" w:customStyle="1" w:styleId="Titre2Car">
    <w:name w:val="Titre 2 Car"/>
    <w:basedOn w:val="Policepardfaut"/>
    <w:link w:val="Titre2"/>
    <w:rsid w:val="0048255F"/>
    <w:rPr>
      <w:rFonts w:ascii="Times New Roman" w:eastAsia="Times New Roman" w:hAnsi="Times New Roman" w:cs="Times New Roman"/>
      <w:sz w:val="28"/>
      <w:szCs w:val="28"/>
      <w:lang w:eastAsia="fr-FR"/>
    </w:rPr>
  </w:style>
  <w:style w:type="character" w:customStyle="1" w:styleId="Titre3Car">
    <w:name w:val="Titre 3 Car"/>
    <w:basedOn w:val="Policepardfaut"/>
    <w:link w:val="Titre3"/>
    <w:rsid w:val="0048255F"/>
    <w:rPr>
      <w:rFonts w:ascii="Times New Roman" w:eastAsia="Times New Roman" w:hAnsi="Times New Roman" w:cs="Times New Roman"/>
      <w:b/>
      <w:sz w:val="32"/>
      <w:szCs w:val="32"/>
      <w:lang w:eastAsia="fr-FR"/>
    </w:rPr>
  </w:style>
  <w:style w:type="character" w:customStyle="1" w:styleId="Titre6Car">
    <w:name w:val="Titre 6 Car"/>
    <w:basedOn w:val="Policepardfaut"/>
    <w:link w:val="Titre6"/>
    <w:rsid w:val="0048255F"/>
    <w:rPr>
      <w:rFonts w:ascii="Times New Roman" w:eastAsia="Times New Roman" w:hAnsi="Times New Roman" w:cs="Times New Roman"/>
      <w:b/>
      <w:bCs/>
      <w:color w:val="000000"/>
      <w:spacing w:val="-14"/>
      <w:shd w:val="clear" w:color="auto" w:fill="FFFFFF"/>
      <w:lang w:eastAsia="fr-FR"/>
    </w:rPr>
  </w:style>
  <w:style w:type="paragraph" w:styleId="Titre">
    <w:name w:val="Title"/>
    <w:basedOn w:val="Normal"/>
    <w:link w:val="TitreCar"/>
    <w:qFormat/>
    <w:rsid w:val="0048255F"/>
    <w:pPr>
      <w:widowControl w:val="0"/>
      <w:overflowPunct w:val="0"/>
      <w:autoSpaceDE w:val="0"/>
      <w:autoSpaceDN w:val="0"/>
      <w:adjustRightInd w:val="0"/>
      <w:ind w:left="34"/>
      <w:jc w:val="center"/>
      <w:textAlignment w:val="baseline"/>
    </w:pPr>
    <w:rPr>
      <w:noProof/>
      <w:sz w:val="28"/>
      <w:szCs w:val="28"/>
    </w:rPr>
  </w:style>
  <w:style w:type="character" w:customStyle="1" w:styleId="TitreCar">
    <w:name w:val="Titre Car"/>
    <w:basedOn w:val="Policepardfaut"/>
    <w:link w:val="Titre"/>
    <w:rsid w:val="0048255F"/>
    <w:rPr>
      <w:rFonts w:ascii="Times New Roman" w:eastAsia="Times New Roman" w:hAnsi="Times New Roman" w:cs="Times New Roman"/>
      <w:noProof/>
      <w:sz w:val="28"/>
      <w:szCs w:val="28"/>
      <w:lang w:eastAsia="fr-FR"/>
    </w:rPr>
  </w:style>
  <w:style w:type="paragraph" w:styleId="En-tte">
    <w:name w:val="header"/>
    <w:basedOn w:val="Normal"/>
    <w:link w:val="En-tteCar"/>
    <w:unhideWhenUsed/>
    <w:rsid w:val="0048255F"/>
    <w:pPr>
      <w:tabs>
        <w:tab w:val="center" w:pos="4536"/>
        <w:tab w:val="right" w:pos="9072"/>
      </w:tabs>
    </w:pPr>
  </w:style>
  <w:style w:type="character" w:customStyle="1" w:styleId="En-tteCar">
    <w:name w:val="En-tête Car"/>
    <w:basedOn w:val="Policepardfaut"/>
    <w:link w:val="En-tte"/>
    <w:rsid w:val="0048255F"/>
    <w:rPr>
      <w:rFonts w:ascii="Times New Roman" w:eastAsia="Times New Roman" w:hAnsi="Times New Roman" w:cs="Times New Roman"/>
      <w:sz w:val="24"/>
      <w:lang w:eastAsia="fr-FR"/>
    </w:rPr>
  </w:style>
  <w:style w:type="paragraph" w:styleId="Sansinterligne">
    <w:name w:val="No Spacing"/>
    <w:uiPriority w:val="1"/>
    <w:qFormat/>
    <w:rsid w:val="00212FAC"/>
    <w:pPr>
      <w:jc w:val="both"/>
    </w:pPr>
    <w:rPr>
      <w:rFonts w:ascii="Times New Roman" w:eastAsia="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230">
      <w:bodyDiv w:val="1"/>
      <w:marLeft w:val="0"/>
      <w:marRight w:val="0"/>
      <w:marTop w:val="0"/>
      <w:marBottom w:val="0"/>
      <w:divBdr>
        <w:top w:val="none" w:sz="0" w:space="0" w:color="auto"/>
        <w:left w:val="none" w:sz="0" w:space="0" w:color="auto"/>
        <w:bottom w:val="none" w:sz="0" w:space="0" w:color="auto"/>
        <w:right w:val="none" w:sz="0" w:space="0" w:color="auto"/>
      </w:divBdr>
    </w:div>
    <w:div w:id="127406334">
      <w:bodyDiv w:val="1"/>
      <w:marLeft w:val="0"/>
      <w:marRight w:val="0"/>
      <w:marTop w:val="0"/>
      <w:marBottom w:val="0"/>
      <w:divBdr>
        <w:top w:val="none" w:sz="0" w:space="0" w:color="auto"/>
        <w:left w:val="none" w:sz="0" w:space="0" w:color="auto"/>
        <w:bottom w:val="none" w:sz="0" w:space="0" w:color="auto"/>
        <w:right w:val="none" w:sz="0" w:space="0" w:color="auto"/>
      </w:divBdr>
    </w:div>
    <w:div w:id="187528524">
      <w:bodyDiv w:val="1"/>
      <w:marLeft w:val="0"/>
      <w:marRight w:val="0"/>
      <w:marTop w:val="0"/>
      <w:marBottom w:val="0"/>
      <w:divBdr>
        <w:top w:val="none" w:sz="0" w:space="0" w:color="auto"/>
        <w:left w:val="none" w:sz="0" w:space="0" w:color="auto"/>
        <w:bottom w:val="none" w:sz="0" w:space="0" w:color="auto"/>
        <w:right w:val="none" w:sz="0" w:space="0" w:color="auto"/>
      </w:divBdr>
    </w:div>
    <w:div w:id="249778394">
      <w:bodyDiv w:val="1"/>
      <w:marLeft w:val="0"/>
      <w:marRight w:val="0"/>
      <w:marTop w:val="0"/>
      <w:marBottom w:val="0"/>
      <w:divBdr>
        <w:top w:val="none" w:sz="0" w:space="0" w:color="auto"/>
        <w:left w:val="none" w:sz="0" w:space="0" w:color="auto"/>
        <w:bottom w:val="none" w:sz="0" w:space="0" w:color="auto"/>
        <w:right w:val="none" w:sz="0" w:space="0" w:color="auto"/>
      </w:divBdr>
    </w:div>
    <w:div w:id="635841960">
      <w:bodyDiv w:val="1"/>
      <w:marLeft w:val="0"/>
      <w:marRight w:val="0"/>
      <w:marTop w:val="0"/>
      <w:marBottom w:val="0"/>
      <w:divBdr>
        <w:top w:val="none" w:sz="0" w:space="0" w:color="auto"/>
        <w:left w:val="none" w:sz="0" w:space="0" w:color="auto"/>
        <w:bottom w:val="none" w:sz="0" w:space="0" w:color="auto"/>
        <w:right w:val="none" w:sz="0" w:space="0" w:color="auto"/>
      </w:divBdr>
    </w:div>
    <w:div w:id="683702150">
      <w:bodyDiv w:val="1"/>
      <w:marLeft w:val="0"/>
      <w:marRight w:val="0"/>
      <w:marTop w:val="0"/>
      <w:marBottom w:val="0"/>
      <w:divBdr>
        <w:top w:val="none" w:sz="0" w:space="0" w:color="auto"/>
        <w:left w:val="none" w:sz="0" w:space="0" w:color="auto"/>
        <w:bottom w:val="none" w:sz="0" w:space="0" w:color="auto"/>
        <w:right w:val="none" w:sz="0" w:space="0" w:color="auto"/>
      </w:divBdr>
    </w:div>
    <w:div w:id="731318978">
      <w:bodyDiv w:val="1"/>
      <w:marLeft w:val="0"/>
      <w:marRight w:val="0"/>
      <w:marTop w:val="0"/>
      <w:marBottom w:val="0"/>
      <w:divBdr>
        <w:top w:val="none" w:sz="0" w:space="0" w:color="auto"/>
        <w:left w:val="none" w:sz="0" w:space="0" w:color="auto"/>
        <w:bottom w:val="none" w:sz="0" w:space="0" w:color="auto"/>
        <w:right w:val="none" w:sz="0" w:space="0" w:color="auto"/>
      </w:divBdr>
    </w:div>
    <w:div w:id="849954071">
      <w:bodyDiv w:val="1"/>
      <w:marLeft w:val="0"/>
      <w:marRight w:val="0"/>
      <w:marTop w:val="0"/>
      <w:marBottom w:val="0"/>
      <w:divBdr>
        <w:top w:val="none" w:sz="0" w:space="0" w:color="auto"/>
        <w:left w:val="none" w:sz="0" w:space="0" w:color="auto"/>
        <w:bottom w:val="none" w:sz="0" w:space="0" w:color="auto"/>
        <w:right w:val="none" w:sz="0" w:space="0" w:color="auto"/>
      </w:divBdr>
    </w:div>
    <w:div w:id="1225070370">
      <w:bodyDiv w:val="1"/>
      <w:marLeft w:val="0"/>
      <w:marRight w:val="0"/>
      <w:marTop w:val="0"/>
      <w:marBottom w:val="0"/>
      <w:divBdr>
        <w:top w:val="none" w:sz="0" w:space="0" w:color="auto"/>
        <w:left w:val="none" w:sz="0" w:space="0" w:color="auto"/>
        <w:bottom w:val="none" w:sz="0" w:space="0" w:color="auto"/>
        <w:right w:val="none" w:sz="0" w:space="0" w:color="auto"/>
      </w:divBdr>
    </w:div>
    <w:div w:id="1617760633">
      <w:bodyDiv w:val="1"/>
      <w:marLeft w:val="0"/>
      <w:marRight w:val="0"/>
      <w:marTop w:val="0"/>
      <w:marBottom w:val="0"/>
      <w:divBdr>
        <w:top w:val="none" w:sz="0" w:space="0" w:color="auto"/>
        <w:left w:val="none" w:sz="0" w:space="0" w:color="auto"/>
        <w:bottom w:val="none" w:sz="0" w:space="0" w:color="auto"/>
        <w:right w:val="none" w:sz="0" w:space="0" w:color="auto"/>
      </w:divBdr>
    </w:div>
    <w:div w:id="1711107225">
      <w:bodyDiv w:val="1"/>
      <w:marLeft w:val="0"/>
      <w:marRight w:val="0"/>
      <w:marTop w:val="0"/>
      <w:marBottom w:val="0"/>
      <w:divBdr>
        <w:top w:val="none" w:sz="0" w:space="0" w:color="auto"/>
        <w:left w:val="none" w:sz="0" w:space="0" w:color="auto"/>
        <w:bottom w:val="none" w:sz="0" w:space="0" w:color="auto"/>
        <w:right w:val="none" w:sz="0" w:space="0" w:color="auto"/>
      </w:divBdr>
    </w:div>
    <w:div w:id="1822386918">
      <w:bodyDiv w:val="1"/>
      <w:marLeft w:val="0"/>
      <w:marRight w:val="0"/>
      <w:marTop w:val="0"/>
      <w:marBottom w:val="0"/>
      <w:divBdr>
        <w:top w:val="none" w:sz="0" w:space="0" w:color="auto"/>
        <w:left w:val="none" w:sz="0" w:space="0" w:color="auto"/>
        <w:bottom w:val="none" w:sz="0" w:space="0" w:color="auto"/>
        <w:right w:val="none" w:sz="0" w:space="0" w:color="auto"/>
      </w:divBdr>
    </w:div>
    <w:div w:id="208706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1832</Words>
  <Characters>10082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IAE Poitiers</Company>
  <LinksUpToDate>false</LinksUpToDate>
  <CharactersWithSpaces>11891</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2014-04-05T19:25:00Z</cp:lastPrinted>
  <dcterms:created xsi:type="dcterms:W3CDTF">2014-04-05T19:24:00Z</dcterms:created>
  <dcterms:modified xsi:type="dcterms:W3CDTF">2014-04-05T19:25:00Z</dcterms:modified>
</cp:coreProperties>
</file>