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4B" w:rsidRDefault="00394D22" w:rsidP="00394D22">
      <w:pPr>
        <w:autoSpaceDE w:val="0"/>
        <w:autoSpaceDN w:val="0"/>
        <w:adjustRightInd w:val="0"/>
        <w:jc w:val="center"/>
        <w:rPr>
          <w:rFonts w:ascii="Times New Roman" w:hAnsi="Times New Roman"/>
          <w:b/>
          <w:bCs/>
          <w:sz w:val="28"/>
          <w:szCs w:val="28"/>
        </w:rPr>
      </w:pPr>
      <w:r>
        <w:rPr>
          <w:rFonts w:ascii="Times New Roman" w:hAnsi="Times New Roman"/>
          <w:b/>
          <w:bCs/>
          <w:sz w:val="28"/>
          <w:szCs w:val="28"/>
        </w:rPr>
        <w:t>DSC</w:t>
      </w:r>
      <w:bookmarkStart w:id="0" w:name="_GoBack"/>
      <w:bookmarkEnd w:id="0"/>
      <w:r>
        <w:rPr>
          <w:rFonts w:ascii="Times New Roman" w:hAnsi="Times New Roman"/>
          <w:b/>
          <w:bCs/>
          <w:sz w:val="28"/>
          <w:szCs w:val="28"/>
        </w:rPr>
        <w:t xml:space="preserve">G - </w:t>
      </w:r>
      <w:r w:rsidR="009E634B">
        <w:rPr>
          <w:rFonts w:ascii="Times New Roman" w:hAnsi="Times New Roman"/>
          <w:b/>
          <w:bCs/>
          <w:sz w:val="28"/>
          <w:szCs w:val="28"/>
        </w:rPr>
        <w:t>SESSION 2011</w:t>
      </w:r>
    </w:p>
    <w:p w:rsidR="002B017F" w:rsidRDefault="009E634B" w:rsidP="00394D22">
      <w:pPr>
        <w:jc w:val="center"/>
        <w:rPr>
          <w:rFonts w:ascii="Times New Roman" w:hAnsi="Times New Roman"/>
          <w:b/>
          <w:bCs/>
          <w:sz w:val="32"/>
          <w:szCs w:val="32"/>
        </w:rPr>
      </w:pPr>
      <w:r>
        <w:rPr>
          <w:rFonts w:ascii="Times New Roman" w:hAnsi="Times New Roman"/>
          <w:b/>
          <w:bCs/>
          <w:sz w:val="32"/>
          <w:szCs w:val="32"/>
        </w:rPr>
        <w:t>UE 1 - GESTION JURIDIQUE, FISCALE ET SOCIALE</w:t>
      </w:r>
    </w:p>
    <w:p w:rsidR="009E634B" w:rsidRDefault="009E634B" w:rsidP="009E634B">
      <w:pPr>
        <w:rPr>
          <w:rFonts w:ascii="Times New Roman" w:hAnsi="Times New Roman"/>
          <w:b/>
          <w:bCs/>
          <w:sz w:val="32"/>
          <w:szCs w:val="32"/>
        </w:rPr>
      </w:pPr>
    </w:p>
    <w:p w:rsidR="009E634B" w:rsidRDefault="009E634B" w:rsidP="009E634B">
      <w:pPr>
        <w:rPr>
          <w:rFonts w:ascii="Times New Roman" w:hAnsi="Times New Roman"/>
          <w:b/>
          <w:bCs/>
          <w:sz w:val="32"/>
          <w:szCs w:val="32"/>
        </w:rPr>
      </w:pPr>
    </w:p>
    <w:p w:rsidR="009E634B" w:rsidRDefault="009E634B" w:rsidP="00144AE7">
      <w:pPr>
        <w:jc w:val="center"/>
        <w:rPr>
          <w:rFonts w:ascii="Times New Roman" w:hAnsi="Times New Roman"/>
          <w:b/>
          <w:bCs/>
          <w:sz w:val="28"/>
          <w:szCs w:val="28"/>
        </w:rPr>
      </w:pPr>
      <w:r>
        <w:rPr>
          <w:rFonts w:ascii="Times New Roman" w:hAnsi="Times New Roman"/>
          <w:b/>
          <w:bCs/>
          <w:sz w:val="28"/>
          <w:szCs w:val="28"/>
        </w:rPr>
        <w:t>Éléments indicatifs de corrigé</w:t>
      </w:r>
    </w:p>
    <w:p w:rsidR="009E634B" w:rsidRDefault="009E634B" w:rsidP="009E634B">
      <w:pPr>
        <w:rPr>
          <w:rFonts w:ascii="Times New Roman" w:hAnsi="Times New Roman"/>
          <w:b/>
          <w:bCs/>
          <w:sz w:val="28"/>
          <w:szCs w:val="28"/>
        </w:rPr>
      </w:pPr>
    </w:p>
    <w:p w:rsidR="009E634B" w:rsidRDefault="009E634B" w:rsidP="009E634B">
      <w:pPr>
        <w:rPr>
          <w:rFonts w:ascii="Times New Roman" w:hAnsi="Times New Roman"/>
          <w:b/>
          <w:bCs/>
          <w:sz w:val="28"/>
          <w:szCs w:val="28"/>
        </w:rPr>
      </w:pPr>
    </w:p>
    <w:p w:rsidR="009E634B" w:rsidRDefault="009E634B" w:rsidP="009E634B">
      <w:pPr>
        <w:rPr>
          <w:rFonts w:ascii="Times New Roman" w:hAnsi="Times New Roman"/>
          <w:b/>
          <w:bCs/>
          <w:sz w:val="28"/>
          <w:szCs w:val="28"/>
        </w:rPr>
      </w:pPr>
    </w:p>
    <w:p w:rsidR="009E634B" w:rsidRDefault="009E634B" w:rsidP="000D0CC7">
      <w:pPr>
        <w:jc w:val="center"/>
        <w:rPr>
          <w:rFonts w:ascii="Times New Roman" w:hAnsi="Times New Roman"/>
          <w:b/>
          <w:bCs/>
          <w:sz w:val="24"/>
          <w:szCs w:val="24"/>
        </w:rPr>
      </w:pPr>
      <w:r>
        <w:rPr>
          <w:rFonts w:ascii="Times New Roman" w:hAnsi="Times New Roman"/>
          <w:b/>
          <w:bCs/>
          <w:sz w:val="24"/>
          <w:szCs w:val="24"/>
        </w:rPr>
        <w:t>DOSSIER 1</w:t>
      </w:r>
    </w:p>
    <w:p w:rsidR="009E634B" w:rsidRDefault="009E634B" w:rsidP="009E634B">
      <w:pPr>
        <w:rPr>
          <w:rFonts w:ascii="Times New Roman" w:hAnsi="Times New Roman"/>
          <w:b/>
          <w:bCs/>
          <w:sz w:val="24"/>
          <w:szCs w:val="24"/>
        </w:rPr>
      </w:pPr>
    </w:p>
    <w:p w:rsidR="009E634B" w:rsidRDefault="009E634B" w:rsidP="009E634B">
      <w:pPr>
        <w:rPr>
          <w:rFonts w:ascii="Times New Roman" w:hAnsi="Times New Roman"/>
          <w:b/>
          <w:bCs/>
          <w:sz w:val="24"/>
          <w:szCs w:val="24"/>
        </w:rPr>
      </w:pPr>
    </w:p>
    <w:p w:rsidR="009E634B" w:rsidRDefault="009E634B" w:rsidP="000D0CC7">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1. </w:t>
      </w:r>
      <w:r>
        <w:rPr>
          <w:rFonts w:ascii="Times New Roman" w:hAnsi="Times New Roman"/>
          <w:b/>
          <w:bCs/>
          <w:sz w:val="24"/>
          <w:szCs w:val="24"/>
        </w:rPr>
        <w:t>Rappeler la définition juridique du compromis de vente et indiquer ce qui différencie le compromis de vente de la promesse unilatérale de vente.</w:t>
      </w:r>
    </w:p>
    <w:p w:rsidR="009E634B" w:rsidRDefault="009E634B" w:rsidP="009E634B">
      <w:pPr>
        <w:rPr>
          <w:rFonts w:ascii="Times New Roman" w:hAnsi="Times New Roman"/>
          <w:b/>
          <w:bCs/>
          <w:sz w:val="24"/>
          <w:szCs w:val="24"/>
        </w:rPr>
      </w:pPr>
    </w:p>
    <w:p w:rsidR="00E958E1" w:rsidRDefault="00E958E1" w:rsidP="004D02B4">
      <w:p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Le compromis de vente </w:t>
      </w:r>
      <w:r>
        <w:rPr>
          <w:rFonts w:ascii="Times New Roman" w:hAnsi="Times New Roman"/>
          <w:sz w:val="24"/>
          <w:szCs w:val="24"/>
        </w:rPr>
        <w:t xml:space="preserve">est un contrat synallagmatique </w:t>
      </w:r>
      <w:r>
        <w:rPr>
          <w:rFonts w:ascii="Times New Roman" w:hAnsi="Times New Roman"/>
          <w:i/>
          <w:iCs/>
          <w:sz w:val="24"/>
          <w:szCs w:val="24"/>
        </w:rPr>
        <w:t xml:space="preserve"> </w:t>
      </w:r>
      <w:r w:rsidR="004D02B4">
        <w:rPr>
          <w:rFonts w:ascii="Times New Roman" w:hAnsi="Times New Roman"/>
          <w:sz w:val="24"/>
          <w:szCs w:val="24"/>
        </w:rPr>
        <w:t xml:space="preserve">comportant une promesse de </w:t>
      </w:r>
      <w:r>
        <w:rPr>
          <w:rFonts w:ascii="Times New Roman" w:hAnsi="Times New Roman"/>
          <w:sz w:val="24"/>
          <w:szCs w:val="24"/>
        </w:rPr>
        <w:t>vente et une promesse d’achat, constatant l’accord sur la chose et sur le prix.</w:t>
      </w:r>
    </w:p>
    <w:p w:rsidR="00E958E1" w:rsidRDefault="00E958E1" w:rsidP="004D02B4">
      <w:pPr>
        <w:autoSpaceDE w:val="0"/>
        <w:autoSpaceDN w:val="0"/>
        <w:adjustRightInd w:val="0"/>
        <w:jc w:val="both"/>
        <w:rPr>
          <w:rFonts w:ascii="Times New Roman" w:hAnsi="Times New Roman"/>
          <w:sz w:val="24"/>
          <w:szCs w:val="24"/>
        </w:rPr>
      </w:pPr>
      <w:r>
        <w:rPr>
          <w:rFonts w:ascii="Times New Roman" w:hAnsi="Times New Roman"/>
          <w:sz w:val="24"/>
          <w:szCs w:val="24"/>
        </w:rPr>
        <w:t xml:space="preserve">La promesse synallagmatique a valeur de vente lorsqu’il y a accord des deux </w:t>
      </w:r>
      <w:r w:rsidR="004D02B4">
        <w:rPr>
          <w:rFonts w:ascii="Times New Roman" w:hAnsi="Times New Roman"/>
          <w:sz w:val="24"/>
          <w:szCs w:val="24"/>
        </w:rPr>
        <w:t xml:space="preserve">parties sur la </w:t>
      </w:r>
      <w:r>
        <w:rPr>
          <w:rFonts w:ascii="Times New Roman" w:hAnsi="Times New Roman"/>
          <w:sz w:val="24"/>
          <w:szCs w:val="24"/>
        </w:rPr>
        <w:t>chose et sur le prix (Code civil, art. 1589). Au cas d’esp</w:t>
      </w:r>
      <w:r w:rsidR="004D02B4">
        <w:rPr>
          <w:rFonts w:ascii="Times New Roman" w:hAnsi="Times New Roman"/>
          <w:sz w:val="24"/>
          <w:szCs w:val="24"/>
        </w:rPr>
        <w:t xml:space="preserve">èce, M. ROMAIN promet de vendre </w:t>
      </w:r>
      <w:r>
        <w:rPr>
          <w:rFonts w:ascii="Times New Roman" w:hAnsi="Times New Roman"/>
          <w:sz w:val="24"/>
          <w:szCs w:val="24"/>
        </w:rPr>
        <w:t>son fonds de commerce et M. GUILLAUME promet de le l</w:t>
      </w:r>
      <w:r w:rsidR="004D02B4">
        <w:rPr>
          <w:rFonts w:ascii="Times New Roman" w:hAnsi="Times New Roman"/>
          <w:sz w:val="24"/>
          <w:szCs w:val="24"/>
        </w:rPr>
        <w:t xml:space="preserve">ui acheter. Comme il y a accord </w:t>
      </w:r>
      <w:r>
        <w:rPr>
          <w:rFonts w:ascii="Times New Roman" w:hAnsi="Times New Roman"/>
          <w:sz w:val="24"/>
          <w:szCs w:val="24"/>
        </w:rPr>
        <w:t>sur la chose et sur le prix, en principe la vente est formée</w:t>
      </w:r>
      <w:r w:rsidR="004D02B4">
        <w:rPr>
          <w:rFonts w:ascii="Times New Roman" w:hAnsi="Times New Roman"/>
          <w:sz w:val="24"/>
          <w:szCs w:val="24"/>
        </w:rPr>
        <w:t>.</w:t>
      </w:r>
    </w:p>
    <w:p w:rsidR="004D02B4" w:rsidRDefault="004D02B4" w:rsidP="004D02B4">
      <w:pPr>
        <w:autoSpaceDE w:val="0"/>
        <w:autoSpaceDN w:val="0"/>
        <w:adjustRightInd w:val="0"/>
        <w:jc w:val="both"/>
        <w:rPr>
          <w:rFonts w:ascii="Times New Roman" w:hAnsi="Times New Roman"/>
          <w:sz w:val="24"/>
          <w:szCs w:val="24"/>
        </w:rPr>
      </w:pPr>
    </w:p>
    <w:p w:rsidR="004D02B4" w:rsidRDefault="004D02B4" w:rsidP="004D02B4">
      <w:pPr>
        <w:autoSpaceDE w:val="0"/>
        <w:autoSpaceDN w:val="0"/>
        <w:adjustRightInd w:val="0"/>
        <w:jc w:val="both"/>
        <w:rPr>
          <w:rFonts w:ascii="Times New Roman" w:hAnsi="Times New Roman"/>
          <w:sz w:val="24"/>
          <w:szCs w:val="24"/>
        </w:rPr>
      </w:pPr>
      <w:r>
        <w:rPr>
          <w:rFonts w:ascii="Times New Roman" w:hAnsi="Times New Roman"/>
          <w:sz w:val="24"/>
          <w:szCs w:val="24"/>
        </w:rPr>
        <w:t xml:space="preserve">Dans la </w:t>
      </w:r>
      <w:r>
        <w:rPr>
          <w:rFonts w:ascii="Times New Roman" w:hAnsi="Times New Roman"/>
          <w:i/>
          <w:iCs/>
          <w:sz w:val="24"/>
          <w:szCs w:val="24"/>
        </w:rPr>
        <w:t>promesse unilatérale de vente</w:t>
      </w:r>
      <w:r>
        <w:rPr>
          <w:rFonts w:ascii="Times New Roman" w:hAnsi="Times New Roman"/>
          <w:sz w:val="24"/>
          <w:szCs w:val="24"/>
        </w:rPr>
        <w:t>, une seule partie s’engage, le vendeur. L’acquéreur, lui, se limite à accepter la promesse de vente sans pour autant s’engager. La promesse unilatérale de vente détermine généralement les conditions dans lesquelles l’acquéreur pourra effectivement lever l’option d’achat.</w:t>
      </w:r>
    </w:p>
    <w:p w:rsidR="004D02B4" w:rsidRDefault="004D02B4" w:rsidP="004D02B4">
      <w:pPr>
        <w:autoSpaceDE w:val="0"/>
        <w:autoSpaceDN w:val="0"/>
        <w:adjustRightInd w:val="0"/>
        <w:jc w:val="both"/>
        <w:rPr>
          <w:rFonts w:ascii="Times New Roman" w:hAnsi="Times New Roman"/>
          <w:sz w:val="24"/>
          <w:szCs w:val="24"/>
        </w:rPr>
      </w:pPr>
    </w:p>
    <w:p w:rsidR="004D02B4" w:rsidRPr="000D0CC7" w:rsidRDefault="000D0CC7" w:rsidP="000D0CC7">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2. </w:t>
      </w:r>
      <w:r>
        <w:rPr>
          <w:rFonts w:ascii="Times New Roman" w:hAnsi="Times New Roman"/>
          <w:b/>
          <w:bCs/>
          <w:sz w:val="24"/>
          <w:szCs w:val="24"/>
        </w:rPr>
        <w:t>Dans l’hypothèse où la cession se réaliserait, quelles sont les mentions qui devront obligatoirement figurer dans l’acte de cession du fonds de commerce (en dehors des mentions liées à l’identité des parties) ? Quelle sanction pourrait résulter de l’absence de l’une de ces mentions ?</w:t>
      </w:r>
    </w:p>
    <w:p w:rsidR="009E634B" w:rsidRDefault="009E634B" w:rsidP="009E634B"/>
    <w:p w:rsidR="000D0CC7" w:rsidRDefault="00031874" w:rsidP="00031874">
      <w:pPr>
        <w:autoSpaceDE w:val="0"/>
        <w:autoSpaceDN w:val="0"/>
        <w:adjustRightInd w:val="0"/>
        <w:jc w:val="both"/>
        <w:rPr>
          <w:rFonts w:ascii="Times New Roman" w:hAnsi="Times New Roman"/>
          <w:sz w:val="24"/>
          <w:szCs w:val="24"/>
        </w:rPr>
      </w:pPr>
      <w:r>
        <w:rPr>
          <w:rFonts w:ascii="Times New Roman" w:hAnsi="Times New Roman"/>
          <w:sz w:val="24"/>
          <w:szCs w:val="24"/>
        </w:rPr>
        <w:t>Dans l’acte constatant la cession du fonds de commerce, il doit apparaître (Code de commerce, art. L 141-1)</w:t>
      </w:r>
      <w:r w:rsidR="00730CDE">
        <w:rPr>
          <w:rFonts w:ascii="Times New Roman" w:hAnsi="Times New Roman"/>
          <w:sz w:val="24"/>
          <w:szCs w:val="24"/>
        </w:rPr>
        <w:t> :</w:t>
      </w:r>
    </w:p>
    <w:p w:rsidR="00031874" w:rsidRDefault="00031874" w:rsidP="00031874">
      <w:pPr>
        <w:pStyle w:val="Paragraphedeliste"/>
        <w:numPr>
          <w:ilvl w:val="0"/>
          <w:numId w:val="2"/>
        </w:numPr>
        <w:autoSpaceDE w:val="0"/>
        <w:autoSpaceDN w:val="0"/>
        <w:adjustRightInd w:val="0"/>
        <w:jc w:val="both"/>
        <w:rPr>
          <w:rFonts w:ascii="Times New Roman" w:hAnsi="Times New Roman"/>
          <w:sz w:val="24"/>
          <w:szCs w:val="24"/>
        </w:rPr>
      </w:pPr>
      <w:r w:rsidRPr="00031874">
        <w:rPr>
          <w:rFonts w:ascii="Times New Roman" w:hAnsi="Times New Roman"/>
          <w:i/>
          <w:iCs/>
          <w:sz w:val="24"/>
          <w:szCs w:val="24"/>
        </w:rPr>
        <w:t xml:space="preserve">l’origine de propriété du fonds </w:t>
      </w:r>
      <w:r w:rsidRPr="00031874">
        <w:rPr>
          <w:rFonts w:ascii="Times New Roman" w:hAnsi="Times New Roman"/>
          <w:sz w:val="24"/>
          <w:szCs w:val="24"/>
        </w:rPr>
        <w:t>: nom du précédent vendeur (le cas échéant), date et nature de l’acte d’acquisition et prix d’acquisition ;</w:t>
      </w:r>
    </w:p>
    <w:p w:rsidR="00031874" w:rsidRDefault="00031874" w:rsidP="00031874">
      <w:pPr>
        <w:pStyle w:val="Paragraphedeliste"/>
        <w:numPr>
          <w:ilvl w:val="0"/>
          <w:numId w:val="2"/>
        </w:num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l’état des privilèges et nantissement grevant le fonds </w:t>
      </w:r>
      <w:r>
        <w:rPr>
          <w:rFonts w:ascii="Times New Roman" w:hAnsi="Times New Roman"/>
          <w:sz w:val="24"/>
          <w:szCs w:val="24"/>
        </w:rPr>
        <w:t>;</w:t>
      </w:r>
    </w:p>
    <w:p w:rsidR="00031874" w:rsidRDefault="00031874" w:rsidP="00031874">
      <w:pPr>
        <w:pStyle w:val="Paragraphedeliste"/>
        <w:numPr>
          <w:ilvl w:val="0"/>
          <w:numId w:val="2"/>
        </w:num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le bail, sa date, sa durée ainsi que le nom et l’adresse du bailleur </w:t>
      </w:r>
      <w:r>
        <w:rPr>
          <w:rFonts w:ascii="Times New Roman" w:hAnsi="Times New Roman"/>
          <w:sz w:val="24"/>
          <w:szCs w:val="24"/>
        </w:rPr>
        <w:t>et du cédant, s’il y a lieu ;</w:t>
      </w:r>
    </w:p>
    <w:p w:rsidR="00031874" w:rsidRPr="00031874" w:rsidRDefault="00031874" w:rsidP="00031874">
      <w:pPr>
        <w:pStyle w:val="Paragraphedeliste"/>
        <w:numPr>
          <w:ilvl w:val="0"/>
          <w:numId w:val="2"/>
        </w:numPr>
        <w:autoSpaceDE w:val="0"/>
        <w:autoSpaceDN w:val="0"/>
        <w:adjustRightInd w:val="0"/>
        <w:jc w:val="both"/>
        <w:rPr>
          <w:rFonts w:ascii="Times New Roman" w:hAnsi="Times New Roman"/>
          <w:sz w:val="24"/>
          <w:szCs w:val="24"/>
        </w:rPr>
      </w:pPr>
      <w:r w:rsidRPr="00031874">
        <w:rPr>
          <w:rFonts w:ascii="Times New Roman" w:hAnsi="Times New Roman"/>
          <w:i/>
          <w:iCs/>
          <w:sz w:val="24"/>
          <w:szCs w:val="24"/>
        </w:rPr>
        <w:t>le chiffre d’affaires et les bénéfices commerciaux réalisés au cours des trois exercices</w:t>
      </w:r>
      <w:r>
        <w:rPr>
          <w:rFonts w:ascii="Times New Roman" w:hAnsi="Times New Roman"/>
          <w:i/>
          <w:iCs/>
          <w:sz w:val="24"/>
          <w:szCs w:val="24"/>
        </w:rPr>
        <w:t xml:space="preserve"> </w:t>
      </w:r>
      <w:r w:rsidRPr="00031874">
        <w:rPr>
          <w:rFonts w:ascii="Times New Roman" w:hAnsi="Times New Roman"/>
          <w:i/>
          <w:iCs/>
          <w:sz w:val="24"/>
          <w:szCs w:val="24"/>
        </w:rPr>
        <w:t>comptables précédant la vente.</w:t>
      </w:r>
    </w:p>
    <w:p w:rsidR="00031874" w:rsidRDefault="00031874" w:rsidP="00031874">
      <w:pPr>
        <w:autoSpaceDE w:val="0"/>
        <w:autoSpaceDN w:val="0"/>
        <w:adjustRightInd w:val="0"/>
        <w:jc w:val="both"/>
        <w:rPr>
          <w:rFonts w:ascii="Times New Roman" w:hAnsi="Times New Roman"/>
          <w:sz w:val="24"/>
          <w:szCs w:val="24"/>
        </w:rPr>
      </w:pPr>
    </w:p>
    <w:p w:rsidR="00031874" w:rsidRDefault="00A6576F" w:rsidP="00A6576F">
      <w:pPr>
        <w:autoSpaceDE w:val="0"/>
        <w:autoSpaceDN w:val="0"/>
        <w:adjustRightInd w:val="0"/>
        <w:jc w:val="both"/>
        <w:rPr>
          <w:rFonts w:ascii="Times New Roman" w:hAnsi="Times New Roman"/>
          <w:sz w:val="24"/>
          <w:szCs w:val="24"/>
        </w:rPr>
      </w:pPr>
      <w:r>
        <w:rPr>
          <w:rFonts w:ascii="Times New Roman" w:hAnsi="Times New Roman"/>
          <w:sz w:val="24"/>
          <w:szCs w:val="24"/>
        </w:rPr>
        <w:t>Si l’une de ces mentions ne figure pas dans l’acte de cession, l’omission peut entraîner la nullité de l’acte de vente si cette omission a vicié le consentement de l’acquéreur et lui a causé un préjudice. L’acquéreur doit intenter une action en nullité dans le délai d’un an à compter de la conclusion du contrat. C’est une nullité relative et facultative.</w:t>
      </w:r>
    </w:p>
    <w:p w:rsidR="00FF4F79" w:rsidRDefault="00FF4F79" w:rsidP="00A6576F">
      <w:pPr>
        <w:autoSpaceDE w:val="0"/>
        <w:autoSpaceDN w:val="0"/>
        <w:adjustRightInd w:val="0"/>
        <w:jc w:val="both"/>
        <w:rPr>
          <w:rFonts w:ascii="Times New Roman" w:hAnsi="Times New Roman"/>
          <w:sz w:val="24"/>
          <w:szCs w:val="24"/>
        </w:rPr>
      </w:pPr>
    </w:p>
    <w:p w:rsidR="00FF4F79" w:rsidRDefault="00FF4F79" w:rsidP="00A6576F">
      <w:pPr>
        <w:autoSpaceDE w:val="0"/>
        <w:autoSpaceDN w:val="0"/>
        <w:adjustRightInd w:val="0"/>
        <w:jc w:val="both"/>
        <w:rPr>
          <w:rFonts w:ascii="Times New Roman" w:hAnsi="Times New Roman"/>
          <w:sz w:val="24"/>
          <w:szCs w:val="24"/>
        </w:rPr>
      </w:pPr>
    </w:p>
    <w:p w:rsidR="00FF4F79" w:rsidRDefault="00FF4F79" w:rsidP="00A6576F">
      <w:pPr>
        <w:autoSpaceDE w:val="0"/>
        <w:autoSpaceDN w:val="0"/>
        <w:adjustRightInd w:val="0"/>
        <w:jc w:val="both"/>
        <w:rPr>
          <w:rFonts w:ascii="Times New Roman" w:hAnsi="Times New Roman"/>
          <w:sz w:val="24"/>
          <w:szCs w:val="24"/>
        </w:rPr>
      </w:pPr>
    </w:p>
    <w:p w:rsidR="00FF4F79" w:rsidRDefault="00FF4F79" w:rsidP="00FF4F79">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3. </w:t>
      </w:r>
      <w:r>
        <w:rPr>
          <w:rFonts w:ascii="Times New Roman" w:hAnsi="Times New Roman"/>
          <w:b/>
          <w:bCs/>
          <w:sz w:val="24"/>
          <w:szCs w:val="24"/>
        </w:rPr>
        <w:t>M. ROMAIN cédant son entreprise, quel est le sort des contrats de travail de ses quatre salariés ? Mme CAMILLE, en sa qualité de bailleur, peut-elle s’opposer au transfert du bail au profit de M. GUILLAUME ?</w:t>
      </w:r>
    </w:p>
    <w:p w:rsidR="00FF4F79" w:rsidRDefault="00FF4F79" w:rsidP="00FF4F79">
      <w:pPr>
        <w:autoSpaceDE w:val="0"/>
        <w:autoSpaceDN w:val="0"/>
        <w:adjustRightInd w:val="0"/>
        <w:jc w:val="both"/>
        <w:rPr>
          <w:rFonts w:ascii="Times New Roman" w:hAnsi="Times New Roman"/>
          <w:b/>
          <w:bCs/>
          <w:sz w:val="24"/>
          <w:szCs w:val="24"/>
        </w:rPr>
      </w:pPr>
    </w:p>
    <w:p w:rsidR="00FF4F79" w:rsidRDefault="00FF4F79" w:rsidP="00FF4F79">
      <w:p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Sort des contrats de travail </w:t>
      </w:r>
      <w:r>
        <w:rPr>
          <w:rFonts w:ascii="Times New Roman" w:hAnsi="Times New Roman"/>
          <w:sz w:val="24"/>
          <w:szCs w:val="24"/>
        </w:rPr>
        <w:t>: la cession du fonds de commerce n’emporte aucune conséquence sur les contrats de travail, lesquels subsistent avec l’acquéreur (Code du travail, art. L 1224-1).</w:t>
      </w:r>
    </w:p>
    <w:p w:rsidR="00FF4F79" w:rsidRDefault="00FF4F79" w:rsidP="00FF4F79">
      <w:pPr>
        <w:autoSpaceDE w:val="0"/>
        <w:autoSpaceDN w:val="0"/>
        <w:adjustRightInd w:val="0"/>
        <w:jc w:val="both"/>
        <w:rPr>
          <w:rFonts w:ascii="Times New Roman" w:hAnsi="Times New Roman"/>
          <w:sz w:val="24"/>
          <w:szCs w:val="24"/>
        </w:rPr>
      </w:pPr>
    </w:p>
    <w:p w:rsidR="00FF4F79" w:rsidRDefault="00FF4F79" w:rsidP="00FF4F79">
      <w:pPr>
        <w:autoSpaceDE w:val="0"/>
        <w:autoSpaceDN w:val="0"/>
        <w:adjustRightInd w:val="0"/>
        <w:jc w:val="both"/>
        <w:rPr>
          <w:rFonts w:ascii="Times New Roman" w:hAnsi="Times New Roman"/>
          <w:sz w:val="24"/>
          <w:szCs w:val="24"/>
        </w:rPr>
      </w:pPr>
      <w:r>
        <w:rPr>
          <w:rFonts w:ascii="Times New Roman" w:hAnsi="Times New Roman"/>
          <w:i/>
          <w:iCs/>
          <w:sz w:val="24"/>
          <w:szCs w:val="24"/>
        </w:rPr>
        <w:lastRenderedPageBreak/>
        <w:t xml:space="preserve">Opposition du bailleur </w:t>
      </w:r>
      <w:r>
        <w:rPr>
          <w:rFonts w:ascii="Times New Roman" w:hAnsi="Times New Roman"/>
          <w:sz w:val="24"/>
          <w:szCs w:val="24"/>
        </w:rPr>
        <w:t>: Mme CAMILLE en sa qualité de bailleur ne peut pas s’opposer à la cession du bail dans le cadre de la cession du fonds (Code de commerce, art. L 145-16).</w:t>
      </w:r>
    </w:p>
    <w:p w:rsidR="00FF4F79" w:rsidRDefault="00FF4F79" w:rsidP="00FF4F79">
      <w:pPr>
        <w:autoSpaceDE w:val="0"/>
        <w:autoSpaceDN w:val="0"/>
        <w:adjustRightInd w:val="0"/>
        <w:jc w:val="both"/>
        <w:rPr>
          <w:rFonts w:ascii="Times New Roman" w:hAnsi="Times New Roman"/>
          <w:sz w:val="24"/>
          <w:szCs w:val="24"/>
        </w:rPr>
      </w:pPr>
      <w:r>
        <w:rPr>
          <w:rFonts w:ascii="Times New Roman" w:hAnsi="Times New Roman"/>
          <w:sz w:val="24"/>
          <w:szCs w:val="24"/>
        </w:rPr>
        <w:t>En revanche, le bail peut contenir certaines clauses relatives aux modalités de cession du bail par le locataire : clause d’agrément, forme pour la cession du bail,…</w:t>
      </w:r>
    </w:p>
    <w:p w:rsidR="00FF4F79" w:rsidRDefault="00FF4F79" w:rsidP="00FF4F79">
      <w:pPr>
        <w:autoSpaceDE w:val="0"/>
        <w:autoSpaceDN w:val="0"/>
        <w:adjustRightInd w:val="0"/>
        <w:jc w:val="both"/>
        <w:rPr>
          <w:rFonts w:ascii="Times New Roman" w:hAnsi="Times New Roman"/>
          <w:sz w:val="24"/>
          <w:szCs w:val="24"/>
        </w:rPr>
      </w:pPr>
    </w:p>
    <w:p w:rsidR="00FF4F79" w:rsidRDefault="00235E73" w:rsidP="00D76E28">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4. </w:t>
      </w:r>
      <w:r>
        <w:rPr>
          <w:rFonts w:ascii="Times New Roman" w:hAnsi="Times New Roman"/>
          <w:b/>
          <w:bCs/>
          <w:sz w:val="24"/>
          <w:szCs w:val="24"/>
        </w:rPr>
        <w:t>En ce qui concerne les documents comptables de l’entrepr</w:t>
      </w:r>
      <w:r w:rsidR="00D76E28">
        <w:rPr>
          <w:rFonts w:ascii="Times New Roman" w:hAnsi="Times New Roman"/>
          <w:b/>
          <w:bCs/>
          <w:sz w:val="24"/>
          <w:szCs w:val="24"/>
        </w:rPr>
        <w:t xml:space="preserve">ise de M. ROMAIN, la </w:t>
      </w:r>
      <w:r>
        <w:rPr>
          <w:rFonts w:ascii="Times New Roman" w:hAnsi="Times New Roman"/>
          <w:b/>
          <w:bCs/>
          <w:sz w:val="24"/>
          <w:szCs w:val="24"/>
        </w:rPr>
        <w:t>cession du fonds de commerce emporte-t-elle des obligations particulières ?</w:t>
      </w:r>
    </w:p>
    <w:p w:rsidR="00D76E28" w:rsidRDefault="00D76E28" w:rsidP="00D76E28">
      <w:pPr>
        <w:autoSpaceDE w:val="0"/>
        <w:autoSpaceDN w:val="0"/>
        <w:adjustRightInd w:val="0"/>
        <w:jc w:val="both"/>
        <w:rPr>
          <w:rFonts w:ascii="Times New Roman" w:hAnsi="Times New Roman"/>
          <w:b/>
          <w:bCs/>
          <w:sz w:val="24"/>
          <w:szCs w:val="24"/>
        </w:rPr>
      </w:pPr>
    </w:p>
    <w:p w:rsidR="00D76E28" w:rsidRDefault="00D76E28" w:rsidP="00D76E28">
      <w:pPr>
        <w:autoSpaceDE w:val="0"/>
        <w:autoSpaceDN w:val="0"/>
        <w:adjustRightInd w:val="0"/>
        <w:jc w:val="both"/>
        <w:rPr>
          <w:rFonts w:ascii="Times New Roman" w:hAnsi="Times New Roman"/>
          <w:sz w:val="24"/>
          <w:szCs w:val="24"/>
        </w:rPr>
      </w:pPr>
      <w:r>
        <w:rPr>
          <w:rFonts w:ascii="Times New Roman" w:hAnsi="Times New Roman"/>
          <w:sz w:val="24"/>
          <w:szCs w:val="24"/>
        </w:rPr>
        <w:t xml:space="preserve">Lors de la cession, le vendeur et l’acheteur doivent viser les livres comptables </w:t>
      </w:r>
      <w:r>
        <w:rPr>
          <w:rFonts w:ascii="Times New Roman" w:hAnsi="Times New Roman"/>
          <w:i/>
          <w:iCs/>
          <w:sz w:val="24"/>
          <w:szCs w:val="24"/>
        </w:rPr>
        <w:t xml:space="preserve">(1 point) </w:t>
      </w:r>
      <w:r>
        <w:rPr>
          <w:rFonts w:ascii="Times New Roman" w:hAnsi="Times New Roman"/>
          <w:sz w:val="24"/>
          <w:szCs w:val="24"/>
        </w:rPr>
        <w:t xml:space="preserve">qui ont été tenus par le vendeur durant les trois exercices comptables précédant celui de la vente ainsi qu’un document présentant les chiffres d’affaires mensuels réalisés entre la clôture du dernier exercice et le mois précédant celui de la vente </w:t>
      </w:r>
      <w:r>
        <w:rPr>
          <w:rFonts w:ascii="Times New Roman" w:hAnsi="Times New Roman"/>
          <w:i/>
          <w:iCs/>
          <w:sz w:val="24"/>
          <w:szCs w:val="24"/>
        </w:rPr>
        <w:t>(1 point)</w:t>
      </w:r>
      <w:r>
        <w:rPr>
          <w:rFonts w:ascii="Times New Roman" w:hAnsi="Times New Roman"/>
          <w:sz w:val="24"/>
          <w:szCs w:val="24"/>
        </w:rPr>
        <w:t>. Ces livres font l’objet d’un inventaire signé par les parties et doivent être mis à la disposition de l’acquéreur pendant trois ans, à partir de son entrée en jouissance du fonds (Code de commerce, art. L 141-2).</w:t>
      </w:r>
    </w:p>
    <w:p w:rsidR="0013035F" w:rsidRDefault="0013035F" w:rsidP="00D76E28">
      <w:pPr>
        <w:autoSpaceDE w:val="0"/>
        <w:autoSpaceDN w:val="0"/>
        <w:adjustRightInd w:val="0"/>
        <w:jc w:val="both"/>
        <w:rPr>
          <w:rFonts w:ascii="Times New Roman" w:hAnsi="Times New Roman"/>
          <w:sz w:val="24"/>
          <w:szCs w:val="24"/>
        </w:rPr>
      </w:pPr>
    </w:p>
    <w:p w:rsidR="0013035F" w:rsidRDefault="0013035F" w:rsidP="0013035F">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5. </w:t>
      </w:r>
      <w:r>
        <w:rPr>
          <w:rFonts w:ascii="Times New Roman" w:hAnsi="Times New Roman"/>
          <w:b/>
          <w:bCs/>
          <w:sz w:val="24"/>
          <w:szCs w:val="24"/>
        </w:rPr>
        <w:t>Quels sont les droits d’enregistrement auxquels est soumise la cession d’un fonds de commerce ? En ce qui concerne la cession du fonds de commerce de M.</w:t>
      </w:r>
    </w:p>
    <w:p w:rsidR="0013035F" w:rsidRDefault="0013035F" w:rsidP="0013035F">
      <w:pPr>
        <w:autoSpaceDE w:val="0"/>
        <w:autoSpaceDN w:val="0"/>
        <w:adjustRightInd w:val="0"/>
        <w:jc w:val="both"/>
        <w:rPr>
          <w:rFonts w:ascii="Times New Roman" w:hAnsi="Times New Roman"/>
          <w:b/>
          <w:bCs/>
          <w:sz w:val="24"/>
          <w:szCs w:val="24"/>
        </w:rPr>
      </w:pPr>
      <w:r>
        <w:rPr>
          <w:rFonts w:ascii="Times New Roman" w:hAnsi="Times New Roman"/>
          <w:b/>
          <w:bCs/>
          <w:sz w:val="24"/>
          <w:szCs w:val="24"/>
        </w:rPr>
        <w:t>ROMAIN et en vous appuyant sur l’annexe 1, préciser la base de calcul de ces droits et qui en est redevable ?</w:t>
      </w:r>
    </w:p>
    <w:p w:rsidR="0013035F" w:rsidRDefault="0013035F" w:rsidP="0013035F">
      <w:pPr>
        <w:autoSpaceDE w:val="0"/>
        <w:autoSpaceDN w:val="0"/>
        <w:adjustRightInd w:val="0"/>
        <w:jc w:val="both"/>
        <w:rPr>
          <w:rFonts w:ascii="Times New Roman" w:hAnsi="Times New Roman"/>
          <w:b/>
          <w:bCs/>
          <w:sz w:val="24"/>
          <w:szCs w:val="24"/>
        </w:rPr>
      </w:pPr>
    </w:p>
    <w:p w:rsidR="0013035F" w:rsidRDefault="0013035F" w:rsidP="0013035F">
      <w:pPr>
        <w:autoSpaceDE w:val="0"/>
        <w:autoSpaceDN w:val="0"/>
        <w:adjustRightInd w:val="0"/>
        <w:jc w:val="both"/>
        <w:rPr>
          <w:rFonts w:ascii="Times New Roman" w:hAnsi="Times New Roman"/>
          <w:sz w:val="24"/>
          <w:szCs w:val="24"/>
        </w:rPr>
      </w:pPr>
      <w:r>
        <w:rPr>
          <w:rFonts w:ascii="Times New Roman" w:hAnsi="Times New Roman"/>
          <w:sz w:val="24"/>
          <w:szCs w:val="24"/>
        </w:rPr>
        <w:t>L’acte qui constate la cession du fonds de commerce est soumis aux droits d’enregistrement.</w:t>
      </w:r>
    </w:p>
    <w:p w:rsidR="0013035F" w:rsidRDefault="0013035F" w:rsidP="0013035F">
      <w:pPr>
        <w:autoSpaceDE w:val="0"/>
        <w:autoSpaceDN w:val="0"/>
        <w:adjustRightInd w:val="0"/>
        <w:jc w:val="both"/>
        <w:rPr>
          <w:rFonts w:ascii="Times New Roman" w:hAnsi="Times New Roman"/>
          <w:sz w:val="24"/>
          <w:szCs w:val="24"/>
        </w:rPr>
      </w:pPr>
    </w:p>
    <w:p w:rsidR="0013035F" w:rsidRDefault="0013035F" w:rsidP="0013035F">
      <w:p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Les taux applicables </w:t>
      </w:r>
      <w:r>
        <w:rPr>
          <w:rFonts w:ascii="Times New Roman" w:hAnsi="Times New Roman"/>
          <w:sz w:val="24"/>
          <w:szCs w:val="24"/>
        </w:rPr>
        <w:t>: les droits d’enregistrement se calculent par application du barème progressif au taux de 0 %, 3 % puis 5%. Le taux de 0 % s’applique pour la valeur du fonds qui ne dépasse pas 23 000 €, le taux de 3 % sur la valeur du fonds comprise entre 23 000 et</w:t>
      </w:r>
    </w:p>
    <w:p w:rsidR="0013035F" w:rsidRDefault="0013035F" w:rsidP="0013035F">
      <w:pPr>
        <w:autoSpaceDE w:val="0"/>
        <w:autoSpaceDN w:val="0"/>
        <w:adjustRightInd w:val="0"/>
        <w:jc w:val="both"/>
        <w:rPr>
          <w:rFonts w:ascii="Times New Roman" w:hAnsi="Times New Roman"/>
          <w:sz w:val="24"/>
          <w:szCs w:val="24"/>
        </w:rPr>
      </w:pPr>
      <w:r>
        <w:rPr>
          <w:rFonts w:ascii="Times New Roman" w:hAnsi="Times New Roman"/>
          <w:sz w:val="24"/>
          <w:szCs w:val="24"/>
        </w:rPr>
        <w:t>200 000 € et 5 % pour la valeur du fonds qui dépasse 200 000 €.</w:t>
      </w:r>
    </w:p>
    <w:p w:rsidR="0013035F" w:rsidRDefault="0013035F" w:rsidP="0013035F">
      <w:pPr>
        <w:autoSpaceDE w:val="0"/>
        <w:autoSpaceDN w:val="0"/>
        <w:adjustRightInd w:val="0"/>
        <w:jc w:val="both"/>
        <w:rPr>
          <w:rFonts w:ascii="Times New Roman" w:hAnsi="Times New Roman"/>
          <w:sz w:val="24"/>
          <w:szCs w:val="24"/>
        </w:rPr>
      </w:pPr>
    </w:p>
    <w:p w:rsidR="0013035F" w:rsidRDefault="009A34AD" w:rsidP="009A34AD">
      <w:p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La base de calcul des droits </w:t>
      </w:r>
      <w:r>
        <w:rPr>
          <w:rFonts w:ascii="Times New Roman" w:hAnsi="Times New Roman"/>
          <w:sz w:val="24"/>
          <w:szCs w:val="24"/>
        </w:rPr>
        <w:t>est constituée de la valeur vénale des éléments constitutifs du fonds, exception faite des marchandises dont la cession sera soumise à la TVA. Les droits vont donc se calculer sur une base de : 400 000 € (éléments incorporels) + 240 000 € (matériel et outillage) = 640 000 €.</w:t>
      </w:r>
    </w:p>
    <w:p w:rsidR="009A34AD" w:rsidRDefault="009A34AD" w:rsidP="009A34AD">
      <w:pPr>
        <w:autoSpaceDE w:val="0"/>
        <w:autoSpaceDN w:val="0"/>
        <w:adjustRightInd w:val="0"/>
        <w:jc w:val="both"/>
        <w:rPr>
          <w:rFonts w:ascii="Times New Roman" w:hAnsi="Times New Roman"/>
          <w:sz w:val="24"/>
          <w:szCs w:val="24"/>
        </w:rPr>
      </w:pPr>
    </w:p>
    <w:p w:rsidR="009A34AD" w:rsidRDefault="00692CB2" w:rsidP="009A34AD">
      <w:p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Le redevable </w:t>
      </w:r>
      <w:r>
        <w:rPr>
          <w:rFonts w:ascii="Times New Roman" w:hAnsi="Times New Roman"/>
          <w:sz w:val="24"/>
          <w:szCs w:val="24"/>
        </w:rPr>
        <w:t>est toujours l’acquéreur (ou le cessionnaire), donc M. GUILLAUME.</w:t>
      </w:r>
    </w:p>
    <w:p w:rsidR="00692CB2" w:rsidRDefault="00692CB2" w:rsidP="009A34AD">
      <w:pPr>
        <w:autoSpaceDE w:val="0"/>
        <w:autoSpaceDN w:val="0"/>
        <w:adjustRightInd w:val="0"/>
        <w:jc w:val="both"/>
        <w:rPr>
          <w:rFonts w:ascii="Times New Roman" w:hAnsi="Times New Roman"/>
          <w:sz w:val="24"/>
          <w:szCs w:val="24"/>
        </w:rPr>
      </w:pPr>
    </w:p>
    <w:p w:rsidR="00692CB2" w:rsidRDefault="00692CB2" w:rsidP="00692CB2">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6. </w:t>
      </w:r>
      <w:r>
        <w:rPr>
          <w:rFonts w:ascii="Times New Roman" w:hAnsi="Times New Roman"/>
          <w:b/>
          <w:bCs/>
          <w:sz w:val="24"/>
          <w:szCs w:val="24"/>
        </w:rPr>
        <w:t>Indiquer (sans les détailler) quels sont, au plan fiscal, les trois régimes d’exonération de plus-values qui sont susceptibles de s’appliquer en cas de cession d’une entreprise individuelle. En fonction des données de l’annexe 1, préciser, en justifiant votre position, si l’un ou l’autre de ces régimes est susceptible de s’appliquer à l’occasion de la cession de l’entreprise de M. ROMAIN.</w:t>
      </w:r>
    </w:p>
    <w:p w:rsidR="00692CB2" w:rsidRDefault="00692CB2" w:rsidP="00692CB2">
      <w:pPr>
        <w:autoSpaceDE w:val="0"/>
        <w:autoSpaceDN w:val="0"/>
        <w:adjustRightInd w:val="0"/>
        <w:jc w:val="both"/>
        <w:rPr>
          <w:rFonts w:ascii="Times New Roman" w:hAnsi="Times New Roman"/>
          <w:b/>
          <w:bCs/>
          <w:sz w:val="24"/>
          <w:szCs w:val="24"/>
        </w:rPr>
      </w:pPr>
    </w:p>
    <w:p w:rsidR="00692CB2" w:rsidRDefault="008F2F9D" w:rsidP="008F2F9D">
      <w:pPr>
        <w:autoSpaceDE w:val="0"/>
        <w:autoSpaceDN w:val="0"/>
        <w:adjustRightInd w:val="0"/>
        <w:jc w:val="both"/>
        <w:rPr>
          <w:rFonts w:ascii="Times New Roman" w:hAnsi="Times New Roman"/>
          <w:sz w:val="24"/>
          <w:szCs w:val="24"/>
        </w:rPr>
      </w:pPr>
      <w:r>
        <w:rPr>
          <w:rFonts w:ascii="Times New Roman" w:hAnsi="Times New Roman"/>
          <w:sz w:val="24"/>
          <w:szCs w:val="24"/>
        </w:rPr>
        <w:t>Il existe trois régimes d’exonération totale ou partielle des plus-values en cas de cession d’une entreprise individuelle :</w:t>
      </w:r>
    </w:p>
    <w:p w:rsidR="008F2F9D" w:rsidRDefault="00474C5D" w:rsidP="00474C5D">
      <w:pPr>
        <w:pStyle w:val="Paragraphedeliste"/>
        <w:numPr>
          <w:ilvl w:val="0"/>
          <w:numId w:val="2"/>
        </w:numPr>
        <w:autoSpaceDE w:val="0"/>
        <w:autoSpaceDN w:val="0"/>
        <w:adjustRightInd w:val="0"/>
        <w:jc w:val="both"/>
        <w:rPr>
          <w:rFonts w:ascii="Times New Roman" w:hAnsi="Times New Roman"/>
          <w:sz w:val="24"/>
          <w:szCs w:val="24"/>
        </w:rPr>
      </w:pPr>
      <w:r w:rsidRPr="00474C5D">
        <w:rPr>
          <w:rFonts w:ascii="Times New Roman" w:hAnsi="Times New Roman"/>
          <w:i/>
          <w:iCs/>
          <w:sz w:val="24"/>
          <w:szCs w:val="24"/>
        </w:rPr>
        <w:t xml:space="preserve">le régime d’exonération des petites entreprises </w:t>
      </w:r>
      <w:r w:rsidRPr="00474C5D">
        <w:rPr>
          <w:rFonts w:ascii="Times New Roman" w:hAnsi="Times New Roman"/>
          <w:sz w:val="24"/>
          <w:szCs w:val="24"/>
        </w:rPr>
        <w:t xml:space="preserve">: régime applicable aux entreprises réalisant un chiffre d’affaires ne dépassant pas certaines limites (CGI, art. 151 </w:t>
      </w:r>
      <w:proofErr w:type="spellStart"/>
      <w:r w:rsidRPr="00474C5D">
        <w:rPr>
          <w:rFonts w:ascii="Times New Roman" w:hAnsi="Times New Roman"/>
          <w:i/>
          <w:iCs/>
          <w:sz w:val="24"/>
          <w:szCs w:val="24"/>
        </w:rPr>
        <w:t>septies</w:t>
      </w:r>
      <w:proofErr w:type="spellEnd"/>
      <w:r w:rsidRPr="00474C5D">
        <w:rPr>
          <w:rFonts w:ascii="Times New Roman" w:hAnsi="Times New Roman"/>
          <w:sz w:val="24"/>
          <w:szCs w:val="24"/>
        </w:rPr>
        <w:t>)</w:t>
      </w:r>
      <w:r w:rsidR="009C29D7">
        <w:rPr>
          <w:rFonts w:ascii="Times New Roman" w:hAnsi="Times New Roman"/>
          <w:sz w:val="24"/>
          <w:szCs w:val="24"/>
        </w:rPr>
        <w:t> ;</w:t>
      </w:r>
    </w:p>
    <w:p w:rsidR="00474C5D" w:rsidRDefault="009C29D7" w:rsidP="009C29D7">
      <w:pPr>
        <w:pStyle w:val="Paragraphedeliste"/>
        <w:numPr>
          <w:ilvl w:val="0"/>
          <w:numId w:val="2"/>
        </w:numPr>
        <w:autoSpaceDE w:val="0"/>
        <w:autoSpaceDN w:val="0"/>
        <w:adjustRightInd w:val="0"/>
        <w:jc w:val="both"/>
        <w:rPr>
          <w:rFonts w:ascii="Times New Roman" w:hAnsi="Times New Roman"/>
          <w:sz w:val="24"/>
          <w:szCs w:val="24"/>
        </w:rPr>
      </w:pPr>
      <w:r w:rsidRPr="009C29D7">
        <w:rPr>
          <w:rFonts w:ascii="Times New Roman" w:hAnsi="Times New Roman"/>
          <w:i/>
          <w:iCs/>
          <w:sz w:val="24"/>
          <w:szCs w:val="24"/>
        </w:rPr>
        <w:t xml:space="preserve">le régime des cessions de PME </w:t>
      </w:r>
      <w:r w:rsidRPr="009C29D7">
        <w:rPr>
          <w:rFonts w:ascii="Times New Roman" w:hAnsi="Times New Roman"/>
          <w:sz w:val="24"/>
          <w:szCs w:val="24"/>
        </w:rPr>
        <w:t>: régime applicable aux entreprises dont la valeur des</w:t>
      </w:r>
      <w:r>
        <w:rPr>
          <w:rFonts w:ascii="Times New Roman" w:hAnsi="Times New Roman"/>
          <w:sz w:val="24"/>
          <w:szCs w:val="24"/>
        </w:rPr>
        <w:t xml:space="preserve"> </w:t>
      </w:r>
      <w:r w:rsidRPr="009C29D7">
        <w:rPr>
          <w:rFonts w:ascii="Times New Roman" w:hAnsi="Times New Roman"/>
          <w:sz w:val="24"/>
          <w:szCs w:val="24"/>
        </w:rPr>
        <w:t>éléments rentrant dans la base de calcul des droits d’enregistrement n’excède pas 500 000 €</w:t>
      </w:r>
      <w:r>
        <w:rPr>
          <w:rFonts w:ascii="Times New Roman" w:hAnsi="Times New Roman"/>
          <w:sz w:val="24"/>
          <w:szCs w:val="24"/>
        </w:rPr>
        <w:t xml:space="preserve"> </w:t>
      </w:r>
      <w:r w:rsidRPr="009C29D7">
        <w:rPr>
          <w:rFonts w:ascii="Times New Roman" w:hAnsi="Times New Roman"/>
          <w:sz w:val="24"/>
          <w:szCs w:val="24"/>
        </w:rPr>
        <w:t xml:space="preserve">(CGI, art. 238 </w:t>
      </w:r>
      <w:proofErr w:type="spellStart"/>
      <w:r w:rsidRPr="009C29D7">
        <w:rPr>
          <w:rFonts w:ascii="Times New Roman" w:hAnsi="Times New Roman"/>
          <w:sz w:val="24"/>
          <w:szCs w:val="24"/>
        </w:rPr>
        <w:t>quindecies</w:t>
      </w:r>
      <w:proofErr w:type="spellEnd"/>
      <w:r w:rsidRPr="009C29D7">
        <w:rPr>
          <w:rFonts w:ascii="Times New Roman" w:hAnsi="Times New Roman"/>
          <w:sz w:val="24"/>
          <w:szCs w:val="24"/>
        </w:rPr>
        <w:t>) ;</w:t>
      </w:r>
    </w:p>
    <w:p w:rsidR="009C29D7" w:rsidRDefault="009C29D7" w:rsidP="009C29D7">
      <w:pPr>
        <w:pStyle w:val="Paragraphedeliste"/>
        <w:numPr>
          <w:ilvl w:val="0"/>
          <w:numId w:val="2"/>
        </w:numPr>
        <w:autoSpaceDE w:val="0"/>
        <w:autoSpaceDN w:val="0"/>
        <w:adjustRightInd w:val="0"/>
        <w:jc w:val="both"/>
        <w:rPr>
          <w:rFonts w:ascii="Times New Roman" w:hAnsi="Times New Roman"/>
          <w:sz w:val="24"/>
          <w:szCs w:val="24"/>
        </w:rPr>
      </w:pPr>
      <w:r w:rsidRPr="009C29D7">
        <w:rPr>
          <w:rFonts w:ascii="Times New Roman" w:hAnsi="Times New Roman"/>
          <w:i/>
          <w:iCs/>
          <w:sz w:val="24"/>
          <w:szCs w:val="24"/>
        </w:rPr>
        <w:t xml:space="preserve">le régime de l’exploitant retraité </w:t>
      </w:r>
      <w:r w:rsidRPr="009C29D7">
        <w:rPr>
          <w:rFonts w:ascii="Times New Roman" w:hAnsi="Times New Roman"/>
          <w:sz w:val="24"/>
          <w:szCs w:val="24"/>
        </w:rPr>
        <w:t>: régime d’exonération applicable aux cessions</w:t>
      </w:r>
      <w:r w:rsidR="00394D22">
        <w:rPr>
          <w:rFonts w:ascii="Times New Roman" w:hAnsi="Times New Roman"/>
          <w:sz w:val="24"/>
          <w:szCs w:val="24"/>
        </w:rPr>
        <w:t xml:space="preserve"> </w:t>
      </w:r>
      <w:r w:rsidRPr="009C29D7">
        <w:rPr>
          <w:rFonts w:ascii="Times New Roman" w:hAnsi="Times New Roman"/>
          <w:sz w:val="24"/>
          <w:szCs w:val="24"/>
        </w:rPr>
        <w:t>d’entreprises qui peuvent être qualifiées de PME et pour lesquelles l’entrepreneur individuel</w:t>
      </w:r>
      <w:r>
        <w:rPr>
          <w:rFonts w:ascii="Times New Roman" w:hAnsi="Times New Roman"/>
          <w:sz w:val="24"/>
          <w:szCs w:val="24"/>
        </w:rPr>
        <w:t xml:space="preserve"> </w:t>
      </w:r>
      <w:r w:rsidRPr="009C29D7">
        <w:rPr>
          <w:rFonts w:ascii="Times New Roman" w:hAnsi="Times New Roman"/>
          <w:sz w:val="24"/>
          <w:szCs w:val="24"/>
        </w:rPr>
        <w:t xml:space="preserve">cesse ses fonctions et fait valoir ses droits à retraite (ou à pension) (CGI, art. 151 </w:t>
      </w:r>
      <w:proofErr w:type="spellStart"/>
      <w:r w:rsidRPr="009C29D7">
        <w:rPr>
          <w:rFonts w:ascii="Times New Roman" w:hAnsi="Times New Roman"/>
          <w:sz w:val="24"/>
          <w:szCs w:val="24"/>
        </w:rPr>
        <w:t>septies</w:t>
      </w:r>
      <w:proofErr w:type="spellEnd"/>
      <w:r w:rsidRPr="009C29D7">
        <w:rPr>
          <w:rFonts w:ascii="Times New Roman" w:hAnsi="Times New Roman"/>
          <w:sz w:val="24"/>
          <w:szCs w:val="24"/>
        </w:rPr>
        <w:t xml:space="preserve"> A).</w:t>
      </w:r>
    </w:p>
    <w:p w:rsidR="009C29D7" w:rsidRDefault="009C29D7" w:rsidP="009C29D7">
      <w:pPr>
        <w:autoSpaceDE w:val="0"/>
        <w:autoSpaceDN w:val="0"/>
        <w:adjustRightInd w:val="0"/>
        <w:jc w:val="both"/>
        <w:rPr>
          <w:rFonts w:ascii="Times New Roman" w:hAnsi="Times New Roman"/>
          <w:sz w:val="24"/>
          <w:szCs w:val="24"/>
        </w:rPr>
      </w:pPr>
    </w:p>
    <w:p w:rsidR="009C29D7" w:rsidRDefault="000947A5" w:rsidP="009C29D7">
      <w:pPr>
        <w:autoSpaceDE w:val="0"/>
        <w:autoSpaceDN w:val="0"/>
        <w:adjustRightInd w:val="0"/>
        <w:jc w:val="both"/>
        <w:rPr>
          <w:rFonts w:ascii="Times New Roman" w:hAnsi="Times New Roman"/>
          <w:sz w:val="24"/>
          <w:szCs w:val="24"/>
        </w:rPr>
      </w:pPr>
      <w:r>
        <w:rPr>
          <w:rFonts w:ascii="Times New Roman" w:hAnsi="Times New Roman"/>
          <w:sz w:val="24"/>
          <w:szCs w:val="24"/>
        </w:rPr>
        <w:t>Application de ces régimes à la cession de l’entreprise de M. ROMAIN :</w:t>
      </w:r>
    </w:p>
    <w:p w:rsidR="000947A5" w:rsidRDefault="00BA7A74" w:rsidP="00EA0839">
      <w:pPr>
        <w:pStyle w:val="Paragraphedeliste"/>
        <w:numPr>
          <w:ilvl w:val="0"/>
          <w:numId w:val="5"/>
        </w:numPr>
        <w:autoSpaceDE w:val="0"/>
        <w:autoSpaceDN w:val="0"/>
        <w:adjustRightInd w:val="0"/>
        <w:jc w:val="both"/>
        <w:rPr>
          <w:rFonts w:ascii="Times New Roman" w:hAnsi="Times New Roman"/>
          <w:sz w:val="24"/>
          <w:szCs w:val="24"/>
        </w:rPr>
      </w:pPr>
      <w:r w:rsidRPr="00BA7A74">
        <w:rPr>
          <w:rFonts w:ascii="Times New Roman" w:hAnsi="Times New Roman"/>
          <w:i/>
          <w:iCs/>
          <w:sz w:val="24"/>
          <w:szCs w:val="24"/>
        </w:rPr>
        <w:t xml:space="preserve">régime des petites entreprises </w:t>
      </w:r>
      <w:r w:rsidRPr="00BA7A74">
        <w:rPr>
          <w:rFonts w:ascii="Times New Roman" w:hAnsi="Times New Roman"/>
          <w:sz w:val="24"/>
          <w:szCs w:val="24"/>
        </w:rPr>
        <w:t>: il ne peut s’appliquer qu’aux entreprises dont le chiffre</w:t>
      </w:r>
      <w:r>
        <w:rPr>
          <w:rFonts w:ascii="Times New Roman" w:hAnsi="Times New Roman"/>
          <w:sz w:val="24"/>
          <w:szCs w:val="24"/>
        </w:rPr>
        <w:t xml:space="preserve"> </w:t>
      </w:r>
      <w:r w:rsidRPr="00BA7A74">
        <w:rPr>
          <w:rFonts w:ascii="Times New Roman" w:hAnsi="Times New Roman"/>
          <w:sz w:val="24"/>
          <w:szCs w:val="24"/>
        </w:rPr>
        <w:t>d’affaires ne dépasse pas 350 000 €, cette limite s’appréciant par référence à la moyenne des</w:t>
      </w:r>
      <w:r>
        <w:rPr>
          <w:rFonts w:ascii="Times New Roman" w:hAnsi="Times New Roman"/>
          <w:sz w:val="24"/>
          <w:szCs w:val="24"/>
        </w:rPr>
        <w:t xml:space="preserve"> </w:t>
      </w:r>
      <w:r w:rsidRPr="00BA7A74">
        <w:rPr>
          <w:rFonts w:ascii="Times New Roman" w:hAnsi="Times New Roman"/>
          <w:sz w:val="24"/>
          <w:szCs w:val="24"/>
        </w:rPr>
        <w:t>recettes des exercices clos au cours des deux années civiles précédant la cession. Ici, compte</w:t>
      </w:r>
      <w:r>
        <w:rPr>
          <w:rFonts w:ascii="Times New Roman" w:hAnsi="Times New Roman"/>
          <w:sz w:val="24"/>
          <w:szCs w:val="24"/>
        </w:rPr>
        <w:t xml:space="preserve"> </w:t>
      </w:r>
      <w:r w:rsidRPr="00BA7A74">
        <w:rPr>
          <w:rFonts w:ascii="Times New Roman" w:hAnsi="Times New Roman"/>
          <w:sz w:val="24"/>
          <w:szCs w:val="24"/>
        </w:rPr>
        <w:t>tenu du chiffre d’affaires de l’entreprise, le régime n’est pas susceptible de s’appliquer ;</w:t>
      </w:r>
    </w:p>
    <w:p w:rsidR="00EA0839" w:rsidRDefault="00EA0839" w:rsidP="00452CE6">
      <w:pPr>
        <w:pStyle w:val="Paragraphedeliste"/>
        <w:numPr>
          <w:ilvl w:val="0"/>
          <w:numId w:val="5"/>
        </w:numPr>
        <w:autoSpaceDE w:val="0"/>
        <w:autoSpaceDN w:val="0"/>
        <w:adjustRightInd w:val="0"/>
        <w:jc w:val="both"/>
        <w:rPr>
          <w:rFonts w:ascii="Times New Roman" w:hAnsi="Times New Roman"/>
          <w:sz w:val="24"/>
          <w:szCs w:val="24"/>
        </w:rPr>
      </w:pPr>
      <w:r w:rsidRPr="00EA0839">
        <w:rPr>
          <w:rFonts w:ascii="Times New Roman" w:hAnsi="Times New Roman"/>
          <w:i/>
          <w:iCs/>
          <w:sz w:val="24"/>
          <w:szCs w:val="24"/>
        </w:rPr>
        <w:lastRenderedPageBreak/>
        <w:t xml:space="preserve">régime des cessions de PME </w:t>
      </w:r>
      <w:r w:rsidRPr="00EA0839">
        <w:rPr>
          <w:rFonts w:ascii="Times New Roman" w:hAnsi="Times New Roman"/>
          <w:sz w:val="24"/>
          <w:szCs w:val="24"/>
        </w:rPr>
        <w:t>: il ne peut s’appliquer que si la valeur des éléments qui entrent</w:t>
      </w:r>
      <w:r>
        <w:rPr>
          <w:rFonts w:ascii="Times New Roman" w:hAnsi="Times New Roman"/>
          <w:sz w:val="24"/>
          <w:szCs w:val="24"/>
        </w:rPr>
        <w:t xml:space="preserve"> </w:t>
      </w:r>
      <w:r w:rsidRPr="00EA0839">
        <w:rPr>
          <w:rFonts w:ascii="Times New Roman" w:hAnsi="Times New Roman"/>
          <w:sz w:val="24"/>
          <w:szCs w:val="24"/>
        </w:rPr>
        <w:t>dans la base de calcul des droits d’enregistrement sur la cession du fonds de commerce ne</w:t>
      </w:r>
      <w:r>
        <w:rPr>
          <w:rFonts w:ascii="Times New Roman" w:hAnsi="Times New Roman"/>
          <w:sz w:val="24"/>
          <w:szCs w:val="24"/>
        </w:rPr>
        <w:t xml:space="preserve"> </w:t>
      </w:r>
      <w:r w:rsidRPr="00EA0839">
        <w:rPr>
          <w:rFonts w:ascii="Times New Roman" w:hAnsi="Times New Roman"/>
          <w:sz w:val="24"/>
          <w:szCs w:val="24"/>
        </w:rPr>
        <w:t>dépasse pas 500 000 €. La question précédente a montré que la base de calcul des droits</w:t>
      </w:r>
      <w:r>
        <w:rPr>
          <w:rFonts w:ascii="Times New Roman" w:hAnsi="Times New Roman"/>
          <w:sz w:val="24"/>
          <w:szCs w:val="24"/>
        </w:rPr>
        <w:t xml:space="preserve"> </w:t>
      </w:r>
      <w:r w:rsidRPr="00EA0839">
        <w:rPr>
          <w:rFonts w:ascii="Times New Roman" w:hAnsi="Times New Roman"/>
          <w:sz w:val="24"/>
          <w:szCs w:val="24"/>
        </w:rPr>
        <w:t>d’enregistrement est de 640 000 € ; en conséquence, le régime ne peut s’appliquer ;</w:t>
      </w:r>
    </w:p>
    <w:p w:rsidR="00452CE6" w:rsidRDefault="00452CE6" w:rsidP="00452CE6">
      <w:pPr>
        <w:pStyle w:val="Paragraphedeliste"/>
        <w:numPr>
          <w:ilvl w:val="0"/>
          <w:numId w:val="5"/>
        </w:numPr>
        <w:autoSpaceDE w:val="0"/>
        <w:autoSpaceDN w:val="0"/>
        <w:adjustRightInd w:val="0"/>
        <w:jc w:val="both"/>
        <w:rPr>
          <w:rFonts w:ascii="Times New Roman" w:hAnsi="Times New Roman"/>
          <w:sz w:val="24"/>
          <w:szCs w:val="24"/>
        </w:rPr>
      </w:pPr>
      <w:r w:rsidRPr="00452CE6">
        <w:rPr>
          <w:rFonts w:ascii="Times New Roman" w:hAnsi="Times New Roman"/>
          <w:i/>
          <w:iCs/>
          <w:sz w:val="24"/>
          <w:szCs w:val="24"/>
        </w:rPr>
        <w:t xml:space="preserve">régime de l’exploitant retraité </w:t>
      </w:r>
      <w:r w:rsidRPr="00452CE6">
        <w:rPr>
          <w:rFonts w:ascii="Times New Roman" w:hAnsi="Times New Roman"/>
          <w:sz w:val="24"/>
          <w:szCs w:val="24"/>
        </w:rPr>
        <w:t>: le régime s’applique si et seulement si l’exploitant cesse</w:t>
      </w:r>
      <w:r>
        <w:rPr>
          <w:rFonts w:ascii="Times New Roman" w:hAnsi="Times New Roman"/>
          <w:sz w:val="24"/>
          <w:szCs w:val="24"/>
        </w:rPr>
        <w:t xml:space="preserve"> </w:t>
      </w:r>
      <w:r w:rsidRPr="00452CE6">
        <w:rPr>
          <w:rFonts w:ascii="Times New Roman" w:hAnsi="Times New Roman"/>
          <w:sz w:val="24"/>
          <w:szCs w:val="24"/>
        </w:rPr>
        <w:t>toute fonction dans l’entreprise et fait valoir ses droits à retraite en demandant la liquidation</w:t>
      </w:r>
      <w:r>
        <w:rPr>
          <w:rFonts w:ascii="Times New Roman" w:hAnsi="Times New Roman"/>
          <w:sz w:val="24"/>
          <w:szCs w:val="24"/>
        </w:rPr>
        <w:t xml:space="preserve"> </w:t>
      </w:r>
      <w:r w:rsidRPr="00452CE6">
        <w:rPr>
          <w:rFonts w:ascii="Times New Roman" w:hAnsi="Times New Roman"/>
          <w:sz w:val="24"/>
          <w:szCs w:val="24"/>
        </w:rPr>
        <w:t>de ces droits à pension. L’énoncé précise que M. ROMAIN veut racheter une entreprise de</w:t>
      </w:r>
      <w:r>
        <w:rPr>
          <w:rFonts w:ascii="Times New Roman" w:hAnsi="Times New Roman"/>
          <w:sz w:val="24"/>
          <w:szCs w:val="24"/>
        </w:rPr>
        <w:t xml:space="preserve"> </w:t>
      </w:r>
      <w:r w:rsidRPr="00452CE6">
        <w:rPr>
          <w:rFonts w:ascii="Times New Roman" w:hAnsi="Times New Roman"/>
          <w:sz w:val="24"/>
          <w:szCs w:val="24"/>
        </w:rPr>
        <w:t>matériel de plaisance. Il envisage donc de poursuivre son activité professionnelle et non de</w:t>
      </w:r>
      <w:r>
        <w:rPr>
          <w:rFonts w:ascii="Times New Roman" w:hAnsi="Times New Roman"/>
          <w:sz w:val="24"/>
          <w:szCs w:val="24"/>
        </w:rPr>
        <w:t xml:space="preserve"> </w:t>
      </w:r>
      <w:r w:rsidRPr="00452CE6">
        <w:rPr>
          <w:rFonts w:ascii="Times New Roman" w:hAnsi="Times New Roman"/>
          <w:sz w:val="24"/>
          <w:szCs w:val="24"/>
        </w:rPr>
        <w:t>faire valoir ses droits à retraite. En conséquence, le régime de l’exploitant retraité n’est pas</w:t>
      </w:r>
      <w:r>
        <w:rPr>
          <w:rFonts w:ascii="Times New Roman" w:hAnsi="Times New Roman"/>
          <w:sz w:val="24"/>
          <w:szCs w:val="24"/>
        </w:rPr>
        <w:t xml:space="preserve"> </w:t>
      </w:r>
      <w:r w:rsidRPr="00452CE6">
        <w:rPr>
          <w:rFonts w:ascii="Times New Roman" w:hAnsi="Times New Roman"/>
          <w:sz w:val="24"/>
          <w:szCs w:val="24"/>
        </w:rPr>
        <w:t>applicable.</w:t>
      </w:r>
    </w:p>
    <w:p w:rsidR="00452CE6" w:rsidRDefault="00452CE6" w:rsidP="00452CE6">
      <w:pPr>
        <w:autoSpaceDE w:val="0"/>
        <w:autoSpaceDN w:val="0"/>
        <w:adjustRightInd w:val="0"/>
        <w:jc w:val="both"/>
        <w:rPr>
          <w:rFonts w:ascii="Times New Roman" w:hAnsi="Times New Roman"/>
          <w:sz w:val="24"/>
          <w:szCs w:val="24"/>
        </w:rPr>
      </w:pPr>
    </w:p>
    <w:p w:rsidR="00452CE6" w:rsidRDefault="00452CE6" w:rsidP="00452CE6">
      <w:p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Conclusion : </w:t>
      </w:r>
      <w:r>
        <w:rPr>
          <w:rFonts w:ascii="Times New Roman" w:hAnsi="Times New Roman"/>
          <w:sz w:val="24"/>
          <w:szCs w:val="24"/>
        </w:rPr>
        <w:t>aucun régime d’exonération des plus-values de cession d’entreprise n’est susceptible de s’appliquer. M. ROMAIN devra payer intégralement l’impôt sur les plus-values professionnelles constatées lors de la cession du fonds.</w:t>
      </w:r>
    </w:p>
    <w:p w:rsidR="00452CE6" w:rsidRDefault="00452CE6" w:rsidP="00452CE6">
      <w:pPr>
        <w:autoSpaceDE w:val="0"/>
        <w:autoSpaceDN w:val="0"/>
        <w:adjustRightInd w:val="0"/>
        <w:jc w:val="both"/>
        <w:rPr>
          <w:rFonts w:ascii="Times New Roman" w:hAnsi="Times New Roman"/>
          <w:sz w:val="24"/>
          <w:szCs w:val="24"/>
        </w:rPr>
      </w:pPr>
    </w:p>
    <w:p w:rsidR="00452CE6" w:rsidRDefault="00452CE6" w:rsidP="00452CE6">
      <w:pPr>
        <w:autoSpaceDE w:val="0"/>
        <w:autoSpaceDN w:val="0"/>
        <w:adjustRightInd w:val="0"/>
        <w:jc w:val="both"/>
        <w:rPr>
          <w:rFonts w:ascii="Times New Roman" w:hAnsi="Times New Roman"/>
          <w:sz w:val="24"/>
          <w:szCs w:val="24"/>
        </w:rPr>
      </w:pPr>
    </w:p>
    <w:p w:rsidR="00452CE6" w:rsidRPr="00452CE6" w:rsidRDefault="00452CE6" w:rsidP="00452CE6">
      <w:pPr>
        <w:autoSpaceDE w:val="0"/>
        <w:autoSpaceDN w:val="0"/>
        <w:adjustRightInd w:val="0"/>
        <w:jc w:val="both"/>
        <w:rPr>
          <w:rFonts w:ascii="Times New Roman" w:hAnsi="Times New Roman"/>
          <w:sz w:val="24"/>
          <w:szCs w:val="24"/>
        </w:rPr>
      </w:pPr>
    </w:p>
    <w:p w:rsidR="00474C5D" w:rsidRDefault="00452CE6" w:rsidP="00394D2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DOSSIER 2</w:t>
      </w:r>
    </w:p>
    <w:p w:rsidR="00452CE6" w:rsidRDefault="00452CE6" w:rsidP="00474C5D">
      <w:pPr>
        <w:autoSpaceDE w:val="0"/>
        <w:autoSpaceDN w:val="0"/>
        <w:adjustRightInd w:val="0"/>
        <w:jc w:val="both"/>
        <w:rPr>
          <w:rFonts w:ascii="Times New Roman" w:hAnsi="Times New Roman"/>
          <w:b/>
          <w:bCs/>
          <w:sz w:val="24"/>
          <w:szCs w:val="24"/>
        </w:rPr>
      </w:pPr>
    </w:p>
    <w:p w:rsidR="00452CE6" w:rsidRDefault="00452CE6" w:rsidP="00474C5D">
      <w:pPr>
        <w:autoSpaceDE w:val="0"/>
        <w:autoSpaceDN w:val="0"/>
        <w:adjustRightInd w:val="0"/>
        <w:jc w:val="both"/>
        <w:rPr>
          <w:rFonts w:ascii="Times New Roman" w:hAnsi="Times New Roman"/>
          <w:b/>
          <w:bCs/>
          <w:sz w:val="24"/>
          <w:szCs w:val="24"/>
        </w:rPr>
      </w:pPr>
    </w:p>
    <w:p w:rsidR="00452CE6" w:rsidRDefault="00452CE6" w:rsidP="00452CE6">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1. </w:t>
      </w:r>
      <w:r>
        <w:rPr>
          <w:rFonts w:ascii="Times New Roman" w:hAnsi="Times New Roman"/>
          <w:b/>
          <w:bCs/>
          <w:sz w:val="24"/>
          <w:szCs w:val="24"/>
        </w:rPr>
        <w:t>MM. TUPINIER et FERRIER décidant de retenir la forme associative, quelles sont les démarches en vue de la constitution et de la déclaration de cette association ? Qu’apporte la déclaration de l’association ?</w:t>
      </w:r>
    </w:p>
    <w:p w:rsidR="00452CE6" w:rsidRDefault="00452CE6" w:rsidP="00452CE6">
      <w:pPr>
        <w:autoSpaceDE w:val="0"/>
        <w:autoSpaceDN w:val="0"/>
        <w:adjustRightInd w:val="0"/>
        <w:jc w:val="both"/>
        <w:rPr>
          <w:rFonts w:ascii="Times New Roman" w:hAnsi="Times New Roman"/>
          <w:b/>
          <w:bCs/>
          <w:sz w:val="24"/>
          <w:szCs w:val="24"/>
        </w:rPr>
      </w:pPr>
    </w:p>
    <w:p w:rsidR="00452CE6" w:rsidRDefault="00116553" w:rsidP="00116553">
      <w:pPr>
        <w:autoSpaceDE w:val="0"/>
        <w:autoSpaceDN w:val="0"/>
        <w:adjustRightInd w:val="0"/>
        <w:jc w:val="both"/>
        <w:rPr>
          <w:rFonts w:ascii="Times New Roman" w:hAnsi="Times New Roman"/>
          <w:sz w:val="24"/>
          <w:szCs w:val="24"/>
        </w:rPr>
      </w:pPr>
      <w:r>
        <w:rPr>
          <w:rFonts w:ascii="Times New Roman" w:hAnsi="Times New Roman"/>
          <w:sz w:val="24"/>
          <w:szCs w:val="24"/>
        </w:rPr>
        <w:t>La constitution d’une association n’est soumise à aucun formalisme particulier ni à aucune autorisation particulière en application du principe de la liberté d’association.</w:t>
      </w:r>
    </w:p>
    <w:p w:rsidR="00116553" w:rsidRDefault="00116553" w:rsidP="00116553">
      <w:pPr>
        <w:autoSpaceDE w:val="0"/>
        <w:autoSpaceDN w:val="0"/>
        <w:adjustRightInd w:val="0"/>
        <w:jc w:val="both"/>
        <w:rPr>
          <w:rFonts w:ascii="Times New Roman" w:hAnsi="Times New Roman"/>
          <w:sz w:val="24"/>
          <w:szCs w:val="24"/>
        </w:rPr>
      </w:pPr>
    </w:p>
    <w:p w:rsidR="00116553" w:rsidRDefault="00116553" w:rsidP="00116553">
      <w:pPr>
        <w:autoSpaceDE w:val="0"/>
        <w:autoSpaceDN w:val="0"/>
        <w:adjustRightInd w:val="0"/>
        <w:jc w:val="both"/>
        <w:rPr>
          <w:rFonts w:ascii="Times New Roman" w:hAnsi="Times New Roman"/>
          <w:sz w:val="24"/>
          <w:szCs w:val="24"/>
        </w:rPr>
      </w:pPr>
      <w:r>
        <w:rPr>
          <w:rFonts w:ascii="Times New Roman" w:hAnsi="Times New Roman"/>
          <w:sz w:val="24"/>
          <w:szCs w:val="24"/>
        </w:rPr>
        <w:t>Une assemblée générale constitutive des membres est généralement nécessaire pour adopter les statuts, statuts dont le contenu est en principe libre.</w:t>
      </w:r>
    </w:p>
    <w:p w:rsidR="00BD32CF" w:rsidRDefault="00BD32CF" w:rsidP="00116553">
      <w:pPr>
        <w:autoSpaceDE w:val="0"/>
        <w:autoSpaceDN w:val="0"/>
        <w:adjustRightInd w:val="0"/>
        <w:jc w:val="both"/>
        <w:rPr>
          <w:rFonts w:ascii="Times New Roman" w:hAnsi="Times New Roman"/>
          <w:sz w:val="24"/>
          <w:szCs w:val="24"/>
        </w:rPr>
      </w:pPr>
    </w:p>
    <w:p w:rsidR="00BD32CF" w:rsidRDefault="00BD32CF" w:rsidP="00BD32CF">
      <w:pPr>
        <w:autoSpaceDE w:val="0"/>
        <w:autoSpaceDN w:val="0"/>
        <w:adjustRightInd w:val="0"/>
        <w:jc w:val="both"/>
        <w:rPr>
          <w:rFonts w:ascii="Times New Roman" w:hAnsi="Times New Roman"/>
          <w:sz w:val="24"/>
          <w:szCs w:val="24"/>
        </w:rPr>
      </w:pPr>
      <w:r>
        <w:rPr>
          <w:rFonts w:ascii="Times New Roman" w:hAnsi="Times New Roman"/>
          <w:sz w:val="24"/>
          <w:szCs w:val="24"/>
        </w:rPr>
        <w:t>La personnalité juridique s’acquiert par la déclaration de l’Association auprès de la Préfecture (ou sous-préfecture) du lieu du siège de l’association et la publication au Journal Officiel dans un délai d’un mois. La déclaration indique son nom, son objet, son siège ainsi que les noms, professions, domiciles et nationalités des dirigeants ou des personnes chargées de l’administration ; elle est assortie de deux exemplaires des statuts et d’une demande d’insertion au Journal Officiel. L’administration adresse un récépissé dans les 5 jours qui suivent la remise du dossier complet avec indication du numéro d’inscription au registre national des associations. L’administration dispose d’un délai d’un mois pour réaliser la publication au Journal Officiel. L’association aura la capacité juridique dès que la publication aura eu lieu.</w:t>
      </w:r>
    </w:p>
    <w:p w:rsidR="00BD32CF" w:rsidRDefault="00BD32CF" w:rsidP="00BD32CF">
      <w:pPr>
        <w:autoSpaceDE w:val="0"/>
        <w:autoSpaceDN w:val="0"/>
        <w:adjustRightInd w:val="0"/>
        <w:jc w:val="both"/>
        <w:rPr>
          <w:rFonts w:ascii="Times New Roman" w:hAnsi="Times New Roman"/>
          <w:sz w:val="24"/>
          <w:szCs w:val="24"/>
        </w:rPr>
      </w:pPr>
    </w:p>
    <w:p w:rsidR="00BD32CF" w:rsidRDefault="00074A03" w:rsidP="00074A03">
      <w:pPr>
        <w:autoSpaceDE w:val="0"/>
        <w:autoSpaceDN w:val="0"/>
        <w:adjustRightInd w:val="0"/>
        <w:jc w:val="both"/>
        <w:rPr>
          <w:rFonts w:ascii="Times New Roman" w:hAnsi="Times New Roman"/>
          <w:sz w:val="24"/>
          <w:szCs w:val="24"/>
        </w:rPr>
      </w:pPr>
      <w:r>
        <w:rPr>
          <w:rFonts w:ascii="Times New Roman" w:hAnsi="Times New Roman"/>
          <w:sz w:val="24"/>
          <w:szCs w:val="24"/>
        </w:rPr>
        <w:t>Une association peut être une association non déclarée ou une association déclarée. Mais, contrairement à une association déclarée, une association non déclarée est alors dépourvue de personnalité morale. Elle n’a pas la capacité juridique.</w:t>
      </w:r>
    </w:p>
    <w:p w:rsidR="00074A03" w:rsidRDefault="00074A03" w:rsidP="00074A03">
      <w:pPr>
        <w:autoSpaceDE w:val="0"/>
        <w:autoSpaceDN w:val="0"/>
        <w:adjustRightInd w:val="0"/>
        <w:jc w:val="both"/>
        <w:rPr>
          <w:rFonts w:ascii="Times New Roman" w:hAnsi="Times New Roman"/>
          <w:sz w:val="24"/>
          <w:szCs w:val="24"/>
        </w:rPr>
      </w:pPr>
    </w:p>
    <w:p w:rsidR="00074A03" w:rsidRDefault="00A14601" w:rsidP="00A14601">
      <w:pPr>
        <w:autoSpaceDE w:val="0"/>
        <w:autoSpaceDN w:val="0"/>
        <w:adjustRightInd w:val="0"/>
        <w:jc w:val="both"/>
        <w:rPr>
          <w:rFonts w:ascii="Times New Roman" w:hAnsi="Times New Roman"/>
          <w:sz w:val="24"/>
          <w:szCs w:val="24"/>
        </w:rPr>
      </w:pPr>
      <w:r>
        <w:rPr>
          <w:rFonts w:ascii="Times New Roman" w:hAnsi="Times New Roman"/>
          <w:sz w:val="24"/>
          <w:szCs w:val="24"/>
        </w:rPr>
        <w:t>L’association déclarée peut contracter, bénéficier de libéralités ou subventions, ou encore agir en justice. Elle est responsable de ses actes lesquels n’engagent pas, en principe, la responsabilité de ses membres.</w:t>
      </w:r>
    </w:p>
    <w:p w:rsidR="00A14601" w:rsidRDefault="00A14601" w:rsidP="00A14601">
      <w:pPr>
        <w:autoSpaceDE w:val="0"/>
        <w:autoSpaceDN w:val="0"/>
        <w:adjustRightInd w:val="0"/>
        <w:jc w:val="both"/>
        <w:rPr>
          <w:rFonts w:ascii="Times New Roman" w:hAnsi="Times New Roman"/>
          <w:sz w:val="24"/>
          <w:szCs w:val="24"/>
        </w:rPr>
      </w:pPr>
    </w:p>
    <w:p w:rsidR="00A14601" w:rsidRPr="00994AC9" w:rsidRDefault="00994AC9" w:rsidP="00994AC9">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2</w:t>
      </w:r>
      <w:r>
        <w:rPr>
          <w:rFonts w:ascii="Times New Roman" w:hAnsi="Times New Roman"/>
          <w:b/>
          <w:bCs/>
          <w:sz w:val="24"/>
          <w:szCs w:val="24"/>
        </w:rPr>
        <w:t>. Le versement d’une rémunération est-il juridiquement possible ? Si oui, dans quelles conditions et avec quelles conséquences potentielles ? Si non, pourquoi ?</w:t>
      </w:r>
    </w:p>
    <w:p w:rsidR="00116553" w:rsidRDefault="00116553" w:rsidP="00116553">
      <w:pPr>
        <w:autoSpaceDE w:val="0"/>
        <w:autoSpaceDN w:val="0"/>
        <w:adjustRightInd w:val="0"/>
        <w:jc w:val="both"/>
        <w:rPr>
          <w:rFonts w:ascii="Times New Roman" w:hAnsi="Times New Roman"/>
          <w:sz w:val="24"/>
          <w:szCs w:val="24"/>
        </w:rPr>
      </w:pPr>
    </w:p>
    <w:p w:rsidR="00994AC9" w:rsidRPr="00116553" w:rsidRDefault="009C314D" w:rsidP="009C314D">
      <w:pPr>
        <w:autoSpaceDE w:val="0"/>
        <w:autoSpaceDN w:val="0"/>
        <w:adjustRightInd w:val="0"/>
        <w:jc w:val="both"/>
        <w:rPr>
          <w:rFonts w:ascii="Times New Roman" w:hAnsi="Times New Roman"/>
          <w:sz w:val="24"/>
          <w:szCs w:val="24"/>
        </w:rPr>
      </w:pPr>
      <w:r>
        <w:rPr>
          <w:rFonts w:ascii="Times New Roman" w:hAnsi="Times New Roman"/>
          <w:sz w:val="24"/>
          <w:szCs w:val="24"/>
        </w:rPr>
        <w:t>Le versement d’une rémunération à un dirigeant mandataire de l’association est juridiquement possible</w:t>
      </w:r>
      <w:r>
        <w:rPr>
          <w:rFonts w:ascii="Times New Roman" w:hAnsi="Times New Roman"/>
          <w:i/>
          <w:iCs/>
          <w:sz w:val="24"/>
          <w:szCs w:val="24"/>
        </w:rPr>
        <w:t xml:space="preserve">. </w:t>
      </w:r>
      <w:r>
        <w:rPr>
          <w:rFonts w:ascii="Times New Roman" w:hAnsi="Times New Roman"/>
          <w:sz w:val="24"/>
          <w:szCs w:val="24"/>
        </w:rPr>
        <w:t>Il ne doit cependant pas dissimuler une répartition directe ou indirecte de bénéfices contraire à un but désintéressé. L’association ne doit pas en effet avoir pour but de partager des bénéfices (art. 1 de la loi du 1</w:t>
      </w:r>
      <w:r>
        <w:rPr>
          <w:rFonts w:ascii="Times New Roman" w:hAnsi="Times New Roman"/>
          <w:sz w:val="16"/>
          <w:szCs w:val="16"/>
        </w:rPr>
        <w:t xml:space="preserve">er </w:t>
      </w:r>
      <w:r>
        <w:rPr>
          <w:rFonts w:ascii="Times New Roman" w:hAnsi="Times New Roman"/>
          <w:sz w:val="24"/>
          <w:szCs w:val="24"/>
        </w:rPr>
        <w:t>juillet 1901).</w:t>
      </w:r>
    </w:p>
    <w:p w:rsidR="00DE1DBB" w:rsidRDefault="00DE1DBB" w:rsidP="00DE1DBB">
      <w:pPr>
        <w:autoSpaceDE w:val="0"/>
        <w:autoSpaceDN w:val="0"/>
        <w:adjustRightInd w:val="0"/>
        <w:rPr>
          <w:rFonts w:ascii="Times New Roman" w:hAnsi="Times New Roman"/>
          <w:sz w:val="24"/>
          <w:szCs w:val="24"/>
        </w:rPr>
      </w:pPr>
    </w:p>
    <w:p w:rsidR="008F2F9D" w:rsidRDefault="00DE1DBB" w:rsidP="00DE1DBB">
      <w:pPr>
        <w:autoSpaceDE w:val="0"/>
        <w:autoSpaceDN w:val="0"/>
        <w:adjustRightInd w:val="0"/>
        <w:rPr>
          <w:rFonts w:ascii="Times New Roman" w:hAnsi="Times New Roman"/>
          <w:sz w:val="24"/>
          <w:szCs w:val="24"/>
        </w:rPr>
      </w:pPr>
      <w:r>
        <w:rPr>
          <w:rFonts w:ascii="Times New Roman" w:hAnsi="Times New Roman"/>
          <w:sz w:val="24"/>
          <w:szCs w:val="24"/>
        </w:rPr>
        <w:lastRenderedPageBreak/>
        <w:t>Le versement ne remet pas en cause ces principes fondamentaux dès lors que la rémunération n’excède pas, l’une ou l’autre des deux limites suivantes :</w:t>
      </w:r>
    </w:p>
    <w:p w:rsidR="006C1EC4" w:rsidRDefault="006C1EC4" w:rsidP="00DE1DBB">
      <w:pPr>
        <w:autoSpaceDE w:val="0"/>
        <w:autoSpaceDN w:val="0"/>
        <w:adjustRightInd w:val="0"/>
        <w:rPr>
          <w:rFonts w:ascii="Times New Roman" w:hAnsi="Times New Roman"/>
          <w:sz w:val="24"/>
          <w:szCs w:val="24"/>
        </w:rPr>
      </w:pPr>
    </w:p>
    <w:p w:rsidR="006C1EC4" w:rsidRDefault="006C1EC4" w:rsidP="006C1EC4">
      <w:pPr>
        <w:pStyle w:val="Paragraphedeliste"/>
        <w:numPr>
          <w:ilvl w:val="0"/>
          <w:numId w:val="6"/>
        </w:numPr>
        <w:autoSpaceDE w:val="0"/>
        <w:autoSpaceDN w:val="0"/>
        <w:adjustRightInd w:val="0"/>
        <w:rPr>
          <w:rFonts w:ascii="Times New Roman" w:hAnsi="Times New Roman"/>
          <w:sz w:val="24"/>
          <w:szCs w:val="24"/>
        </w:rPr>
      </w:pPr>
      <w:r>
        <w:rPr>
          <w:rFonts w:ascii="Times New Roman" w:hAnsi="Times New Roman"/>
          <w:sz w:val="24"/>
          <w:szCs w:val="24"/>
        </w:rPr>
        <w:t>les trois quarts du SMIC pour un dirigeant de fait ou de droit (BOI 4-H-5-06, § 18) ;</w:t>
      </w:r>
    </w:p>
    <w:p w:rsidR="006C1EC4" w:rsidRDefault="006C1EC4" w:rsidP="006C1EC4">
      <w:pPr>
        <w:pStyle w:val="Paragraphedeliste"/>
        <w:numPr>
          <w:ilvl w:val="0"/>
          <w:numId w:val="6"/>
        </w:numPr>
        <w:autoSpaceDE w:val="0"/>
        <w:autoSpaceDN w:val="0"/>
        <w:adjustRightInd w:val="0"/>
        <w:jc w:val="both"/>
        <w:rPr>
          <w:rFonts w:ascii="Times New Roman" w:hAnsi="Times New Roman"/>
          <w:sz w:val="24"/>
          <w:szCs w:val="24"/>
        </w:rPr>
      </w:pPr>
      <w:r w:rsidRPr="006C1EC4">
        <w:rPr>
          <w:rFonts w:ascii="Times New Roman" w:hAnsi="Times New Roman"/>
          <w:sz w:val="24"/>
          <w:szCs w:val="24"/>
        </w:rPr>
        <w:t>trois fois le plafond de la sécurité sociale, dès lors qu’elle est la contrepartie de l’exercice</w:t>
      </w:r>
      <w:r>
        <w:rPr>
          <w:rFonts w:ascii="Times New Roman" w:hAnsi="Times New Roman"/>
          <w:sz w:val="24"/>
          <w:szCs w:val="24"/>
        </w:rPr>
        <w:t xml:space="preserve"> </w:t>
      </w:r>
      <w:r w:rsidRPr="006C1EC4">
        <w:rPr>
          <w:rFonts w:ascii="Times New Roman" w:hAnsi="Times New Roman"/>
          <w:sz w:val="24"/>
          <w:szCs w:val="24"/>
        </w:rPr>
        <w:t>effectif du mandat de dirigeant, proportionnelle à son temps de travail et comparable à celle</w:t>
      </w:r>
      <w:r>
        <w:rPr>
          <w:rFonts w:ascii="Times New Roman" w:hAnsi="Times New Roman"/>
          <w:sz w:val="24"/>
          <w:szCs w:val="24"/>
        </w:rPr>
        <w:t xml:space="preserve"> </w:t>
      </w:r>
      <w:r w:rsidRPr="006C1EC4">
        <w:rPr>
          <w:rFonts w:ascii="Times New Roman" w:hAnsi="Times New Roman"/>
          <w:sz w:val="24"/>
          <w:szCs w:val="24"/>
        </w:rPr>
        <w:t>qui peut être versée pour une responsabilité comparable et à un seul dirigeant de droit à</w:t>
      </w:r>
      <w:r>
        <w:rPr>
          <w:rFonts w:ascii="Times New Roman" w:hAnsi="Times New Roman"/>
          <w:sz w:val="24"/>
          <w:szCs w:val="24"/>
        </w:rPr>
        <w:t xml:space="preserve"> </w:t>
      </w:r>
      <w:r w:rsidRPr="006C1EC4">
        <w:rPr>
          <w:rFonts w:ascii="Times New Roman" w:hAnsi="Times New Roman"/>
          <w:sz w:val="24"/>
          <w:szCs w:val="24"/>
        </w:rPr>
        <w:t xml:space="preserve">condition que les ressources </w:t>
      </w:r>
      <w:r w:rsidR="00666A67">
        <w:rPr>
          <w:rFonts w:ascii="Times New Roman" w:hAnsi="Times New Roman"/>
          <w:sz w:val="24"/>
          <w:szCs w:val="24"/>
        </w:rPr>
        <w:t xml:space="preserve"> </w:t>
      </w:r>
      <w:r w:rsidRPr="006C1EC4">
        <w:rPr>
          <w:rFonts w:ascii="Times New Roman" w:hAnsi="Times New Roman"/>
          <w:sz w:val="24"/>
          <w:szCs w:val="24"/>
        </w:rPr>
        <w:t>annuelles de</w:t>
      </w:r>
      <w:r w:rsidR="00666A67">
        <w:rPr>
          <w:rFonts w:ascii="Times New Roman" w:hAnsi="Times New Roman"/>
          <w:sz w:val="24"/>
          <w:szCs w:val="24"/>
        </w:rPr>
        <w:t xml:space="preserve"> </w:t>
      </w:r>
      <w:r w:rsidRPr="006C1EC4">
        <w:rPr>
          <w:rFonts w:ascii="Times New Roman" w:hAnsi="Times New Roman"/>
          <w:sz w:val="24"/>
          <w:szCs w:val="24"/>
        </w:rPr>
        <w:t xml:space="preserve"> l’association </w:t>
      </w:r>
      <w:r w:rsidR="00666A67">
        <w:rPr>
          <w:rFonts w:ascii="Times New Roman" w:hAnsi="Times New Roman"/>
          <w:sz w:val="24"/>
          <w:szCs w:val="24"/>
        </w:rPr>
        <w:t xml:space="preserve"> </w:t>
      </w:r>
      <w:r w:rsidRPr="006C1EC4">
        <w:rPr>
          <w:rFonts w:ascii="Times New Roman" w:hAnsi="Times New Roman"/>
          <w:sz w:val="24"/>
          <w:szCs w:val="24"/>
        </w:rPr>
        <w:t xml:space="preserve">constatées par un </w:t>
      </w:r>
      <w:r w:rsidR="00666A67">
        <w:rPr>
          <w:rFonts w:ascii="Times New Roman" w:hAnsi="Times New Roman"/>
          <w:sz w:val="24"/>
          <w:szCs w:val="24"/>
        </w:rPr>
        <w:t xml:space="preserve"> </w:t>
      </w:r>
      <w:r w:rsidRPr="006C1EC4">
        <w:rPr>
          <w:rFonts w:ascii="Times New Roman" w:hAnsi="Times New Roman"/>
          <w:sz w:val="24"/>
          <w:szCs w:val="24"/>
        </w:rPr>
        <w:t xml:space="preserve">commissaire </w:t>
      </w:r>
      <w:r w:rsidR="00666A67">
        <w:rPr>
          <w:rFonts w:ascii="Times New Roman" w:hAnsi="Times New Roman"/>
          <w:sz w:val="24"/>
          <w:szCs w:val="24"/>
        </w:rPr>
        <w:t xml:space="preserve"> </w:t>
      </w:r>
      <w:r w:rsidRPr="006C1EC4">
        <w:rPr>
          <w:rFonts w:ascii="Times New Roman" w:hAnsi="Times New Roman"/>
          <w:sz w:val="24"/>
          <w:szCs w:val="24"/>
        </w:rPr>
        <w:t>aux</w:t>
      </w:r>
      <w:r>
        <w:rPr>
          <w:rFonts w:ascii="Times New Roman" w:hAnsi="Times New Roman"/>
          <w:sz w:val="24"/>
          <w:szCs w:val="24"/>
        </w:rPr>
        <w:t xml:space="preserve"> </w:t>
      </w:r>
      <w:r w:rsidR="00666A67">
        <w:rPr>
          <w:rFonts w:ascii="Times New Roman" w:hAnsi="Times New Roman"/>
          <w:sz w:val="24"/>
          <w:szCs w:val="24"/>
        </w:rPr>
        <w:t xml:space="preserve"> </w:t>
      </w:r>
      <w:r w:rsidRPr="006C1EC4">
        <w:rPr>
          <w:rFonts w:ascii="Times New Roman" w:hAnsi="Times New Roman"/>
          <w:sz w:val="24"/>
          <w:szCs w:val="24"/>
        </w:rPr>
        <w:t>comptes</w:t>
      </w:r>
      <w:r w:rsidR="00666A67">
        <w:rPr>
          <w:rFonts w:ascii="Times New Roman" w:hAnsi="Times New Roman"/>
          <w:sz w:val="24"/>
          <w:szCs w:val="24"/>
        </w:rPr>
        <w:t xml:space="preserve"> </w:t>
      </w:r>
      <w:r w:rsidRPr="006C1EC4">
        <w:rPr>
          <w:rFonts w:ascii="Times New Roman" w:hAnsi="Times New Roman"/>
          <w:sz w:val="24"/>
          <w:szCs w:val="24"/>
        </w:rPr>
        <w:t xml:space="preserve"> excèdent 200 000 € (deux si elles excèdent 500 000 €, trois si elles excèdent</w:t>
      </w:r>
      <w:r>
        <w:rPr>
          <w:rFonts w:ascii="Times New Roman" w:hAnsi="Times New Roman"/>
          <w:sz w:val="24"/>
          <w:szCs w:val="24"/>
        </w:rPr>
        <w:t xml:space="preserve"> </w:t>
      </w:r>
      <w:r w:rsidRPr="006C1EC4">
        <w:rPr>
          <w:rFonts w:ascii="Times New Roman" w:hAnsi="Times New Roman"/>
          <w:sz w:val="24"/>
          <w:szCs w:val="24"/>
        </w:rPr>
        <w:t>1 000 000 €, en moyenne sur les trois exercices clos précédents - CGI, art. 261-7-1°-d et BOI</w:t>
      </w:r>
      <w:r>
        <w:rPr>
          <w:rFonts w:ascii="Times New Roman" w:hAnsi="Times New Roman"/>
          <w:sz w:val="24"/>
          <w:szCs w:val="24"/>
        </w:rPr>
        <w:t xml:space="preserve"> </w:t>
      </w:r>
      <w:r w:rsidRPr="006C1EC4">
        <w:rPr>
          <w:rFonts w:ascii="Times New Roman" w:hAnsi="Times New Roman"/>
          <w:sz w:val="24"/>
          <w:szCs w:val="24"/>
        </w:rPr>
        <w:t>4-H-5-06).</w:t>
      </w:r>
    </w:p>
    <w:p w:rsidR="006C1EC4" w:rsidRDefault="006C1EC4" w:rsidP="006C1EC4">
      <w:pPr>
        <w:pStyle w:val="Paragraphedeliste"/>
        <w:numPr>
          <w:ilvl w:val="0"/>
          <w:numId w:val="6"/>
        </w:numPr>
        <w:autoSpaceDE w:val="0"/>
        <w:autoSpaceDN w:val="0"/>
        <w:adjustRightInd w:val="0"/>
        <w:jc w:val="both"/>
        <w:rPr>
          <w:rFonts w:ascii="Times New Roman" w:hAnsi="Times New Roman"/>
          <w:sz w:val="24"/>
          <w:szCs w:val="24"/>
        </w:rPr>
      </w:pPr>
      <w:r w:rsidRPr="006C1EC4">
        <w:rPr>
          <w:rFonts w:ascii="Times New Roman" w:hAnsi="Times New Roman"/>
          <w:sz w:val="24"/>
          <w:szCs w:val="24"/>
        </w:rPr>
        <w:t>Ce versement peut en outre conduire à une remise en cause de l’exonération fiscale des</w:t>
      </w:r>
      <w:r>
        <w:rPr>
          <w:rFonts w:ascii="Times New Roman" w:hAnsi="Times New Roman"/>
          <w:sz w:val="24"/>
          <w:szCs w:val="24"/>
        </w:rPr>
        <w:t xml:space="preserve"> </w:t>
      </w:r>
      <w:r w:rsidRPr="006C1EC4">
        <w:rPr>
          <w:rFonts w:ascii="Times New Roman" w:hAnsi="Times New Roman"/>
          <w:sz w:val="24"/>
          <w:szCs w:val="24"/>
        </w:rPr>
        <w:t>activités non lucratives</w:t>
      </w:r>
      <w:r>
        <w:rPr>
          <w:rFonts w:ascii="Times New Roman" w:hAnsi="Times New Roman"/>
          <w:sz w:val="24"/>
          <w:szCs w:val="24"/>
        </w:rPr>
        <w:t>.</w:t>
      </w:r>
    </w:p>
    <w:p w:rsidR="00F821C5" w:rsidRDefault="00F821C5" w:rsidP="00F821C5">
      <w:pPr>
        <w:autoSpaceDE w:val="0"/>
        <w:autoSpaceDN w:val="0"/>
        <w:adjustRightInd w:val="0"/>
        <w:jc w:val="both"/>
        <w:rPr>
          <w:rFonts w:ascii="Times New Roman" w:hAnsi="Times New Roman"/>
          <w:sz w:val="24"/>
          <w:szCs w:val="24"/>
        </w:rPr>
      </w:pPr>
    </w:p>
    <w:p w:rsidR="00F821C5" w:rsidRDefault="00F821C5" w:rsidP="00F821C5">
      <w:pPr>
        <w:autoSpaceDE w:val="0"/>
        <w:autoSpaceDN w:val="0"/>
        <w:adjustRightInd w:val="0"/>
        <w:rPr>
          <w:rFonts w:ascii="Times New Roman" w:hAnsi="Times New Roman"/>
          <w:b/>
          <w:bCs/>
          <w:sz w:val="24"/>
          <w:szCs w:val="24"/>
        </w:rPr>
      </w:pPr>
      <w:r>
        <w:rPr>
          <w:rFonts w:ascii="Times New Roman" w:hAnsi="Times New Roman"/>
          <w:b/>
          <w:bCs/>
          <w:i/>
          <w:iCs/>
          <w:sz w:val="24"/>
          <w:szCs w:val="24"/>
        </w:rPr>
        <w:t xml:space="preserve">3. </w:t>
      </w:r>
      <w:r>
        <w:rPr>
          <w:rFonts w:ascii="Times New Roman" w:hAnsi="Times New Roman"/>
          <w:b/>
          <w:bCs/>
          <w:sz w:val="24"/>
          <w:szCs w:val="24"/>
        </w:rPr>
        <w:t>Quelles pourraient être les conséquences de ces évolutions financière et commerciale ?</w:t>
      </w:r>
    </w:p>
    <w:p w:rsidR="00666A67" w:rsidRDefault="00666A67" w:rsidP="00F821C5">
      <w:pPr>
        <w:autoSpaceDE w:val="0"/>
        <w:autoSpaceDN w:val="0"/>
        <w:adjustRightInd w:val="0"/>
        <w:rPr>
          <w:rFonts w:ascii="Times New Roman" w:hAnsi="Times New Roman"/>
          <w:b/>
          <w:bCs/>
          <w:sz w:val="24"/>
          <w:szCs w:val="24"/>
        </w:rPr>
      </w:pPr>
    </w:p>
    <w:p w:rsidR="00666A67" w:rsidRDefault="00EE582C" w:rsidP="000417CA">
      <w:pPr>
        <w:autoSpaceDE w:val="0"/>
        <w:autoSpaceDN w:val="0"/>
        <w:adjustRightInd w:val="0"/>
        <w:jc w:val="both"/>
        <w:rPr>
          <w:rFonts w:ascii="Times New Roman" w:hAnsi="Times New Roman"/>
          <w:sz w:val="24"/>
          <w:szCs w:val="24"/>
        </w:rPr>
      </w:pPr>
      <w:r>
        <w:rPr>
          <w:rFonts w:ascii="Times New Roman" w:hAnsi="Times New Roman"/>
          <w:sz w:val="24"/>
          <w:szCs w:val="24"/>
        </w:rPr>
        <w:t>L’association peut naturellement recevoir des subventions d’une collectivité territoriale. Si les subventions publiques dépassent 153 000 €, elle doit être soumise au contrôle d’un commissaire aux comptes.</w:t>
      </w:r>
    </w:p>
    <w:p w:rsidR="00EE582C" w:rsidRPr="00EE582C" w:rsidRDefault="00A27551" w:rsidP="000417CA">
      <w:pPr>
        <w:autoSpaceDE w:val="0"/>
        <w:autoSpaceDN w:val="0"/>
        <w:adjustRightInd w:val="0"/>
        <w:jc w:val="both"/>
        <w:rPr>
          <w:rFonts w:ascii="Times New Roman" w:hAnsi="Times New Roman"/>
          <w:sz w:val="24"/>
          <w:szCs w:val="24"/>
        </w:rPr>
      </w:pPr>
      <w:r>
        <w:rPr>
          <w:rFonts w:ascii="Times New Roman" w:hAnsi="Times New Roman"/>
          <w:sz w:val="24"/>
          <w:szCs w:val="24"/>
        </w:rPr>
        <w:t xml:space="preserve">Une association peut développer des activités économiques et commerciales, dès lors que cela est prévu dans ses statuts. Elle est alors soumise aux dispositions applicables aux commerçants. L’association qui développe de telles activités est passible des impôts commerciaux (IS, CET, TVA) </w:t>
      </w:r>
      <w:r>
        <w:rPr>
          <w:rFonts w:ascii="Times New Roman" w:hAnsi="Times New Roman"/>
          <w:i/>
          <w:iCs/>
          <w:sz w:val="24"/>
          <w:szCs w:val="24"/>
        </w:rPr>
        <w:t xml:space="preserve">(1 point), </w:t>
      </w:r>
      <w:r>
        <w:rPr>
          <w:rFonts w:ascii="Times New Roman" w:hAnsi="Times New Roman"/>
          <w:sz w:val="24"/>
          <w:szCs w:val="24"/>
        </w:rPr>
        <w:t>à moins de bénéficier de la franchise des activités lucratives accessoires (les recettes annuelles d’exploitation de ces activités ne doivent pas excéder 60 000 € HT) ou d’isoler ces activités par une sectorisation ou bien une filialisation.</w:t>
      </w:r>
    </w:p>
    <w:p w:rsidR="00692CB2" w:rsidRDefault="00692CB2" w:rsidP="009A34AD">
      <w:pPr>
        <w:autoSpaceDE w:val="0"/>
        <w:autoSpaceDN w:val="0"/>
        <w:adjustRightInd w:val="0"/>
        <w:jc w:val="both"/>
        <w:rPr>
          <w:rFonts w:ascii="Times New Roman" w:hAnsi="Times New Roman"/>
          <w:sz w:val="24"/>
          <w:szCs w:val="24"/>
        </w:rPr>
      </w:pPr>
    </w:p>
    <w:p w:rsidR="008E72ED" w:rsidRDefault="008E72ED" w:rsidP="008E72ED">
      <w:pPr>
        <w:autoSpaceDE w:val="0"/>
        <w:autoSpaceDN w:val="0"/>
        <w:adjustRightInd w:val="0"/>
        <w:rPr>
          <w:rFonts w:ascii="Times New Roman" w:hAnsi="Times New Roman"/>
          <w:b/>
          <w:bCs/>
          <w:sz w:val="24"/>
          <w:szCs w:val="24"/>
        </w:rPr>
      </w:pPr>
      <w:r>
        <w:rPr>
          <w:rFonts w:ascii="Times New Roman" w:hAnsi="Times New Roman"/>
          <w:b/>
          <w:bCs/>
          <w:i/>
          <w:iCs/>
          <w:sz w:val="24"/>
          <w:szCs w:val="24"/>
        </w:rPr>
        <w:t xml:space="preserve">4. </w:t>
      </w:r>
      <w:r>
        <w:rPr>
          <w:rFonts w:ascii="Times New Roman" w:hAnsi="Times New Roman"/>
          <w:b/>
          <w:bCs/>
          <w:sz w:val="24"/>
          <w:szCs w:val="24"/>
        </w:rPr>
        <w:t>Est-ce envisageable ? Comment serait-elle prononcée ? Quelles en seraient les conséquences ?</w:t>
      </w:r>
    </w:p>
    <w:p w:rsidR="008E72ED" w:rsidRDefault="008E72ED" w:rsidP="008E72ED">
      <w:pPr>
        <w:autoSpaceDE w:val="0"/>
        <w:autoSpaceDN w:val="0"/>
        <w:adjustRightInd w:val="0"/>
        <w:rPr>
          <w:rFonts w:ascii="Times New Roman" w:hAnsi="Times New Roman"/>
          <w:b/>
          <w:bCs/>
          <w:sz w:val="24"/>
          <w:szCs w:val="24"/>
        </w:rPr>
      </w:pPr>
    </w:p>
    <w:p w:rsidR="008E72ED" w:rsidRDefault="008E72ED" w:rsidP="008E72ED">
      <w:pPr>
        <w:autoSpaceDE w:val="0"/>
        <w:autoSpaceDN w:val="0"/>
        <w:adjustRightInd w:val="0"/>
        <w:jc w:val="both"/>
        <w:rPr>
          <w:rFonts w:ascii="Times New Roman" w:hAnsi="Times New Roman"/>
          <w:sz w:val="24"/>
          <w:szCs w:val="24"/>
        </w:rPr>
      </w:pPr>
      <w:r>
        <w:rPr>
          <w:rFonts w:ascii="Times New Roman" w:hAnsi="Times New Roman"/>
          <w:sz w:val="24"/>
          <w:szCs w:val="24"/>
        </w:rPr>
        <w:t>Il existe quatre types de dissolution : volontaire, par l’effet de la loi, judiciaire et administrative. Un changement ou une évolution de l’objet même de l’association doit en principe conduire à une modification des statuts, avec déclaration à la Préfecture. Les conditions de modification sont prévues par les statuts : organe compétent, quorum, majorité …</w:t>
      </w:r>
    </w:p>
    <w:p w:rsidR="00727EBD" w:rsidRDefault="00727EBD" w:rsidP="008E72ED">
      <w:pPr>
        <w:autoSpaceDE w:val="0"/>
        <w:autoSpaceDN w:val="0"/>
        <w:adjustRightInd w:val="0"/>
        <w:jc w:val="both"/>
        <w:rPr>
          <w:rFonts w:ascii="Times New Roman" w:hAnsi="Times New Roman"/>
          <w:sz w:val="24"/>
          <w:szCs w:val="24"/>
        </w:rPr>
      </w:pPr>
    </w:p>
    <w:p w:rsidR="00727EBD" w:rsidRDefault="00727EBD" w:rsidP="00264B6F">
      <w:pPr>
        <w:autoSpaceDE w:val="0"/>
        <w:autoSpaceDN w:val="0"/>
        <w:adjustRightInd w:val="0"/>
        <w:jc w:val="both"/>
        <w:rPr>
          <w:rFonts w:ascii="Times New Roman" w:hAnsi="Times New Roman"/>
          <w:sz w:val="24"/>
          <w:szCs w:val="24"/>
        </w:rPr>
      </w:pPr>
      <w:r>
        <w:rPr>
          <w:rFonts w:ascii="Times New Roman" w:hAnsi="Times New Roman"/>
          <w:sz w:val="24"/>
          <w:szCs w:val="24"/>
        </w:rPr>
        <w:t>Le membre en question peut, en l’absence de ces formalités, demander la dissolution judiciaire de l’association auprès du tribunal de grande instance de son siège.</w:t>
      </w:r>
      <w:r w:rsidR="00264B6F">
        <w:rPr>
          <w:rFonts w:ascii="Times New Roman" w:hAnsi="Times New Roman"/>
          <w:sz w:val="24"/>
          <w:szCs w:val="24"/>
        </w:rPr>
        <w:t xml:space="preserve"> </w:t>
      </w:r>
      <w:r>
        <w:rPr>
          <w:rFonts w:ascii="Times New Roman" w:hAnsi="Times New Roman"/>
          <w:sz w:val="24"/>
          <w:szCs w:val="24"/>
        </w:rPr>
        <w:t>Le tribunal, s’il y donne suite, peut nommer un curateur qui est alors chargé de réunir l’assemblée générale des membres en vue d’organiser cette dissolution, dont les conditions peuvent être librement prévues par les statuts. Après paiement des dettes et reprise éventuelle des apports, le patrimoine restant peut être confié à une autre association ou bien une personne morale ou encore physique, à condition que cette dernière ne soit pas membre de l’association liquidée.</w:t>
      </w:r>
    </w:p>
    <w:p w:rsidR="00264B6F" w:rsidRDefault="00264B6F" w:rsidP="00264B6F">
      <w:pPr>
        <w:autoSpaceDE w:val="0"/>
        <w:autoSpaceDN w:val="0"/>
        <w:adjustRightInd w:val="0"/>
        <w:jc w:val="both"/>
        <w:rPr>
          <w:rFonts w:ascii="Times New Roman" w:hAnsi="Times New Roman"/>
          <w:sz w:val="24"/>
          <w:szCs w:val="24"/>
        </w:rPr>
      </w:pPr>
    </w:p>
    <w:p w:rsidR="00264B6F" w:rsidRPr="008E72ED" w:rsidRDefault="00F53D16" w:rsidP="00F53D16">
      <w:pPr>
        <w:autoSpaceDE w:val="0"/>
        <w:autoSpaceDN w:val="0"/>
        <w:adjustRightInd w:val="0"/>
        <w:jc w:val="both"/>
        <w:rPr>
          <w:rFonts w:ascii="Times New Roman" w:hAnsi="Times New Roman"/>
          <w:sz w:val="24"/>
          <w:szCs w:val="24"/>
        </w:rPr>
      </w:pPr>
      <w:r>
        <w:rPr>
          <w:rFonts w:ascii="Times New Roman" w:hAnsi="Times New Roman"/>
          <w:sz w:val="24"/>
          <w:szCs w:val="24"/>
        </w:rPr>
        <w:t>La personnalité morale de l’association subsiste pour les besoins de la liquidation et jusqu’à son terme. La dissolution peut faire l’objet d’une déclaration en Préfecture.</w:t>
      </w:r>
    </w:p>
    <w:p w:rsidR="00692CB2" w:rsidRDefault="00692CB2" w:rsidP="009A34AD">
      <w:pPr>
        <w:autoSpaceDE w:val="0"/>
        <w:autoSpaceDN w:val="0"/>
        <w:adjustRightInd w:val="0"/>
        <w:jc w:val="both"/>
        <w:rPr>
          <w:rFonts w:ascii="Times New Roman" w:hAnsi="Times New Roman"/>
          <w:sz w:val="24"/>
          <w:szCs w:val="24"/>
        </w:rPr>
      </w:pPr>
    </w:p>
    <w:p w:rsidR="00F53D16" w:rsidRDefault="00495964" w:rsidP="00495964">
      <w:pPr>
        <w:autoSpaceDE w:val="0"/>
        <w:autoSpaceDN w:val="0"/>
        <w:adjustRightInd w:val="0"/>
        <w:rPr>
          <w:rFonts w:ascii="Times New Roman" w:hAnsi="Times New Roman"/>
          <w:b/>
          <w:bCs/>
          <w:sz w:val="24"/>
          <w:szCs w:val="24"/>
        </w:rPr>
      </w:pPr>
      <w:r>
        <w:rPr>
          <w:rFonts w:ascii="Times New Roman" w:hAnsi="Times New Roman"/>
          <w:b/>
          <w:bCs/>
          <w:i/>
          <w:iCs/>
          <w:sz w:val="24"/>
          <w:szCs w:val="24"/>
        </w:rPr>
        <w:t xml:space="preserve">5. </w:t>
      </w:r>
      <w:r>
        <w:rPr>
          <w:rFonts w:ascii="Times New Roman" w:hAnsi="Times New Roman"/>
          <w:b/>
          <w:bCs/>
          <w:sz w:val="24"/>
          <w:szCs w:val="24"/>
        </w:rPr>
        <w:t>Quel serait le régime fiscal applicable à ces ventes au profit de clients français et étrangers au regard de l’imposition du résultat et de la TVA ?</w:t>
      </w:r>
    </w:p>
    <w:p w:rsidR="00495964" w:rsidRDefault="00495964" w:rsidP="00495964">
      <w:pPr>
        <w:autoSpaceDE w:val="0"/>
        <w:autoSpaceDN w:val="0"/>
        <w:adjustRightInd w:val="0"/>
        <w:rPr>
          <w:rFonts w:ascii="Times New Roman" w:hAnsi="Times New Roman"/>
          <w:b/>
          <w:bCs/>
          <w:sz w:val="24"/>
          <w:szCs w:val="24"/>
        </w:rPr>
      </w:pPr>
    </w:p>
    <w:p w:rsidR="00495964" w:rsidRDefault="00495964" w:rsidP="00495964">
      <w:pPr>
        <w:autoSpaceDE w:val="0"/>
        <w:autoSpaceDN w:val="0"/>
        <w:adjustRightInd w:val="0"/>
        <w:jc w:val="both"/>
        <w:rPr>
          <w:rFonts w:ascii="Times New Roman" w:hAnsi="Times New Roman"/>
          <w:sz w:val="24"/>
          <w:szCs w:val="24"/>
        </w:rPr>
      </w:pPr>
      <w:r>
        <w:rPr>
          <w:rFonts w:ascii="Times New Roman" w:hAnsi="Times New Roman"/>
          <w:sz w:val="24"/>
          <w:szCs w:val="24"/>
        </w:rPr>
        <w:t>Le résultat dégagé par les ventes liées à un commerce électronique est normalement imposé en France à l’impôt sur les sociétés ou bien à l’impôt sur le revenu dans la catégorie des bénéfices industriels et commerciaux, dès lors qu’il y a effectivement exploitation par le biais d’un établissement autonome. Tel sera le cas dans la situation d’espèce (même si l’association exploite un site internet hébergé à l’étranger).</w:t>
      </w:r>
    </w:p>
    <w:p w:rsidR="00495964" w:rsidRDefault="00495964" w:rsidP="00495964">
      <w:pPr>
        <w:autoSpaceDE w:val="0"/>
        <w:autoSpaceDN w:val="0"/>
        <w:adjustRightInd w:val="0"/>
        <w:jc w:val="both"/>
        <w:rPr>
          <w:rFonts w:ascii="Times New Roman" w:hAnsi="Times New Roman"/>
          <w:sz w:val="24"/>
          <w:szCs w:val="24"/>
        </w:rPr>
      </w:pPr>
      <w:r>
        <w:rPr>
          <w:rFonts w:ascii="Times New Roman" w:hAnsi="Times New Roman"/>
          <w:sz w:val="24"/>
          <w:szCs w:val="24"/>
        </w:rPr>
        <w:t>En matière d’impôts indirects, les opérations réalisées en France sont soumises à la TVA ; dans le cas présent, il s’agit de livraisons de biens taxées dès lors que la commande en ligne donne lieu à une expédition en France et exonérées dans le cas contraire.</w:t>
      </w:r>
    </w:p>
    <w:p w:rsidR="00527326" w:rsidRDefault="00527326" w:rsidP="00495964">
      <w:pPr>
        <w:autoSpaceDE w:val="0"/>
        <w:autoSpaceDN w:val="0"/>
        <w:adjustRightInd w:val="0"/>
        <w:jc w:val="both"/>
        <w:rPr>
          <w:rFonts w:ascii="Times New Roman" w:hAnsi="Times New Roman"/>
          <w:sz w:val="24"/>
          <w:szCs w:val="24"/>
        </w:rPr>
      </w:pPr>
    </w:p>
    <w:p w:rsidR="00527326" w:rsidRDefault="009D02D1" w:rsidP="00394D22">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DOSSIER 3</w:t>
      </w:r>
    </w:p>
    <w:p w:rsidR="009D02D1" w:rsidRDefault="009D02D1" w:rsidP="00495964">
      <w:pPr>
        <w:autoSpaceDE w:val="0"/>
        <w:autoSpaceDN w:val="0"/>
        <w:adjustRightInd w:val="0"/>
        <w:jc w:val="both"/>
        <w:rPr>
          <w:rFonts w:ascii="Times New Roman" w:hAnsi="Times New Roman"/>
          <w:b/>
          <w:bCs/>
          <w:sz w:val="24"/>
          <w:szCs w:val="24"/>
        </w:rPr>
      </w:pPr>
    </w:p>
    <w:p w:rsidR="009D02D1" w:rsidRDefault="009D02D1" w:rsidP="009D02D1">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1. </w:t>
      </w:r>
      <w:r>
        <w:rPr>
          <w:rFonts w:ascii="Times New Roman" w:hAnsi="Times New Roman"/>
          <w:b/>
          <w:bCs/>
          <w:sz w:val="24"/>
          <w:szCs w:val="24"/>
        </w:rPr>
        <w:t>Indiquez, en justifiant juridiquement votre réponse, si l’action en nullité de la vente envisagée par Monsieur DESCLOUS a des chances d’aboutir.</w:t>
      </w:r>
    </w:p>
    <w:p w:rsidR="009D02D1" w:rsidRDefault="009D02D1" w:rsidP="009D02D1">
      <w:pPr>
        <w:autoSpaceDE w:val="0"/>
        <w:autoSpaceDN w:val="0"/>
        <w:adjustRightInd w:val="0"/>
        <w:jc w:val="both"/>
        <w:rPr>
          <w:rFonts w:ascii="Times New Roman" w:hAnsi="Times New Roman"/>
          <w:b/>
          <w:bCs/>
          <w:sz w:val="24"/>
          <w:szCs w:val="24"/>
        </w:rPr>
      </w:pPr>
    </w:p>
    <w:p w:rsidR="008F1FDA" w:rsidRDefault="008F1FDA" w:rsidP="008F1FDA">
      <w:pPr>
        <w:autoSpaceDE w:val="0"/>
        <w:autoSpaceDN w:val="0"/>
        <w:adjustRightInd w:val="0"/>
        <w:jc w:val="both"/>
        <w:rPr>
          <w:rFonts w:ascii="Times New Roman" w:hAnsi="Times New Roman"/>
          <w:sz w:val="24"/>
          <w:szCs w:val="24"/>
        </w:rPr>
      </w:pPr>
      <w:r>
        <w:rPr>
          <w:rFonts w:ascii="Times New Roman" w:hAnsi="Times New Roman"/>
          <w:sz w:val="24"/>
          <w:szCs w:val="24"/>
        </w:rPr>
        <w:t>À quelles conditions la nullité d’un contrat est-elle encourue ?</w:t>
      </w:r>
    </w:p>
    <w:p w:rsidR="009D02D1" w:rsidRDefault="008F1FDA" w:rsidP="008F1FDA">
      <w:pPr>
        <w:autoSpaceDE w:val="0"/>
        <w:autoSpaceDN w:val="0"/>
        <w:adjustRightInd w:val="0"/>
        <w:jc w:val="both"/>
        <w:rPr>
          <w:rFonts w:ascii="Times New Roman" w:hAnsi="Times New Roman"/>
          <w:sz w:val="24"/>
          <w:szCs w:val="24"/>
        </w:rPr>
      </w:pPr>
      <w:r>
        <w:rPr>
          <w:rFonts w:ascii="Times New Roman" w:hAnsi="Times New Roman"/>
          <w:sz w:val="24"/>
          <w:szCs w:val="24"/>
        </w:rPr>
        <w:t>Le contrat est un accord de volontés entre au moins deux personnes et qui porte sur un engagement dont celles-ci conviennent (contrat de vente, contrat de bail,…).</w:t>
      </w:r>
    </w:p>
    <w:p w:rsidR="008F1FDA" w:rsidRDefault="008F1FDA" w:rsidP="008F1FDA">
      <w:pPr>
        <w:autoSpaceDE w:val="0"/>
        <w:autoSpaceDN w:val="0"/>
        <w:adjustRightInd w:val="0"/>
        <w:jc w:val="both"/>
        <w:rPr>
          <w:rFonts w:ascii="Times New Roman" w:hAnsi="Times New Roman"/>
          <w:sz w:val="24"/>
          <w:szCs w:val="24"/>
        </w:rPr>
      </w:pPr>
    </w:p>
    <w:p w:rsidR="008F1FDA" w:rsidRDefault="008F1FDA" w:rsidP="008F1FDA">
      <w:pPr>
        <w:autoSpaceDE w:val="0"/>
        <w:autoSpaceDN w:val="0"/>
        <w:adjustRightInd w:val="0"/>
        <w:jc w:val="both"/>
        <w:rPr>
          <w:rFonts w:ascii="Times New Roman" w:hAnsi="Times New Roman"/>
          <w:sz w:val="24"/>
          <w:szCs w:val="24"/>
        </w:rPr>
      </w:pPr>
      <w:r>
        <w:rPr>
          <w:rFonts w:ascii="Times New Roman" w:hAnsi="Times New Roman"/>
          <w:sz w:val="24"/>
          <w:szCs w:val="24"/>
        </w:rPr>
        <w:t>Outre des formalités exigées pour la validité de certains contrats dits solennels, un contrat n’est valablement formé que si quatre conditions de fond sont respectées : un consentement libre et non vicié des parties, la possession par les parties de la capacité juridique requise au regard du contrat qu’elles passent, un objet (ce pour quoi l’on s’engage) licite et une cause (la raison pour laquelle on s’engage) licite.</w:t>
      </w:r>
    </w:p>
    <w:p w:rsidR="008F1FDA" w:rsidRDefault="008F1FDA" w:rsidP="008F1FDA">
      <w:pPr>
        <w:autoSpaceDE w:val="0"/>
        <w:autoSpaceDN w:val="0"/>
        <w:adjustRightInd w:val="0"/>
        <w:jc w:val="both"/>
        <w:rPr>
          <w:rFonts w:ascii="Times New Roman" w:hAnsi="Times New Roman"/>
          <w:sz w:val="24"/>
          <w:szCs w:val="24"/>
        </w:rPr>
      </w:pPr>
    </w:p>
    <w:p w:rsidR="008F1FDA" w:rsidRDefault="00C43FA5" w:rsidP="00C43FA5">
      <w:pPr>
        <w:autoSpaceDE w:val="0"/>
        <w:autoSpaceDN w:val="0"/>
        <w:adjustRightInd w:val="0"/>
        <w:jc w:val="both"/>
        <w:rPr>
          <w:rFonts w:ascii="Times New Roman" w:hAnsi="Times New Roman"/>
          <w:sz w:val="24"/>
          <w:szCs w:val="24"/>
        </w:rPr>
      </w:pPr>
      <w:r>
        <w:rPr>
          <w:rFonts w:ascii="Times New Roman" w:hAnsi="Times New Roman"/>
          <w:sz w:val="24"/>
          <w:szCs w:val="24"/>
        </w:rPr>
        <w:t>Si l’une de ces conditions fait défaut, le contrat encourt la nullité, c’est-à-dire son anéantissement rétroactif (par principe, remise des choses en l’état antérieur), qui doit être prononcée par la juridiction compétente pourvu, bien-sûr, que l’action en nullité ait été exercée dans les délais prévus par la loi (dans les 5 ans à dater du jour de la connaissance du fait justifiant la nullité) et par les personnes habilitées à le faire : soit toute personne justifiant d’un intérêt à agir, lorsque la règle violée est ordonnée pour la sauvegarde de l’intérêt général, notamment l’illicéité de l’objet ou de la cause (action en nullité absolue) ; soit le cocontractant que la loi entend plus spécifiquement protéger (ainsi que ses représentants légaux ou ayants cause universels), lorsque ce cocontractant a été victime d’un vice du consentement ou a contracté en incapacité d’exercice (action en nullité relative).</w:t>
      </w:r>
    </w:p>
    <w:p w:rsidR="00C43FA5" w:rsidRDefault="00C43FA5" w:rsidP="00C43FA5">
      <w:pPr>
        <w:autoSpaceDE w:val="0"/>
        <w:autoSpaceDN w:val="0"/>
        <w:adjustRightInd w:val="0"/>
        <w:jc w:val="both"/>
        <w:rPr>
          <w:rFonts w:ascii="Times New Roman" w:hAnsi="Times New Roman"/>
          <w:sz w:val="24"/>
          <w:szCs w:val="24"/>
        </w:rPr>
      </w:pPr>
    </w:p>
    <w:p w:rsidR="00C43FA5" w:rsidRDefault="00C43FA5" w:rsidP="00C43FA5">
      <w:pPr>
        <w:autoSpaceDE w:val="0"/>
        <w:autoSpaceDN w:val="0"/>
        <w:adjustRightInd w:val="0"/>
        <w:jc w:val="both"/>
        <w:rPr>
          <w:rFonts w:ascii="Times New Roman" w:hAnsi="Times New Roman"/>
          <w:sz w:val="24"/>
          <w:szCs w:val="24"/>
        </w:rPr>
      </w:pPr>
      <w:r>
        <w:rPr>
          <w:rFonts w:ascii="Times New Roman" w:hAnsi="Times New Roman"/>
          <w:sz w:val="24"/>
          <w:szCs w:val="24"/>
        </w:rPr>
        <w:t>S’agissant en particulier du consentement, il ne doit pas être vicié par le dol (manœuvre frauduleuse, active ou passive, émanant d’un contractant afin de tromper le cocontractant pour l’amener de manière déterminante à contracter), l’erreur (fait pour un cocontractant de se tromper sur un élément essentiel dans la prise de sa décision) ou la violence (pression physique, matérielle et ou morale de nature à impressionner le contractant pour l’amener à contracter.</w:t>
      </w:r>
    </w:p>
    <w:p w:rsidR="00C43FA5" w:rsidRDefault="00C43FA5" w:rsidP="00C43FA5">
      <w:pPr>
        <w:autoSpaceDE w:val="0"/>
        <w:autoSpaceDN w:val="0"/>
        <w:adjustRightInd w:val="0"/>
        <w:jc w:val="both"/>
        <w:rPr>
          <w:rFonts w:ascii="Times New Roman" w:hAnsi="Times New Roman"/>
          <w:sz w:val="24"/>
          <w:szCs w:val="24"/>
        </w:rPr>
      </w:pPr>
    </w:p>
    <w:p w:rsidR="00C43FA5" w:rsidRDefault="007537E2" w:rsidP="007537E2">
      <w:pPr>
        <w:autoSpaceDE w:val="0"/>
        <w:autoSpaceDN w:val="0"/>
        <w:adjustRightInd w:val="0"/>
        <w:jc w:val="both"/>
        <w:rPr>
          <w:rFonts w:ascii="Times New Roman" w:hAnsi="Times New Roman"/>
          <w:sz w:val="24"/>
          <w:szCs w:val="24"/>
        </w:rPr>
      </w:pPr>
      <w:r>
        <w:rPr>
          <w:rFonts w:ascii="Times New Roman" w:hAnsi="Times New Roman"/>
          <w:sz w:val="24"/>
          <w:szCs w:val="24"/>
        </w:rPr>
        <w:t>En l’espèce, il y a quatre mois, un contrat de vente de biens meubles (garnitures de cheminées) a été formé entre Monsieur DESCLOUS, l’acheteur, et Monsieur ASSOMME, le vendeur. Au moment de la livraison, qui vient d’être effectuée à la date convenue, Monsieur</w:t>
      </w:r>
      <w:r w:rsidR="0091373F">
        <w:rPr>
          <w:rFonts w:ascii="Times New Roman" w:hAnsi="Times New Roman"/>
          <w:sz w:val="24"/>
          <w:szCs w:val="24"/>
        </w:rPr>
        <w:t xml:space="preserve"> </w:t>
      </w:r>
      <w:r>
        <w:rPr>
          <w:rFonts w:ascii="Times New Roman" w:hAnsi="Times New Roman"/>
          <w:sz w:val="24"/>
          <w:szCs w:val="24"/>
        </w:rPr>
        <w:t>DESCLOUS découvre avec stupeur que les garnitures, industrielles, ne correspondent pas à la commande de garnitures artisanales qu’il avait passée à Monsieur ASSOMME, lequel avait prétendu être artisan. En présence d’un ami, Monsieur DEVISU, Monsieur DESCLOUS se rend chez Monsieur ASSOMME qui reconnaît avoir organisé une mise en scène (faux documents, présentation d’un modèle de garniture dont il savait qu’il ne reflétait pas ce qui serait livré,…) afin de mettre Monsieur DESCLOUS en confiance et le convaincre de contracter avec lui. Monsieur DESCLOUS a donc été victime d’un dol actif de la part de</w:t>
      </w:r>
      <w:r w:rsidR="0091373F">
        <w:rPr>
          <w:rFonts w:ascii="Times New Roman" w:hAnsi="Times New Roman"/>
          <w:sz w:val="24"/>
          <w:szCs w:val="24"/>
        </w:rPr>
        <w:t xml:space="preserve"> </w:t>
      </w:r>
      <w:r>
        <w:rPr>
          <w:rFonts w:ascii="Times New Roman" w:hAnsi="Times New Roman"/>
          <w:sz w:val="24"/>
          <w:szCs w:val="24"/>
        </w:rPr>
        <w:t>Monsieur ASSOMME. Qui plus est, Monsieur DESCLOUS est un commerçant soucieux de revendre des produits de qualité à sa clientèle et c’est parce qu’il croyait acheter de tels produits qu’il a contracté, à un prix d’ailleurs élevé, avec Monsieur ASSOMME. Par conséquent, le dol a vicié le consentement de Monsieur DESCLOUS de manière déterminante et ce dernier peut parfaitement espérer obtenir gain de cause en justice en exerçant l’action en nullité relative. On observe que, en dépit de son expérience, Monsieur DESCLOUS a été dupé lors de la formation de la vente comme l’aurait été n’importe quel observateur diligent. On remarque aussi que les délais pour exercer l’action en nullité sont respectés et que Monsieur DESCLOUS dispose de preuves à l’appui de ses prétentions. Si, comme cela est probable, la nullité est prononcée par les juges, Monsieur DESCLOUS devra restituer à Monsieur ASSOMME les garnitures que celui-ci lui a livrées et Monsieur ASSOMME devra rendre à Monsieur DESCLOUS la part du prix d’achat déjà payée.</w:t>
      </w:r>
    </w:p>
    <w:p w:rsidR="00BF0CCC" w:rsidRDefault="00BF0CCC" w:rsidP="007537E2">
      <w:pPr>
        <w:autoSpaceDE w:val="0"/>
        <w:autoSpaceDN w:val="0"/>
        <w:adjustRightInd w:val="0"/>
        <w:jc w:val="both"/>
        <w:rPr>
          <w:rFonts w:ascii="Times New Roman" w:hAnsi="Times New Roman"/>
          <w:sz w:val="24"/>
          <w:szCs w:val="24"/>
        </w:rPr>
      </w:pPr>
    </w:p>
    <w:p w:rsidR="00BF0CCC" w:rsidRDefault="00BF0CCC" w:rsidP="00BF0CCC">
      <w:pPr>
        <w:autoSpaceDE w:val="0"/>
        <w:autoSpaceDN w:val="0"/>
        <w:adjustRightInd w:val="0"/>
        <w:rPr>
          <w:rFonts w:ascii="Times New Roman" w:hAnsi="Times New Roman"/>
          <w:b/>
          <w:bCs/>
          <w:sz w:val="24"/>
          <w:szCs w:val="24"/>
        </w:rPr>
      </w:pPr>
      <w:r>
        <w:rPr>
          <w:rFonts w:ascii="Times New Roman" w:hAnsi="Times New Roman"/>
          <w:b/>
          <w:bCs/>
          <w:i/>
          <w:iCs/>
          <w:sz w:val="24"/>
          <w:szCs w:val="24"/>
        </w:rPr>
        <w:t xml:space="preserve">2. </w:t>
      </w:r>
      <w:r>
        <w:rPr>
          <w:rFonts w:ascii="Times New Roman" w:hAnsi="Times New Roman"/>
          <w:b/>
          <w:bCs/>
          <w:sz w:val="24"/>
          <w:szCs w:val="24"/>
        </w:rPr>
        <w:t>Indiquez, en justifiant juridiquement votre réponse, si l’action en responsabilité contractuelle envisagée par Monsieur DESCLOUS a des chances d’aboutir.</w:t>
      </w:r>
    </w:p>
    <w:p w:rsidR="00BF0CCC" w:rsidRDefault="00BF0CCC" w:rsidP="00BF0CCC">
      <w:pPr>
        <w:autoSpaceDE w:val="0"/>
        <w:autoSpaceDN w:val="0"/>
        <w:adjustRightInd w:val="0"/>
        <w:rPr>
          <w:rFonts w:ascii="Times New Roman" w:hAnsi="Times New Roman"/>
          <w:b/>
          <w:bCs/>
          <w:sz w:val="24"/>
          <w:szCs w:val="24"/>
        </w:rPr>
      </w:pPr>
    </w:p>
    <w:p w:rsidR="00221B8D" w:rsidRDefault="00221B8D" w:rsidP="00221B8D">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À quelles conditions la responsabilité contractuelle peut-elle être engagée ?</w:t>
      </w:r>
    </w:p>
    <w:p w:rsidR="00BF0CCC" w:rsidRDefault="00221B8D" w:rsidP="00221B8D">
      <w:pPr>
        <w:autoSpaceDE w:val="0"/>
        <w:autoSpaceDN w:val="0"/>
        <w:adjustRightInd w:val="0"/>
        <w:jc w:val="both"/>
        <w:rPr>
          <w:rFonts w:ascii="Times New Roman" w:hAnsi="Times New Roman"/>
          <w:sz w:val="24"/>
          <w:szCs w:val="24"/>
        </w:rPr>
      </w:pPr>
      <w:r>
        <w:rPr>
          <w:rFonts w:ascii="Times New Roman" w:hAnsi="Times New Roman"/>
          <w:sz w:val="24"/>
          <w:szCs w:val="24"/>
        </w:rPr>
        <w:t>Un contrat valablement formé a force obligatoire entre les parties : celles-ci doivent en principe exécuter le contrat comme il a été convenu.</w:t>
      </w:r>
    </w:p>
    <w:p w:rsidR="00221B8D" w:rsidRDefault="00221B8D" w:rsidP="00221B8D">
      <w:pPr>
        <w:autoSpaceDE w:val="0"/>
        <w:autoSpaceDN w:val="0"/>
        <w:adjustRightInd w:val="0"/>
        <w:jc w:val="both"/>
        <w:rPr>
          <w:rFonts w:ascii="Times New Roman" w:hAnsi="Times New Roman"/>
          <w:sz w:val="24"/>
          <w:szCs w:val="24"/>
        </w:rPr>
      </w:pPr>
    </w:p>
    <w:p w:rsidR="00221B8D" w:rsidRPr="00221B8D" w:rsidRDefault="00221B8D" w:rsidP="00221B8D">
      <w:pPr>
        <w:autoSpaceDE w:val="0"/>
        <w:autoSpaceDN w:val="0"/>
        <w:adjustRightInd w:val="0"/>
        <w:jc w:val="both"/>
        <w:rPr>
          <w:rFonts w:ascii="Times New Roman" w:hAnsi="Times New Roman"/>
          <w:sz w:val="24"/>
          <w:szCs w:val="24"/>
        </w:rPr>
      </w:pPr>
      <w:r>
        <w:rPr>
          <w:rFonts w:ascii="Times New Roman" w:hAnsi="Times New Roman"/>
          <w:sz w:val="24"/>
          <w:szCs w:val="24"/>
        </w:rPr>
        <w:t>Si un contractant n’exécute pas ou exécute mal les obligations contractuelles qui sont les siennes, son cocontractant dispose de divers recours dont l’exercice de l’action en responsabilité contractuelle. Cette action en justice vise à la réparation, par équivalent, de la mauvaise exécution contractuelle. En effet, le créancier espère obtenir de la part des juges la condamnation du débiteur défaillant à lui verser des dommages-intérêts.</w:t>
      </w:r>
    </w:p>
    <w:p w:rsidR="00C43FA5" w:rsidRDefault="00C43FA5" w:rsidP="007537E2">
      <w:pPr>
        <w:autoSpaceDE w:val="0"/>
        <w:autoSpaceDN w:val="0"/>
        <w:adjustRightInd w:val="0"/>
        <w:jc w:val="both"/>
        <w:rPr>
          <w:rFonts w:ascii="Times New Roman" w:hAnsi="Times New Roman"/>
          <w:sz w:val="24"/>
          <w:szCs w:val="24"/>
        </w:rPr>
      </w:pPr>
    </w:p>
    <w:p w:rsidR="00AB163B" w:rsidRDefault="00AB163B" w:rsidP="00AB163B">
      <w:pPr>
        <w:autoSpaceDE w:val="0"/>
        <w:autoSpaceDN w:val="0"/>
        <w:adjustRightInd w:val="0"/>
        <w:jc w:val="both"/>
        <w:rPr>
          <w:rFonts w:ascii="Times New Roman" w:hAnsi="Times New Roman"/>
          <w:sz w:val="24"/>
          <w:szCs w:val="24"/>
        </w:rPr>
      </w:pPr>
      <w:r>
        <w:rPr>
          <w:rFonts w:ascii="Times New Roman" w:hAnsi="Times New Roman"/>
          <w:color w:val="000000"/>
          <w:sz w:val="24"/>
          <w:szCs w:val="24"/>
        </w:rPr>
        <w:t>Pour que la responsabilité contractuelle d’un contractant défaillant soit engagée, le cocontractant créancier doit démontrer la réunion de trois conditions : un fait générateur, un préjudice et le lien de causalité. Le fait générateur réside dans la mauvaise exécution de l’une des obligations contractuelles mises à la charge du débiteur (non-livraison ou livraison tardive du bien vendu, non paiement du prix du bien acheté,…) dans le cadre du contrat qui a été valablement formé</w:t>
      </w:r>
      <w:r w:rsidRPr="00AB163B">
        <w:rPr>
          <w:rFonts w:ascii="Times New Roman" w:hAnsi="Times New Roman"/>
          <w:sz w:val="24"/>
          <w:szCs w:val="24"/>
        </w:rPr>
        <w:t>.</w:t>
      </w:r>
    </w:p>
    <w:p w:rsidR="00AB163B" w:rsidRDefault="00AB163B" w:rsidP="00AB163B">
      <w:pPr>
        <w:autoSpaceDE w:val="0"/>
        <w:autoSpaceDN w:val="0"/>
        <w:adjustRightInd w:val="0"/>
        <w:jc w:val="both"/>
        <w:rPr>
          <w:rFonts w:ascii="Times New Roman" w:hAnsi="Times New Roman"/>
          <w:sz w:val="24"/>
          <w:szCs w:val="24"/>
        </w:rPr>
      </w:pPr>
    </w:p>
    <w:p w:rsidR="00AB163B" w:rsidRDefault="00AB163B" w:rsidP="00AB163B">
      <w:pPr>
        <w:autoSpaceDE w:val="0"/>
        <w:autoSpaceDN w:val="0"/>
        <w:adjustRightInd w:val="0"/>
        <w:jc w:val="both"/>
        <w:rPr>
          <w:rFonts w:ascii="Times New Roman" w:hAnsi="Times New Roman"/>
          <w:sz w:val="24"/>
          <w:szCs w:val="24"/>
        </w:rPr>
      </w:pPr>
      <w:r>
        <w:rPr>
          <w:rFonts w:ascii="Times New Roman" w:hAnsi="Times New Roman"/>
          <w:sz w:val="24"/>
          <w:szCs w:val="24"/>
        </w:rPr>
        <w:t>En l’espèce, Monsieur DESCLOUS subit indubitablement un préjudice (financier, moral) en raison (lien de causalité) d’une livraison par Monsieur ASSOMME de garnitures de cheminées qui ne correspondent pas à ce que le vendeur lui a promis (fait générateur). Il y a donc matière, pour Monsieur DESCLOUS, à engager la responsabilité de Monsieur ASSOMME.</w:t>
      </w:r>
    </w:p>
    <w:p w:rsidR="00AB163B" w:rsidRDefault="00AB163B" w:rsidP="00AB163B">
      <w:pPr>
        <w:autoSpaceDE w:val="0"/>
        <w:autoSpaceDN w:val="0"/>
        <w:adjustRightInd w:val="0"/>
        <w:rPr>
          <w:rFonts w:ascii="Times New Roman" w:hAnsi="Times New Roman"/>
          <w:color w:val="000000"/>
          <w:sz w:val="24"/>
          <w:szCs w:val="24"/>
        </w:rPr>
      </w:pPr>
    </w:p>
    <w:p w:rsidR="00692670" w:rsidRDefault="00692670" w:rsidP="00692670">
      <w:pPr>
        <w:autoSpaceDE w:val="0"/>
        <w:autoSpaceDN w:val="0"/>
        <w:adjustRightInd w:val="0"/>
        <w:jc w:val="both"/>
        <w:rPr>
          <w:rFonts w:ascii="Times New Roman" w:hAnsi="Times New Roman"/>
          <w:sz w:val="24"/>
          <w:szCs w:val="24"/>
        </w:rPr>
      </w:pPr>
      <w:r>
        <w:rPr>
          <w:rFonts w:ascii="Times New Roman" w:hAnsi="Times New Roman"/>
          <w:sz w:val="24"/>
          <w:szCs w:val="24"/>
        </w:rPr>
        <w:t>Cependant, cette responsabilité n’est pas contractuelle (mais délictuelle), puisque l’action en nullité envisagée par Monsieur DESCLOUS est fondée et induit que le contrat n’existe plus (nullité encourue sur le fondement du dol). Autrement dit, Monsieur DESCLOUS, contrairement à ce qu’il compte faire, ne peut agir à la fois en nullité et en responsabilité contractuelle pour cette même affaire (on ne peut exiger une exécution par équivalent que pour un contrat mal exécuté mais qui existe valablement).</w:t>
      </w:r>
    </w:p>
    <w:p w:rsidR="00692670" w:rsidRDefault="00692670" w:rsidP="00692670">
      <w:pPr>
        <w:autoSpaceDE w:val="0"/>
        <w:autoSpaceDN w:val="0"/>
        <w:adjustRightInd w:val="0"/>
        <w:jc w:val="both"/>
        <w:rPr>
          <w:rFonts w:ascii="Times New Roman" w:hAnsi="Times New Roman"/>
          <w:sz w:val="24"/>
          <w:szCs w:val="24"/>
        </w:rPr>
      </w:pPr>
    </w:p>
    <w:p w:rsidR="00692670" w:rsidRDefault="00D37A27" w:rsidP="00D37A27">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3. </w:t>
      </w:r>
      <w:r>
        <w:rPr>
          <w:rFonts w:ascii="Times New Roman" w:hAnsi="Times New Roman"/>
          <w:b/>
          <w:bCs/>
          <w:sz w:val="24"/>
          <w:szCs w:val="24"/>
        </w:rPr>
        <w:t>En vous appuyant sur les extraits de la décision de justice reproduite en annexe 2, y compris les arguments des parties, répondez aux questions suivantes à propos de la garantie des vices cachés.</w:t>
      </w:r>
    </w:p>
    <w:p w:rsidR="00D37A27" w:rsidRDefault="00D37A27" w:rsidP="00D37A27">
      <w:pPr>
        <w:autoSpaceDE w:val="0"/>
        <w:autoSpaceDN w:val="0"/>
        <w:adjustRightInd w:val="0"/>
        <w:jc w:val="both"/>
        <w:rPr>
          <w:rFonts w:ascii="Times New Roman" w:hAnsi="Times New Roman"/>
          <w:b/>
          <w:bCs/>
          <w:sz w:val="24"/>
          <w:szCs w:val="24"/>
        </w:rPr>
      </w:pPr>
    </w:p>
    <w:p w:rsidR="00D37A27" w:rsidRDefault="002703A2" w:rsidP="00D37A27">
      <w:pPr>
        <w:autoSpaceDE w:val="0"/>
        <w:autoSpaceDN w:val="0"/>
        <w:adjustRightInd w:val="0"/>
        <w:jc w:val="both"/>
        <w:rPr>
          <w:rFonts w:ascii="Times New Roman" w:hAnsi="Times New Roman"/>
          <w:b/>
          <w:bCs/>
          <w:sz w:val="24"/>
          <w:szCs w:val="24"/>
        </w:rPr>
      </w:pPr>
      <w:r>
        <w:rPr>
          <w:rFonts w:ascii="Times New Roman" w:hAnsi="Times New Roman"/>
          <w:b/>
          <w:bCs/>
          <w:sz w:val="24"/>
          <w:szCs w:val="24"/>
        </w:rPr>
        <w:t>a) Qu’est-ce qu’un vice caché ?</w:t>
      </w:r>
    </w:p>
    <w:p w:rsidR="002703A2" w:rsidRDefault="002703A2" w:rsidP="00D37A27">
      <w:pPr>
        <w:autoSpaceDE w:val="0"/>
        <w:autoSpaceDN w:val="0"/>
        <w:adjustRightInd w:val="0"/>
        <w:jc w:val="both"/>
        <w:rPr>
          <w:rFonts w:ascii="Times New Roman" w:hAnsi="Times New Roman"/>
          <w:b/>
          <w:bCs/>
          <w:sz w:val="24"/>
          <w:szCs w:val="24"/>
        </w:rPr>
      </w:pPr>
    </w:p>
    <w:p w:rsidR="002703A2" w:rsidRDefault="002703A2" w:rsidP="00617FDA">
      <w:pPr>
        <w:autoSpaceDE w:val="0"/>
        <w:autoSpaceDN w:val="0"/>
        <w:adjustRightInd w:val="0"/>
        <w:jc w:val="both"/>
        <w:rPr>
          <w:rFonts w:ascii="Times New Roman" w:hAnsi="Times New Roman"/>
          <w:sz w:val="24"/>
          <w:szCs w:val="24"/>
        </w:rPr>
      </w:pPr>
      <w:r>
        <w:rPr>
          <w:rFonts w:ascii="Times New Roman" w:hAnsi="Times New Roman"/>
          <w:sz w:val="24"/>
          <w:szCs w:val="24"/>
        </w:rPr>
        <w:t>Un vice caché est un défaut qui affecte une chose au point de la rendre impropre à l’usage auquel on la destine ou qui diminue tellement cet usage, que l’acheteur ne l’aurait pas acquise, ou n’en aurait donné qu’un moindre prix, s’il avait connu ce défaut (Code civil, art. 1641 C.).</w:t>
      </w:r>
    </w:p>
    <w:p w:rsidR="002703A2" w:rsidRDefault="002703A2" w:rsidP="00617FDA">
      <w:pPr>
        <w:autoSpaceDE w:val="0"/>
        <w:autoSpaceDN w:val="0"/>
        <w:adjustRightInd w:val="0"/>
        <w:jc w:val="both"/>
        <w:rPr>
          <w:rFonts w:ascii="Times New Roman" w:hAnsi="Times New Roman"/>
          <w:i/>
          <w:iCs/>
          <w:sz w:val="24"/>
          <w:szCs w:val="24"/>
        </w:rPr>
      </w:pPr>
      <w:r>
        <w:rPr>
          <w:rFonts w:ascii="Times New Roman" w:hAnsi="Times New Roman"/>
          <w:sz w:val="24"/>
          <w:szCs w:val="24"/>
        </w:rPr>
        <w:t xml:space="preserve">Le vice caché existe, sans être décelé, dès l’achat de la chose qu’il affecte et ne se révèle qu’au moment de se servir de cette chose (ex. : machine à laver le linge dont le programme « laine » s’avère ne pas fonctionner) : </w:t>
      </w:r>
      <w:r>
        <w:rPr>
          <w:rFonts w:ascii="Times New Roman" w:hAnsi="Times New Roman"/>
          <w:i/>
          <w:iCs/>
          <w:sz w:val="24"/>
          <w:szCs w:val="24"/>
        </w:rPr>
        <w:t>« sans rechercher si les vices grevant le véhicule, dont</w:t>
      </w:r>
      <w:r>
        <w:rPr>
          <w:rFonts w:ascii="Times New Roman" w:hAnsi="Times New Roman"/>
          <w:sz w:val="24"/>
          <w:szCs w:val="24"/>
        </w:rPr>
        <w:t xml:space="preserve"> </w:t>
      </w:r>
      <w:r>
        <w:rPr>
          <w:rFonts w:ascii="Times New Roman" w:hAnsi="Times New Roman"/>
          <w:i/>
          <w:iCs/>
          <w:sz w:val="24"/>
          <w:szCs w:val="24"/>
        </w:rPr>
        <w:t>elle a elle-même constaté l’existence et qui ont conduit à son immobilisation pendant onze</w:t>
      </w:r>
      <w:r>
        <w:rPr>
          <w:rFonts w:ascii="Times New Roman" w:hAnsi="Times New Roman"/>
          <w:sz w:val="24"/>
          <w:szCs w:val="24"/>
        </w:rPr>
        <w:t xml:space="preserve"> </w:t>
      </w:r>
      <w:r>
        <w:rPr>
          <w:rFonts w:ascii="Times New Roman" w:hAnsi="Times New Roman"/>
          <w:i/>
          <w:iCs/>
          <w:sz w:val="24"/>
          <w:szCs w:val="24"/>
        </w:rPr>
        <w:t>mois, n’étaient pas tels que l’acheteur ne l’aurait pas acquis ou n’en aurait donné qu’un</w:t>
      </w:r>
      <w:r>
        <w:rPr>
          <w:rFonts w:ascii="Times New Roman" w:hAnsi="Times New Roman"/>
          <w:sz w:val="24"/>
          <w:szCs w:val="24"/>
        </w:rPr>
        <w:t xml:space="preserve"> </w:t>
      </w:r>
      <w:r>
        <w:rPr>
          <w:rFonts w:ascii="Times New Roman" w:hAnsi="Times New Roman"/>
          <w:i/>
          <w:iCs/>
          <w:sz w:val="24"/>
          <w:szCs w:val="24"/>
        </w:rPr>
        <w:t>moindre prix, la cour d’appel a privé sa décision de base légale au regard des articles 1641</w:t>
      </w:r>
      <w:r>
        <w:rPr>
          <w:rFonts w:ascii="Times New Roman" w:hAnsi="Times New Roman"/>
          <w:sz w:val="24"/>
          <w:szCs w:val="24"/>
        </w:rPr>
        <w:t xml:space="preserve"> </w:t>
      </w:r>
      <w:r>
        <w:rPr>
          <w:rFonts w:ascii="Times New Roman" w:hAnsi="Times New Roman"/>
          <w:i/>
          <w:iCs/>
          <w:sz w:val="24"/>
          <w:szCs w:val="24"/>
        </w:rPr>
        <w:t>et 1644 du code civil […] ».</w:t>
      </w:r>
    </w:p>
    <w:p w:rsidR="00617FDA" w:rsidRDefault="00617FDA" w:rsidP="00617FDA">
      <w:pPr>
        <w:autoSpaceDE w:val="0"/>
        <w:autoSpaceDN w:val="0"/>
        <w:adjustRightInd w:val="0"/>
        <w:jc w:val="both"/>
        <w:rPr>
          <w:rFonts w:ascii="Times New Roman" w:hAnsi="Times New Roman"/>
          <w:i/>
          <w:iCs/>
          <w:sz w:val="24"/>
          <w:szCs w:val="24"/>
        </w:rPr>
      </w:pPr>
    </w:p>
    <w:p w:rsidR="00617FDA" w:rsidRDefault="00A8093F" w:rsidP="00617FDA">
      <w:pPr>
        <w:autoSpaceDE w:val="0"/>
        <w:autoSpaceDN w:val="0"/>
        <w:adjustRightInd w:val="0"/>
        <w:jc w:val="both"/>
        <w:rPr>
          <w:rFonts w:ascii="Times New Roman" w:hAnsi="Times New Roman"/>
          <w:b/>
          <w:bCs/>
          <w:sz w:val="24"/>
          <w:szCs w:val="24"/>
        </w:rPr>
      </w:pPr>
      <w:r>
        <w:rPr>
          <w:rFonts w:ascii="Times New Roman" w:hAnsi="Times New Roman"/>
          <w:b/>
          <w:bCs/>
          <w:sz w:val="24"/>
          <w:szCs w:val="24"/>
        </w:rPr>
        <w:t>b) Qui est tenu de la garantie des vices cachés ?</w:t>
      </w:r>
    </w:p>
    <w:p w:rsidR="00A8093F" w:rsidRDefault="00A8093F" w:rsidP="00617FDA">
      <w:pPr>
        <w:autoSpaceDE w:val="0"/>
        <w:autoSpaceDN w:val="0"/>
        <w:adjustRightInd w:val="0"/>
        <w:jc w:val="both"/>
        <w:rPr>
          <w:rFonts w:ascii="Times New Roman" w:hAnsi="Times New Roman"/>
          <w:b/>
          <w:bCs/>
          <w:sz w:val="24"/>
          <w:szCs w:val="24"/>
        </w:rPr>
      </w:pPr>
    </w:p>
    <w:p w:rsidR="00A8093F" w:rsidRDefault="00F72E9A" w:rsidP="00F72E9A">
      <w:pPr>
        <w:autoSpaceDE w:val="0"/>
        <w:autoSpaceDN w:val="0"/>
        <w:adjustRightInd w:val="0"/>
        <w:jc w:val="both"/>
        <w:rPr>
          <w:rFonts w:ascii="Times New Roman" w:hAnsi="Times New Roman"/>
          <w:i/>
          <w:iCs/>
          <w:sz w:val="24"/>
          <w:szCs w:val="24"/>
        </w:rPr>
      </w:pPr>
      <w:r>
        <w:rPr>
          <w:rFonts w:ascii="Times New Roman" w:hAnsi="Times New Roman"/>
          <w:sz w:val="24"/>
          <w:szCs w:val="24"/>
        </w:rPr>
        <w:t xml:space="preserve">La garantie des vices cachés est une garantie due dans le cadre du contrat de vente. Elle est à la charge du vendeur : </w:t>
      </w:r>
      <w:r>
        <w:rPr>
          <w:rFonts w:ascii="Times New Roman" w:hAnsi="Times New Roman"/>
          <w:i/>
          <w:iCs/>
          <w:sz w:val="24"/>
          <w:szCs w:val="24"/>
        </w:rPr>
        <w:t>« la société Blanchisserie industrielle catalane (la société BIC) a fait</w:t>
      </w:r>
      <w:r>
        <w:rPr>
          <w:rFonts w:ascii="Times New Roman" w:hAnsi="Times New Roman"/>
          <w:sz w:val="24"/>
          <w:szCs w:val="24"/>
        </w:rPr>
        <w:t xml:space="preserve"> </w:t>
      </w:r>
      <w:r>
        <w:rPr>
          <w:rFonts w:ascii="Times New Roman" w:hAnsi="Times New Roman"/>
          <w:i/>
          <w:iCs/>
          <w:sz w:val="24"/>
          <w:szCs w:val="24"/>
        </w:rPr>
        <w:t>l’acquisition, auprès de la société Europe Auto, concessionnaire de la marque Volkswagen,</w:t>
      </w:r>
      <w:r>
        <w:rPr>
          <w:rFonts w:ascii="Times New Roman" w:hAnsi="Times New Roman"/>
          <w:sz w:val="24"/>
          <w:szCs w:val="24"/>
        </w:rPr>
        <w:t xml:space="preserve"> </w:t>
      </w:r>
      <w:r>
        <w:rPr>
          <w:rFonts w:ascii="Times New Roman" w:hAnsi="Times New Roman"/>
          <w:i/>
          <w:iCs/>
          <w:sz w:val="24"/>
          <w:szCs w:val="24"/>
        </w:rPr>
        <w:t xml:space="preserve">d’une automobile » </w:t>
      </w:r>
      <w:r>
        <w:rPr>
          <w:rFonts w:ascii="Times New Roman" w:hAnsi="Times New Roman"/>
          <w:sz w:val="24"/>
          <w:szCs w:val="24"/>
        </w:rPr>
        <w:t xml:space="preserve">; </w:t>
      </w:r>
      <w:r>
        <w:rPr>
          <w:rFonts w:ascii="Times New Roman" w:hAnsi="Times New Roman"/>
          <w:i/>
          <w:iCs/>
          <w:sz w:val="24"/>
          <w:szCs w:val="24"/>
        </w:rPr>
        <w:t>« la société BIC a assigné la société Europe Auto pour obtenir la</w:t>
      </w:r>
      <w:r>
        <w:rPr>
          <w:rFonts w:ascii="Times New Roman" w:hAnsi="Times New Roman"/>
          <w:sz w:val="24"/>
          <w:szCs w:val="24"/>
        </w:rPr>
        <w:t xml:space="preserve"> </w:t>
      </w:r>
      <w:r>
        <w:rPr>
          <w:rFonts w:ascii="Times New Roman" w:hAnsi="Times New Roman"/>
          <w:i/>
          <w:iCs/>
          <w:sz w:val="24"/>
          <w:szCs w:val="24"/>
        </w:rPr>
        <w:t>résolution de la vente pour vices cachés ».</w:t>
      </w:r>
    </w:p>
    <w:p w:rsidR="00F72E9A" w:rsidRDefault="00F72E9A" w:rsidP="00F72E9A">
      <w:pPr>
        <w:autoSpaceDE w:val="0"/>
        <w:autoSpaceDN w:val="0"/>
        <w:adjustRightInd w:val="0"/>
        <w:jc w:val="both"/>
        <w:rPr>
          <w:rFonts w:ascii="Times New Roman" w:hAnsi="Times New Roman"/>
          <w:iCs/>
          <w:sz w:val="24"/>
          <w:szCs w:val="24"/>
        </w:rPr>
      </w:pPr>
    </w:p>
    <w:p w:rsidR="00F72E9A" w:rsidRDefault="00BE1F00" w:rsidP="00F72E9A">
      <w:pPr>
        <w:autoSpaceDE w:val="0"/>
        <w:autoSpaceDN w:val="0"/>
        <w:adjustRightInd w:val="0"/>
        <w:jc w:val="both"/>
        <w:rPr>
          <w:rFonts w:ascii="Times New Roman" w:hAnsi="Times New Roman"/>
          <w:b/>
          <w:bCs/>
          <w:sz w:val="24"/>
          <w:szCs w:val="24"/>
        </w:rPr>
      </w:pPr>
      <w:r>
        <w:rPr>
          <w:rFonts w:ascii="Times New Roman" w:hAnsi="Times New Roman"/>
          <w:b/>
          <w:bCs/>
          <w:sz w:val="24"/>
          <w:szCs w:val="24"/>
        </w:rPr>
        <w:t>c) Quelle est l’option offerte au bénéficiaire de la garantie en cas de vices cachés ?</w:t>
      </w:r>
    </w:p>
    <w:p w:rsidR="00BE1F00" w:rsidRDefault="00BE1F00" w:rsidP="00F72E9A">
      <w:pPr>
        <w:autoSpaceDE w:val="0"/>
        <w:autoSpaceDN w:val="0"/>
        <w:adjustRightInd w:val="0"/>
        <w:jc w:val="both"/>
        <w:rPr>
          <w:rFonts w:ascii="Times New Roman" w:hAnsi="Times New Roman"/>
          <w:b/>
          <w:bCs/>
          <w:sz w:val="24"/>
          <w:szCs w:val="24"/>
        </w:rPr>
      </w:pPr>
    </w:p>
    <w:p w:rsidR="00BE1F00" w:rsidRDefault="00665DF7" w:rsidP="00665DF7">
      <w:pPr>
        <w:autoSpaceDE w:val="0"/>
        <w:autoSpaceDN w:val="0"/>
        <w:adjustRightInd w:val="0"/>
        <w:jc w:val="both"/>
        <w:rPr>
          <w:rFonts w:ascii="Times New Roman" w:hAnsi="Times New Roman"/>
          <w:sz w:val="24"/>
          <w:szCs w:val="24"/>
        </w:rPr>
      </w:pPr>
      <w:r>
        <w:rPr>
          <w:rFonts w:ascii="Times New Roman" w:hAnsi="Times New Roman"/>
          <w:sz w:val="24"/>
          <w:szCs w:val="24"/>
        </w:rPr>
        <w:t xml:space="preserve">L’acheteur d’une chose affectée d’un vice caché peut soit rendre la chose au vendeur et lui demander restitution du prix payé, soit garder la chose et demander au vendeur la restitution d’une partie du prix </w:t>
      </w:r>
      <w:r>
        <w:rPr>
          <w:rFonts w:ascii="Times New Roman" w:hAnsi="Times New Roman"/>
          <w:sz w:val="24"/>
          <w:szCs w:val="24"/>
        </w:rPr>
        <w:lastRenderedPageBreak/>
        <w:t xml:space="preserve">payé (Code civil, art. 1644 C) : </w:t>
      </w:r>
      <w:r>
        <w:rPr>
          <w:rFonts w:ascii="Times New Roman" w:hAnsi="Times New Roman"/>
          <w:i/>
          <w:iCs/>
          <w:sz w:val="24"/>
          <w:szCs w:val="24"/>
        </w:rPr>
        <w:t>« l’acheteur ayant le choix de rendre la</w:t>
      </w:r>
      <w:r>
        <w:rPr>
          <w:rFonts w:ascii="Times New Roman" w:hAnsi="Times New Roman"/>
          <w:sz w:val="24"/>
          <w:szCs w:val="24"/>
        </w:rPr>
        <w:t xml:space="preserve"> </w:t>
      </w:r>
      <w:r>
        <w:rPr>
          <w:rFonts w:ascii="Times New Roman" w:hAnsi="Times New Roman"/>
          <w:i/>
          <w:iCs/>
          <w:sz w:val="24"/>
          <w:szCs w:val="24"/>
        </w:rPr>
        <w:t>chose et de se faire restituer le prix ou de la garder et de s’en faire remettre une partie du</w:t>
      </w:r>
      <w:r>
        <w:rPr>
          <w:rFonts w:ascii="Times New Roman" w:hAnsi="Times New Roman"/>
          <w:sz w:val="24"/>
          <w:szCs w:val="24"/>
        </w:rPr>
        <w:t xml:space="preserve"> </w:t>
      </w:r>
      <w:r>
        <w:rPr>
          <w:rFonts w:ascii="Times New Roman" w:hAnsi="Times New Roman"/>
          <w:i/>
          <w:iCs/>
          <w:sz w:val="24"/>
          <w:szCs w:val="24"/>
        </w:rPr>
        <w:t>prix »</w:t>
      </w:r>
      <w:r>
        <w:rPr>
          <w:rFonts w:ascii="Times New Roman" w:hAnsi="Times New Roman"/>
          <w:sz w:val="24"/>
          <w:szCs w:val="24"/>
        </w:rPr>
        <w:t>.</w:t>
      </w:r>
    </w:p>
    <w:p w:rsidR="00CF4980" w:rsidRDefault="00CF4980" w:rsidP="00665DF7">
      <w:pPr>
        <w:autoSpaceDE w:val="0"/>
        <w:autoSpaceDN w:val="0"/>
        <w:adjustRightInd w:val="0"/>
        <w:jc w:val="both"/>
        <w:rPr>
          <w:rFonts w:ascii="Times New Roman" w:hAnsi="Times New Roman"/>
          <w:sz w:val="24"/>
          <w:szCs w:val="24"/>
        </w:rPr>
      </w:pPr>
    </w:p>
    <w:p w:rsidR="00CF4980" w:rsidRDefault="00CF4980" w:rsidP="00665DF7">
      <w:pPr>
        <w:autoSpaceDE w:val="0"/>
        <w:autoSpaceDN w:val="0"/>
        <w:adjustRightInd w:val="0"/>
        <w:jc w:val="both"/>
        <w:rPr>
          <w:rFonts w:ascii="Times New Roman" w:hAnsi="Times New Roman"/>
          <w:b/>
          <w:bCs/>
          <w:sz w:val="24"/>
          <w:szCs w:val="24"/>
        </w:rPr>
      </w:pPr>
      <w:r>
        <w:rPr>
          <w:rFonts w:ascii="Times New Roman" w:hAnsi="Times New Roman"/>
          <w:b/>
          <w:bCs/>
          <w:sz w:val="24"/>
          <w:szCs w:val="24"/>
        </w:rPr>
        <w:t>d) À quelles conditions l’action en garantie des vices cachés peut-elle être exercée ?</w:t>
      </w:r>
    </w:p>
    <w:p w:rsidR="00CF4980" w:rsidRDefault="00CF4980" w:rsidP="00665DF7">
      <w:pPr>
        <w:autoSpaceDE w:val="0"/>
        <w:autoSpaceDN w:val="0"/>
        <w:adjustRightInd w:val="0"/>
        <w:jc w:val="both"/>
        <w:rPr>
          <w:rFonts w:ascii="Times New Roman" w:hAnsi="Times New Roman"/>
          <w:b/>
          <w:bCs/>
          <w:sz w:val="24"/>
          <w:szCs w:val="24"/>
        </w:rPr>
      </w:pPr>
    </w:p>
    <w:p w:rsidR="00CF4980" w:rsidRPr="00F72E9A" w:rsidRDefault="00CF4980" w:rsidP="0072268B">
      <w:pPr>
        <w:autoSpaceDE w:val="0"/>
        <w:autoSpaceDN w:val="0"/>
        <w:adjustRightInd w:val="0"/>
        <w:jc w:val="both"/>
        <w:rPr>
          <w:rFonts w:ascii="Times New Roman" w:hAnsi="Times New Roman"/>
          <w:sz w:val="24"/>
          <w:szCs w:val="24"/>
        </w:rPr>
      </w:pPr>
      <w:r>
        <w:rPr>
          <w:rFonts w:ascii="Times New Roman" w:hAnsi="Times New Roman"/>
          <w:sz w:val="24"/>
          <w:szCs w:val="24"/>
        </w:rPr>
        <w:t xml:space="preserve">Le demandeur doit évidemment respecter toutes les règles de procédure (preuve du vice caché, délai d’action,…), mais il ne peut plus exercer l’action en garantie des vices cachés si, au moment de l’exercice de l’action, les vices ont disparu, notamment pour avoir été réparés par le vendeur : </w:t>
      </w:r>
      <w:r>
        <w:rPr>
          <w:rFonts w:ascii="Times New Roman" w:hAnsi="Times New Roman"/>
          <w:i/>
          <w:iCs/>
          <w:sz w:val="24"/>
          <w:szCs w:val="24"/>
        </w:rPr>
        <w:t>« l’acheteur d’une chose comportant un vice caché qui accepte que le</w:t>
      </w:r>
      <w:r>
        <w:rPr>
          <w:rFonts w:ascii="Times New Roman" w:hAnsi="Times New Roman"/>
          <w:sz w:val="24"/>
          <w:szCs w:val="24"/>
        </w:rPr>
        <w:t xml:space="preserve"> </w:t>
      </w:r>
      <w:r>
        <w:rPr>
          <w:rFonts w:ascii="Times New Roman" w:hAnsi="Times New Roman"/>
          <w:i/>
          <w:iCs/>
          <w:sz w:val="24"/>
          <w:szCs w:val="24"/>
        </w:rPr>
        <w:t>vendeur procède à la remise en état de ce bien ne peut plus invoquer l’action en garantie dès</w:t>
      </w:r>
      <w:r>
        <w:rPr>
          <w:rFonts w:ascii="Times New Roman" w:hAnsi="Times New Roman"/>
          <w:sz w:val="24"/>
          <w:szCs w:val="24"/>
        </w:rPr>
        <w:t xml:space="preserve"> </w:t>
      </w:r>
      <w:r>
        <w:rPr>
          <w:rFonts w:ascii="Times New Roman" w:hAnsi="Times New Roman"/>
          <w:i/>
          <w:iCs/>
          <w:sz w:val="24"/>
          <w:szCs w:val="24"/>
        </w:rPr>
        <w:t>lors que le vice originaire a disparu » ; « qu’ayant souverainement retenu que les</w:t>
      </w:r>
      <w:r>
        <w:rPr>
          <w:rFonts w:ascii="Times New Roman" w:hAnsi="Times New Roman"/>
          <w:sz w:val="24"/>
          <w:szCs w:val="24"/>
        </w:rPr>
        <w:t xml:space="preserve"> </w:t>
      </w:r>
      <w:r>
        <w:rPr>
          <w:rFonts w:ascii="Times New Roman" w:hAnsi="Times New Roman"/>
          <w:i/>
          <w:iCs/>
          <w:sz w:val="24"/>
          <w:szCs w:val="24"/>
        </w:rPr>
        <w:t>défectuosités du véhicule litigieux avaient été réparées et ne le rendaient plus impropre à</w:t>
      </w:r>
      <w:r>
        <w:rPr>
          <w:rFonts w:ascii="Times New Roman" w:hAnsi="Times New Roman"/>
          <w:sz w:val="24"/>
          <w:szCs w:val="24"/>
        </w:rPr>
        <w:t xml:space="preserve"> </w:t>
      </w:r>
      <w:r>
        <w:rPr>
          <w:rFonts w:ascii="Times New Roman" w:hAnsi="Times New Roman"/>
          <w:i/>
          <w:iCs/>
          <w:sz w:val="24"/>
          <w:szCs w:val="24"/>
        </w:rPr>
        <w:t>l’usage auquel il était destiné, la cour d’appel a exactement décidé de rejeter la demande en</w:t>
      </w:r>
      <w:r>
        <w:rPr>
          <w:rFonts w:ascii="Times New Roman" w:hAnsi="Times New Roman"/>
          <w:sz w:val="24"/>
          <w:szCs w:val="24"/>
        </w:rPr>
        <w:t xml:space="preserve"> </w:t>
      </w:r>
      <w:r>
        <w:rPr>
          <w:rFonts w:ascii="Times New Roman" w:hAnsi="Times New Roman"/>
          <w:i/>
          <w:iCs/>
          <w:sz w:val="24"/>
          <w:szCs w:val="24"/>
        </w:rPr>
        <w:t xml:space="preserve">résolution de la vente ». </w:t>
      </w:r>
      <w:r>
        <w:rPr>
          <w:rFonts w:ascii="Times New Roman" w:hAnsi="Times New Roman"/>
          <w:sz w:val="24"/>
          <w:szCs w:val="24"/>
        </w:rPr>
        <w:t xml:space="preserve">Il demeure que l’acheteur peut demander au vendeur réparation des préjudices qu’il a subis du fait des vices cachés : </w:t>
      </w:r>
      <w:r>
        <w:rPr>
          <w:rFonts w:ascii="Times New Roman" w:hAnsi="Times New Roman"/>
          <w:i/>
          <w:iCs/>
          <w:sz w:val="24"/>
          <w:szCs w:val="24"/>
        </w:rPr>
        <w:t>« l’acheteur […] peut solliciter</w:t>
      </w:r>
      <w:r>
        <w:rPr>
          <w:rFonts w:ascii="Times New Roman" w:hAnsi="Times New Roman"/>
          <w:sz w:val="24"/>
          <w:szCs w:val="24"/>
        </w:rPr>
        <w:t xml:space="preserve"> </w:t>
      </w:r>
      <w:r>
        <w:rPr>
          <w:rFonts w:ascii="Times New Roman" w:hAnsi="Times New Roman"/>
          <w:i/>
          <w:iCs/>
          <w:sz w:val="24"/>
          <w:szCs w:val="24"/>
        </w:rPr>
        <w:t>l’indemnisation du préjudice éventuellement subi du fait de ce vice ».</w:t>
      </w:r>
    </w:p>
    <w:p w:rsidR="002703A2" w:rsidRDefault="002703A2" w:rsidP="00D37A27">
      <w:pPr>
        <w:autoSpaceDE w:val="0"/>
        <w:autoSpaceDN w:val="0"/>
        <w:adjustRightInd w:val="0"/>
        <w:jc w:val="both"/>
        <w:rPr>
          <w:rFonts w:ascii="Times New Roman" w:hAnsi="Times New Roman"/>
          <w:b/>
          <w:bCs/>
          <w:sz w:val="24"/>
          <w:szCs w:val="24"/>
        </w:rPr>
      </w:pPr>
    </w:p>
    <w:p w:rsidR="0072268B" w:rsidRDefault="0072268B" w:rsidP="00D37A27">
      <w:pPr>
        <w:autoSpaceDE w:val="0"/>
        <w:autoSpaceDN w:val="0"/>
        <w:adjustRightInd w:val="0"/>
        <w:jc w:val="both"/>
        <w:rPr>
          <w:rFonts w:ascii="Times New Roman" w:hAnsi="Times New Roman"/>
          <w:b/>
          <w:bCs/>
          <w:sz w:val="24"/>
          <w:szCs w:val="24"/>
        </w:rPr>
      </w:pPr>
    </w:p>
    <w:p w:rsidR="0072268B" w:rsidRDefault="0072268B" w:rsidP="00394D2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DOSSIER 4</w:t>
      </w:r>
    </w:p>
    <w:p w:rsidR="0072268B" w:rsidRDefault="0072268B" w:rsidP="00D37A27">
      <w:pPr>
        <w:autoSpaceDE w:val="0"/>
        <w:autoSpaceDN w:val="0"/>
        <w:adjustRightInd w:val="0"/>
        <w:jc w:val="both"/>
        <w:rPr>
          <w:rFonts w:ascii="Times New Roman" w:hAnsi="Times New Roman"/>
          <w:b/>
          <w:bCs/>
          <w:sz w:val="24"/>
          <w:szCs w:val="24"/>
        </w:rPr>
      </w:pPr>
    </w:p>
    <w:p w:rsidR="0072268B" w:rsidRDefault="0072268B" w:rsidP="001A2368">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1. </w:t>
      </w:r>
      <w:r>
        <w:rPr>
          <w:rFonts w:ascii="Times New Roman" w:hAnsi="Times New Roman"/>
          <w:b/>
          <w:bCs/>
          <w:sz w:val="24"/>
          <w:szCs w:val="24"/>
        </w:rPr>
        <w:t xml:space="preserve">Combien d’actions la société HIGHTITUDE souscrit-elle au capital de e-VREST et pour quel montant ? Quelle part du capital </w:t>
      </w:r>
      <w:r w:rsidR="001A2368">
        <w:rPr>
          <w:rFonts w:ascii="Times New Roman" w:hAnsi="Times New Roman"/>
          <w:b/>
          <w:bCs/>
          <w:sz w:val="24"/>
          <w:szCs w:val="24"/>
        </w:rPr>
        <w:t>d’e-VREST</w:t>
      </w:r>
      <w:r>
        <w:rPr>
          <w:rFonts w:ascii="Times New Roman" w:hAnsi="Times New Roman"/>
          <w:b/>
          <w:bCs/>
          <w:sz w:val="24"/>
          <w:szCs w:val="24"/>
        </w:rPr>
        <w:t xml:space="preserve"> aura-t-elle alors et quelle sera sa situation actionnariale</w:t>
      </w:r>
      <w:r>
        <w:rPr>
          <w:rFonts w:ascii="Times New Roman" w:hAnsi="Times New Roman"/>
          <w:b/>
          <w:bCs/>
          <w:i/>
          <w:iCs/>
          <w:sz w:val="24"/>
          <w:szCs w:val="24"/>
        </w:rPr>
        <w:t xml:space="preserve"> </w:t>
      </w:r>
      <w:r>
        <w:rPr>
          <w:rFonts w:ascii="Times New Roman" w:hAnsi="Times New Roman"/>
          <w:b/>
          <w:bCs/>
          <w:sz w:val="24"/>
          <w:szCs w:val="24"/>
        </w:rPr>
        <w:t>?</w:t>
      </w:r>
    </w:p>
    <w:p w:rsidR="001A2368" w:rsidRDefault="001A2368" w:rsidP="001A2368">
      <w:pPr>
        <w:autoSpaceDE w:val="0"/>
        <w:autoSpaceDN w:val="0"/>
        <w:adjustRightInd w:val="0"/>
        <w:jc w:val="both"/>
        <w:rPr>
          <w:rFonts w:ascii="Times New Roman" w:hAnsi="Times New Roman"/>
          <w:b/>
          <w:bCs/>
          <w:sz w:val="24"/>
          <w:szCs w:val="24"/>
        </w:rPr>
      </w:pPr>
    </w:p>
    <w:p w:rsidR="001A2368" w:rsidRDefault="001A2368" w:rsidP="001A2368">
      <w:pPr>
        <w:autoSpaceDE w:val="0"/>
        <w:autoSpaceDN w:val="0"/>
        <w:adjustRightInd w:val="0"/>
        <w:jc w:val="both"/>
        <w:rPr>
          <w:rFonts w:ascii="Times New Roman" w:hAnsi="Times New Roman"/>
          <w:sz w:val="24"/>
          <w:szCs w:val="24"/>
        </w:rPr>
      </w:pPr>
      <w:r>
        <w:rPr>
          <w:rFonts w:ascii="Times New Roman" w:hAnsi="Times New Roman"/>
          <w:sz w:val="24"/>
          <w:szCs w:val="24"/>
        </w:rPr>
        <w:t>L’augmentation de capital envisagée est au pair, donc sans prime d’émission.</w:t>
      </w:r>
    </w:p>
    <w:p w:rsidR="001A2368" w:rsidRDefault="001A2368" w:rsidP="001A2368">
      <w:pPr>
        <w:autoSpaceDE w:val="0"/>
        <w:autoSpaceDN w:val="0"/>
        <w:adjustRightInd w:val="0"/>
        <w:jc w:val="both"/>
        <w:rPr>
          <w:rFonts w:ascii="Times New Roman" w:hAnsi="Times New Roman"/>
          <w:sz w:val="24"/>
          <w:szCs w:val="24"/>
        </w:rPr>
      </w:pPr>
      <w:r>
        <w:rPr>
          <w:rFonts w:ascii="Times New Roman" w:hAnsi="Times New Roman"/>
          <w:sz w:val="24"/>
          <w:szCs w:val="24"/>
        </w:rPr>
        <w:t>L’augmentation de capital de 100 000 € correspond ainsi à 10.000 nouvelles actions.</w:t>
      </w:r>
    </w:p>
    <w:p w:rsidR="008662BF" w:rsidRDefault="008662BF" w:rsidP="008662BF">
      <w:pPr>
        <w:autoSpaceDE w:val="0"/>
        <w:autoSpaceDN w:val="0"/>
        <w:adjustRightInd w:val="0"/>
        <w:jc w:val="both"/>
        <w:rPr>
          <w:rFonts w:ascii="Times New Roman" w:hAnsi="Times New Roman"/>
          <w:sz w:val="24"/>
          <w:szCs w:val="24"/>
        </w:rPr>
      </w:pPr>
      <w:r>
        <w:rPr>
          <w:rFonts w:ascii="Times New Roman" w:hAnsi="Times New Roman"/>
          <w:sz w:val="24"/>
          <w:szCs w:val="24"/>
        </w:rPr>
        <w:t>HIGHTITUDE aura ainsi 10 000 / (10 000 + 10 000) actions, soit 50% du capital social.</w:t>
      </w:r>
    </w:p>
    <w:p w:rsidR="008662BF" w:rsidRDefault="008662BF" w:rsidP="008662BF">
      <w:pPr>
        <w:autoSpaceDE w:val="0"/>
        <w:autoSpaceDN w:val="0"/>
        <w:adjustRightInd w:val="0"/>
        <w:jc w:val="both"/>
        <w:rPr>
          <w:rFonts w:ascii="Times New Roman" w:hAnsi="Times New Roman"/>
          <w:sz w:val="24"/>
          <w:szCs w:val="24"/>
        </w:rPr>
      </w:pPr>
      <w:r>
        <w:rPr>
          <w:rFonts w:ascii="Times New Roman" w:hAnsi="Times New Roman"/>
          <w:sz w:val="24"/>
          <w:szCs w:val="24"/>
        </w:rPr>
        <w:t>Le nouvel actionnaire ne disposera pas de la majorité de contrôle (50 % + 1 voix) mais sera le premier actionnaire, devant le dirigeant (dont la participation dans le capital sera diluée, comme celle les 6 autres dirigeants, dirigeant qui n’aura plus que 34,5 % du capital social), et en situation de blocage égalitaire.</w:t>
      </w:r>
    </w:p>
    <w:p w:rsidR="001A2368" w:rsidRDefault="001A2368" w:rsidP="001A2368">
      <w:pPr>
        <w:autoSpaceDE w:val="0"/>
        <w:autoSpaceDN w:val="0"/>
        <w:adjustRightInd w:val="0"/>
        <w:rPr>
          <w:rFonts w:ascii="Times New Roman" w:hAnsi="Times New Roman"/>
          <w:b/>
          <w:bCs/>
          <w:sz w:val="24"/>
          <w:szCs w:val="24"/>
        </w:rPr>
      </w:pPr>
    </w:p>
    <w:p w:rsidR="008662BF" w:rsidRDefault="008662BF" w:rsidP="008662BF">
      <w:pPr>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2. </w:t>
      </w:r>
      <w:r>
        <w:rPr>
          <w:rFonts w:ascii="Times New Roman" w:hAnsi="Times New Roman"/>
          <w:b/>
          <w:bCs/>
          <w:sz w:val="24"/>
          <w:szCs w:val="24"/>
        </w:rPr>
        <w:t>Les conditions financières de l’augmentation de capital vous paraissent-elles appropriées et licites ?</w:t>
      </w:r>
    </w:p>
    <w:p w:rsidR="008662BF" w:rsidRDefault="008662BF" w:rsidP="008662BF">
      <w:pPr>
        <w:autoSpaceDE w:val="0"/>
        <w:autoSpaceDN w:val="0"/>
        <w:adjustRightInd w:val="0"/>
        <w:jc w:val="both"/>
        <w:rPr>
          <w:rFonts w:ascii="Times New Roman" w:hAnsi="Times New Roman"/>
          <w:b/>
          <w:bCs/>
          <w:sz w:val="24"/>
          <w:szCs w:val="24"/>
        </w:rPr>
      </w:pPr>
    </w:p>
    <w:p w:rsidR="008662BF" w:rsidRDefault="008662BF" w:rsidP="008662BF">
      <w:pPr>
        <w:autoSpaceDE w:val="0"/>
        <w:autoSpaceDN w:val="0"/>
        <w:adjustRightInd w:val="0"/>
        <w:jc w:val="both"/>
        <w:rPr>
          <w:rFonts w:ascii="Times New Roman" w:hAnsi="Times New Roman"/>
          <w:sz w:val="24"/>
          <w:szCs w:val="24"/>
        </w:rPr>
      </w:pPr>
      <w:r>
        <w:rPr>
          <w:rFonts w:ascii="Times New Roman" w:hAnsi="Times New Roman"/>
          <w:sz w:val="24"/>
          <w:szCs w:val="24"/>
        </w:rPr>
        <w:t>L’augmentation de capital envisagée ne donne pas le contrôle de la société au nouvel actionnaire, mais lui confère la position la plus forte par rapport aux autres puisqu’il lui suffit d’une action pour contrôler la société. On s’attendrait donc à ce que ce nouvel actionnaire compense la perte de pouvoir et d’accès à la richesse accumulée dans l’entreprise que consentent les actionnaires historiques. C’est l’objet d’une prime d’émission, qui conduit le nouvel actionnaire à payer plus que la valeur nominale des actions.</w:t>
      </w:r>
    </w:p>
    <w:p w:rsidR="008662BF" w:rsidRDefault="008662BF" w:rsidP="008662BF">
      <w:pPr>
        <w:autoSpaceDE w:val="0"/>
        <w:autoSpaceDN w:val="0"/>
        <w:adjustRightInd w:val="0"/>
        <w:jc w:val="both"/>
        <w:rPr>
          <w:rFonts w:ascii="Times New Roman" w:hAnsi="Times New Roman"/>
          <w:sz w:val="24"/>
          <w:szCs w:val="24"/>
        </w:rPr>
      </w:pPr>
    </w:p>
    <w:p w:rsidR="008662BF" w:rsidRDefault="008662BF" w:rsidP="008662BF">
      <w:pPr>
        <w:autoSpaceDE w:val="0"/>
        <w:autoSpaceDN w:val="0"/>
        <w:adjustRightInd w:val="0"/>
        <w:jc w:val="both"/>
        <w:rPr>
          <w:rFonts w:ascii="Times New Roman" w:hAnsi="Times New Roman"/>
          <w:sz w:val="24"/>
          <w:szCs w:val="24"/>
        </w:rPr>
      </w:pPr>
      <w:r>
        <w:rPr>
          <w:rFonts w:ascii="Times New Roman" w:hAnsi="Times New Roman"/>
          <w:sz w:val="24"/>
          <w:szCs w:val="24"/>
        </w:rPr>
        <w:t>L’entreprise est florissante, les capitaux propres représentant 40 fois le capital social : les actionnaires historiques avaient accès ainsi à 40 fois leur mise avant l’AGE.</w:t>
      </w:r>
    </w:p>
    <w:p w:rsidR="008662BF" w:rsidRDefault="008662BF" w:rsidP="008662BF">
      <w:pPr>
        <w:autoSpaceDE w:val="0"/>
        <w:autoSpaceDN w:val="0"/>
        <w:adjustRightInd w:val="0"/>
        <w:jc w:val="both"/>
        <w:rPr>
          <w:rFonts w:ascii="Times New Roman" w:hAnsi="Times New Roman"/>
          <w:sz w:val="24"/>
          <w:szCs w:val="24"/>
        </w:rPr>
      </w:pPr>
    </w:p>
    <w:p w:rsidR="008662BF" w:rsidRDefault="00B666DB" w:rsidP="00B666DB">
      <w:pPr>
        <w:autoSpaceDE w:val="0"/>
        <w:autoSpaceDN w:val="0"/>
        <w:adjustRightInd w:val="0"/>
        <w:jc w:val="both"/>
        <w:rPr>
          <w:rFonts w:ascii="Times New Roman" w:hAnsi="Times New Roman"/>
          <w:sz w:val="24"/>
          <w:szCs w:val="24"/>
        </w:rPr>
      </w:pPr>
      <w:r>
        <w:rPr>
          <w:rFonts w:ascii="Times New Roman" w:hAnsi="Times New Roman"/>
          <w:sz w:val="24"/>
          <w:szCs w:val="24"/>
        </w:rPr>
        <w:t>Après l’augmentation proposée, les capitaux propres s’élèveront à 4,1 M€ pour un capital social de 200.000 €. Le rapport ne sera plus que de 20,5 fois leur mise alors que, sans autre contrepartie, le nouvel actionnaire aura accès au même levier.</w:t>
      </w:r>
    </w:p>
    <w:p w:rsidR="00B666DB" w:rsidRDefault="00B666DB" w:rsidP="00B666DB">
      <w:pPr>
        <w:autoSpaceDE w:val="0"/>
        <w:autoSpaceDN w:val="0"/>
        <w:adjustRightInd w:val="0"/>
        <w:jc w:val="both"/>
        <w:rPr>
          <w:rFonts w:ascii="Times New Roman" w:hAnsi="Times New Roman"/>
          <w:sz w:val="24"/>
          <w:szCs w:val="24"/>
        </w:rPr>
      </w:pPr>
    </w:p>
    <w:p w:rsidR="00B666DB" w:rsidRDefault="004F6613" w:rsidP="00B666DB">
      <w:pPr>
        <w:autoSpaceDE w:val="0"/>
        <w:autoSpaceDN w:val="0"/>
        <w:adjustRightInd w:val="0"/>
        <w:jc w:val="both"/>
        <w:rPr>
          <w:rFonts w:ascii="Times New Roman" w:hAnsi="Times New Roman"/>
          <w:sz w:val="24"/>
          <w:szCs w:val="24"/>
        </w:rPr>
      </w:pPr>
      <w:r>
        <w:rPr>
          <w:rFonts w:ascii="Times New Roman" w:hAnsi="Times New Roman"/>
          <w:sz w:val="24"/>
          <w:szCs w:val="24"/>
        </w:rPr>
        <w:t>En conclusion, ces conditions financières ne paraissent pas appropriées.</w:t>
      </w:r>
    </w:p>
    <w:p w:rsidR="004F6613" w:rsidRDefault="004F6613" w:rsidP="00B666DB">
      <w:pPr>
        <w:autoSpaceDE w:val="0"/>
        <w:autoSpaceDN w:val="0"/>
        <w:adjustRightInd w:val="0"/>
        <w:jc w:val="both"/>
        <w:rPr>
          <w:rFonts w:ascii="Times New Roman" w:hAnsi="Times New Roman"/>
          <w:sz w:val="24"/>
          <w:szCs w:val="24"/>
        </w:rPr>
      </w:pPr>
    </w:p>
    <w:p w:rsidR="004F6613" w:rsidRDefault="004F6613" w:rsidP="004F6613">
      <w:pPr>
        <w:autoSpaceDE w:val="0"/>
        <w:autoSpaceDN w:val="0"/>
        <w:adjustRightInd w:val="0"/>
        <w:jc w:val="both"/>
        <w:rPr>
          <w:rFonts w:ascii="Times New Roman" w:hAnsi="Times New Roman"/>
          <w:sz w:val="24"/>
          <w:szCs w:val="24"/>
        </w:rPr>
      </w:pPr>
      <w:r>
        <w:rPr>
          <w:rFonts w:ascii="Times New Roman" w:hAnsi="Times New Roman"/>
          <w:sz w:val="24"/>
          <w:szCs w:val="24"/>
        </w:rPr>
        <w:t>En revanche, une telle disproportion n’est pas en soi illicite, dans la mesure où l’Assemblée l’aura décidé (par le vote sur la suppression du droit préférentiel de souscription) après avoir été éclairée par le rapport du conseil d’administration et au besoin par celui du commissaire aux comptes.</w:t>
      </w:r>
    </w:p>
    <w:p w:rsidR="004F6613" w:rsidRDefault="004F6613" w:rsidP="004F6613">
      <w:pPr>
        <w:autoSpaceDE w:val="0"/>
        <w:autoSpaceDN w:val="0"/>
        <w:adjustRightInd w:val="0"/>
        <w:jc w:val="both"/>
        <w:rPr>
          <w:rFonts w:ascii="Times New Roman" w:hAnsi="Times New Roman"/>
          <w:sz w:val="24"/>
          <w:szCs w:val="24"/>
        </w:rPr>
      </w:pPr>
    </w:p>
    <w:p w:rsidR="004F6613" w:rsidRDefault="00282003" w:rsidP="00282003">
      <w:pPr>
        <w:autoSpaceDE w:val="0"/>
        <w:autoSpaceDN w:val="0"/>
        <w:adjustRightInd w:val="0"/>
        <w:rPr>
          <w:rFonts w:ascii="Times New Roman" w:hAnsi="Times New Roman"/>
          <w:b/>
          <w:bCs/>
          <w:sz w:val="24"/>
          <w:szCs w:val="24"/>
        </w:rPr>
      </w:pPr>
      <w:r>
        <w:rPr>
          <w:rFonts w:ascii="Times New Roman" w:hAnsi="Times New Roman"/>
          <w:b/>
          <w:bCs/>
          <w:i/>
          <w:iCs/>
          <w:sz w:val="24"/>
          <w:szCs w:val="24"/>
        </w:rPr>
        <w:lastRenderedPageBreak/>
        <w:t xml:space="preserve">3. </w:t>
      </w:r>
      <w:r>
        <w:rPr>
          <w:rFonts w:ascii="Times New Roman" w:hAnsi="Times New Roman"/>
          <w:b/>
          <w:bCs/>
          <w:sz w:val="24"/>
          <w:szCs w:val="24"/>
        </w:rPr>
        <w:t>La créance dont HIGHTITUDE fait état remplit-elle les conditions pour être compensée avec la souscription d’actions par cette société au capital d’e-VREST ? Si non, la situation peut-elle être corrigée ?</w:t>
      </w:r>
    </w:p>
    <w:p w:rsidR="00282003" w:rsidRDefault="00282003" w:rsidP="00282003">
      <w:pPr>
        <w:autoSpaceDE w:val="0"/>
        <w:autoSpaceDN w:val="0"/>
        <w:adjustRightInd w:val="0"/>
        <w:rPr>
          <w:rFonts w:ascii="Times New Roman" w:hAnsi="Times New Roman"/>
          <w:b/>
          <w:bCs/>
          <w:sz w:val="24"/>
          <w:szCs w:val="24"/>
        </w:rPr>
      </w:pPr>
    </w:p>
    <w:p w:rsidR="00282003" w:rsidRDefault="00416FC0" w:rsidP="00416FC0">
      <w:pPr>
        <w:autoSpaceDE w:val="0"/>
        <w:autoSpaceDN w:val="0"/>
        <w:adjustRightInd w:val="0"/>
        <w:jc w:val="both"/>
        <w:rPr>
          <w:rFonts w:ascii="Times New Roman" w:hAnsi="Times New Roman"/>
          <w:sz w:val="24"/>
          <w:szCs w:val="24"/>
        </w:rPr>
      </w:pPr>
      <w:r>
        <w:rPr>
          <w:rFonts w:ascii="Times New Roman" w:hAnsi="Times New Roman"/>
          <w:sz w:val="24"/>
          <w:szCs w:val="24"/>
        </w:rPr>
        <w:t>La souscription d’actions dans le cadre d’une augmentation de capital par apports en numéraire peut être libérée par compensation avec une créance du souscripteur sur la société, si cette créance est certaine, liquide et exigible.</w:t>
      </w:r>
    </w:p>
    <w:p w:rsidR="00416FC0" w:rsidRDefault="00416FC0" w:rsidP="00416FC0">
      <w:pPr>
        <w:autoSpaceDE w:val="0"/>
        <w:autoSpaceDN w:val="0"/>
        <w:adjustRightInd w:val="0"/>
        <w:jc w:val="both"/>
        <w:rPr>
          <w:rFonts w:ascii="Times New Roman" w:hAnsi="Times New Roman"/>
          <w:sz w:val="24"/>
          <w:szCs w:val="24"/>
        </w:rPr>
      </w:pPr>
      <w:r>
        <w:rPr>
          <w:rFonts w:ascii="Times New Roman" w:hAnsi="Times New Roman"/>
          <w:sz w:val="24"/>
          <w:szCs w:val="24"/>
        </w:rPr>
        <w:t>En l’espèce, la créance de HIGHTITUDE sur e-VREST est certaine et liquide. (</w:t>
      </w:r>
      <w:proofErr w:type="gramStart"/>
      <w:r>
        <w:rPr>
          <w:rFonts w:ascii="Times New Roman" w:hAnsi="Times New Roman"/>
          <w:sz w:val="24"/>
          <w:szCs w:val="24"/>
        </w:rPr>
        <w:t>prestation</w:t>
      </w:r>
      <w:proofErr w:type="gramEnd"/>
      <w:r>
        <w:rPr>
          <w:rFonts w:ascii="Times New Roman" w:hAnsi="Times New Roman"/>
          <w:sz w:val="24"/>
          <w:szCs w:val="24"/>
        </w:rPr>
        <w:t xml:space="preserve">  réalisée et achevée sans réserve et facturée). En revanche, elle n’est pas encore exigible : elle ne le sera que le 30 juin 2011.</w:t>
      </w:r>
    </w:p>
    <w:p w:rsidR="00416FC0" w:rsidRDefault="00416FC0" w:rsidP="00CE1DFE">
      <w:pPr>
        <w:autoSpaceDE w:val="0"/>
        <w:autoSpaceDN w:val="0"/>
        <w:adjustRightInd w:val="0"/>
        <w:jc w:val="both"/>
        <w:rPr>
          <w:rFonts w:ascii="Times New Roman" w:hAnsi="Times New Roman"/>
          <w:sz w:val="24"/>
          <w:szCs w:val="24"/>
        </w:rPr>
      </w:pPr>
      <w:r>
        <w:rPr>
          <w:rFonts w:ascii="Times New Roman" w:hAnsi="Times New Roman"/>
          <w:sz w:val="24"/>
          <w:szCs w:val="24"/>
        </w:rPr>
        <w:t xml:space="preserve">Cette situation peut être corrigée : il suffit </w:t>
      </w:r>
      <w:r w:rsidR="00CE1DFE">
        <w:rPr>
          <w:rFonts w:ascii="Times New Roman" w:hAnsi="Times New Roman"/>
          <w:sz w:val="24"/>
          <w:szCs w:val="24"/>
        </w:rPr>
        <w:t>qu’e-VREST</w:t>
      </w:r>
      <w:r>
        <w:rPr>
          <w:rFonts w:ascii="Times New Roman" w:hAnsi="Times New Roman"/>
          <w:sz w:val="24"/>
          <w:szCs w:val="24"/>
        </w:rPr>
        <w:t xml:space="preserve">, </w:t>
      </w:r>
      <w:r w:rsidR="000F457A">
        <w:rPr>
          <w:rFonts w:ascii="Times New Roman" w:hAnsi="Times New Roman"/>
          <w:sz w:val="24"/>
          <w:szCs w:val="24"/>
        </w:rPr>
        <w:t>cocontractant</w:t>
      </w:r>
      <w:r>
        <w:rPr>
          <w:rFonts w:ascii="Times New Roman" w:hAnsi="Times New Roman"/>
          <w:sz w:val="24"/>
          <w:szCs w:val="24"/>
        </w:rPr>
        <w:t>, accepte d’avancer cette date d’exigibilité à une date antérieure à l’ouverture de l’assemblée générale extraordinaire du 31 mai 2011.</w:t>
      </w:r>
    </w:p>
    <w:p w:rsidR="000F457A" w:rsidRPr="00416FC0" w:rsidRDefault="000F457A" w:rsidP="000F457A">
      <w:pPr>
        <w:autoSpaceDE w:val="0"/>
        <w:autoSpaceDN w:val="0"/>
        <w:adjustRightInd w:val="0"/>
        <w:jc w:val="both"/>
        <w:rPr>
          <w:rFonts w:ascii="Times New Roman" w:hAnsi="Times New Roman"/>
          <w:sz w:val="24"/>
          <w:szCs w:val="24"/>
        </w:rPr>
      </w:pPr>
      <w:r>
        <w:rPr>
          <w:rFonts w:ascii="Times New Roman" w:hAnsi="Times New Roman"/>
          <w:sz w:val="24"/>
          <w:szCs w:val="24"/>
        </w:rPr>
        <w:t>Il est également envisageable de reporter la date de l’AGE au 30 juin 2011 si la SAS HIGTITUDE n’y voit pas d’inconvénient.</w:t>
      </w:r>
    </w:p>
    <w:p w:rsidR="004F6613" w:rsidRDefault="004F6613" w:rsidP="00416FC0">
      <w:pPr>
        <w:autoSpaceDE w:val="0"/>
        <w:autoSpaceDN w:val="0"/>
        <w:adjustRightInd w:val="0"/>
        <w:jc w:val="both"/>
        <w:rPr>
          <w:rFonts w:ascii="Times New Roman" w:hAnsi="Times New Roman"/>
          <w:sz w:val="24"/>
          <w:szCs w:val="24"/>
        </w:rPr>
      </w:pPr>
    </w:p>
    <w:p w:rsidR="000F457A" w:rsidRDefault="000F457A" w:rsidP="000F457A">
      <w:pPr>
        <w:autoSpaceDE w:val="0"/>
        <w:autoSpaceDN w:val="0"/>
        <w:adjustRightInd w:val="0"/>
        <w:rPr>
          <w:rFonts w:ascii="Times New Roman" w:hAnsi="Times New Roman"/>
          <w:b/>
          <w:bCs/>
          <w:sz w:val="24"/>
          <w:szCs w:val="24"/>
        </w:rPr>
      </w:pPr>
      <w:r>
        <w:rPr>
          <w:rFonts w:ascii="Times New Roman" w:hAnsi="Times New Roman"/>
          <w:b/>
          <w:bCs/>
          <w:i/>
          <w:iCs/>
          <w:sz w:val="24"/>
          <w:szCs w:val="24"/>
        </w:rPr>
        <w:t xml:space="preserve">4. </w:t>
      </w:r>
      <w:r>
        <w:rPr>
          <w:rFonts w:ascii="Times New Roman" w:hAnsi="Times New Roman"/>
          <w:b/>
          <w:bCs/>
          <w:sz w:val="24"/>
          <w:szCs w:val="24"/>
        </w:rPr>
        <w:t>Qui peut établir le certificat du dépositaire relatif à la créance de la société HIGHTITUDE ?</w:t>
      </w:r>
    </w:p>
    <w:p w:rsidR="000F457A" w:rsidRDefault="000F457A" w:rsidP="000F457A">
      <w:pPr>
        <w:autoSpaceDE w:val="0"/>
        <w:autoSpaceDN w:val="0"/>
        <w:adjustRightInd w:val="0"/>
        <w:rPr>
          <w:rFonts w:ascii="Times New Roman" w:hAnsi="Times New Roman"/>
          <w:b/>
          <w:bCs/>
          <w:sz w:val="24"/>
          <w:szCs w:val="24"/>
        </w:rPr>
      </w:pPr>
    </w:p>
    <w:p w:rsidR="000F457A" w:rsidRPr="00D473F6" w:rsidRDefault="00D473F6" w:rsidP="00D473F6">
      <w:pPr>
        <w:autoSpaceDE w:val="0"/>
        <w:autoSpaceDN w:val="0"/>
        <w:adjustRightInd w:val="0"/>
        <w:rPr>
          <w:rFonts w:ascii="Times New Roman" w:hAnsi="Times New Roman"/>
          <w:sz w:val="24"/>
          <w:szCs w:val="24"/>
        </w:rPr>
      </w:pPr>
      <w:r>
        <w:rPr>
          <w:rFonts w:ascii="Times New Roman" w:hAnsi="Times New Roman"/>
          <w:sz w:val="24"/>
          <w:szCs w:val="24"/>
        </w:rPr>
        <w:t>Le certificat du dépositaire relatif aux situations de créance est un acte à la charge du commissaire aux comptes.</w:t>
      </w:r>
    </w:p>
    <w:sectPr w:rsidR="000F457A" w:rsidRPr="00D473F6" w:rsidSect="009A49BF">
      <w:headerReference w:type="default" r:id="rId9"/>
      <w:footerReference w:type="default" r:id="rId10"/>
      <w:pgSz w:w="11906" w:h="16838"/>
      <w:pgMar w:top="851" w:right="851" w:bottom="851"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01" w:rsidRDefault="00A40F01" w:rsidP="000F7F97">
      <w:r>
        <w:separator/>
      </w:r>
    </w:p>
  </w:endnote>
  <w:endnote w:type="continuationSeparator" w:id="0">
    <w:p w:rsidR="00A40F01" w:rsidRDefault="00A40F01" w:rsidP="000F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97" w:rsidRPr="009A49BF" w:rsidRDefault="009A49BF" w:rsidP="009A49BF">
    <w:pPr>
      <w:pStyle w:val="Pieddepage"/>
      <w:tabs>
        <w:tab w:val="clear" w:pos="9072"/>
        <w:tab w:val="right" w:pos="9781"/>
      </w:tabs>
      <w:ind w:right="360"/>
    </w:pPr>
    <w:r w:rsidRPr="00A111B8">
      <w:t>©Comptazine – Reproduction interdite – DSCG Gestion Juridique, Fiscale et Sociale 201</w:t>
    </w:r>
    <w:r>
      <w:t>0</w:t>
    </w:r>
    <w:r w:rsidRPr="00A111B8">
      <w:tab/>
    </w:r>
    <w:r w:rsidRPr="00A111B8">
      <w:rPr>
        <w:rStyle w:val="Numrodepage"/>
      </w:rPr>
      <w:fldChar w:fldCharType="begin"/>
    </w:r>
    <w:r w:rsidRPr="00A111B8">
      <w:rPr>
        <w:rStyle w:val="Numrodepage"/>
      </w:rPr>
      <w:instrText xml:space="preserve"> PAGE </w:instrText>
    </w:r>
    <w:r w:rsidRPr="00A111B8">
      <w:rPr>
        <w:rStyle w:val="Numrodepage"/>
      </w:rPr>
      <w:fldChar w:fldCharType="separate"/>
    </w:r>
    <w:r w:rsidR="00333F12">
      <w:rPr>
        <w:rStyle w:val="Numrodepage"/>
        <w:noProof/>
      </w:rPr>
      <w:t>8</w:t>
    </w:r>
    <w:r w:rsidRPr="00A111B8">
      <w:rPr>
        <w:rStyle w:val="Numrodepage"/>
      </w:rPr>
      <w:fldChar w:fldCharType="end"/>
    </w:r>
    <w:r w:rsidRPr="00A111B8">
      <w:rPr>
        <w:rStyle w:val="Numrodepage"/>
      </w:rPr>
      <w:t>/</w:t>
    </w:r>
    <w:r w:rsidRPr="00A111B8">
      <w:rPr>
        <w:rStyle w:val="Numrodepage"/>
      </w:rPr>
      <w:fldChar w:fldCharType="begin"/>
    </w:r>
    <w:r w:rsidRPr="00A111B8">
      <w:rPr>
        <w:rStyle w:val="Numrodepage"/>
      </w:rPr>
      <w:instrText xml:space="preserve"> NUMPAGES </w:instrText>
    </w:r>
    <w:r w:rsidRPr="00A111B8">
      <w:rPr>
        <w:rStyle w:val="Numrodepage"/>
      </w:rPr>
      <w:fldChar w:fldCharType="separate"/>
    </w:r>
    <w:r w:rsidR="00333F12">
      <w:rPr>
        <w:rStyle w:val="Numrodepage"/>
        <w:noProof/>
      </w:rPr>
      <w:t>8</w:t>
    </w:r>
    <w:r w:rsidRPr="00A111B8">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01" w:rsidRDefault="00A40F01" w:rsidP="000F7F97">
      <w:r>
        <w:separator/>
      </w:r>
    </w:p>
  </w:footnote>
  <w:footnote w:type="continuationSeparator" w:id="0">
    <w:p w:rsidR="00A40F01" w:rsidRDefault="00A40F01" w:rsidP="000F7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BF" w:rsidRDefault="005A78DD" w:rsidP="009A49BF">
    <w:pPr>
      <w:pStyle w:val="En-tte"/>
      <w:ind w:left="3252" w:right="849" w:firstLine="3828"/>
    </w:pPr>
    <w:r>
      <w:rPr>
        <w:noProof/>
        <w:lang w:eastAsia="fr-FR"/>
      </w:rPr>
      <w:drawing>
        <wp:anchor distT="0" distB="0" distL="114300" distR="114300" simplePos="0" relativeHeight="251664384" behindDoc="1" locked="0" layoutInCell="1" allowOverlap="1">
          <wp:simplePos x="0" y="0"/>
          <wp:positionH relativeFrom="margin">
            <wp:posOffset>5643245</wp:posOffset>
          </wp:positionH>
          <wp:positionV relativeFrom="margin">
            <wp:posOffset>-417830</wp:posOffset>
          </wp:positionV>
          <wp:extent cx="381000" cy="381000"/>
          <wp:effectExtent l="0" t="0" r="0" b="0"/>
          <wp:wrapNone/>
          <wp:docPr id="3" name="Image 1"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9BF" w:rsidRPr="009A49BF" w:rsidRDefault="009A49BF" w:rsidP="009A49BF">
    <w:pPr>
      <w:pStyle w:val="En-tte"/>
      <w:ind w:left="3252" w:right="849" w:firstLine="3828"/>
      <w:rPr>
        <w:rFonts w:cs="Calibri"/>
        <w:color w:val="E36C0A"/>
        <w:sz w:val="18"/>
        <w:u w:val="single"/>
      </w:rPr>
    </w:pPr>
    <w:hyperlink r:id="rId2" w:history="1">
      <w:r>
        <w:rPr>
          <w:rStyle w:val="Lienhypertexte"/>
          <w:rFonts w:cs="Calibri"/>
          <w:color w:val="E36C0A"/>
          <w:sz w:val="18"/>
        </w:rPr>
        <w:t>www.comptazine.fr</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11A3F"/>
    <w:multiLevelType w:val="hybridMultilevel"/>
    <w:tmpl w:val="1ACA2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D64756"/>
    <w:multiLevelType w:val="hybridMultilevel"/>
    <w:tmpl w:val="C1A6AA4A"/>
    <w:lvl w:ilvl="0" w:tplc="01EAED9E">
      <w:numFmt w:val="bullet"/>
      <w:lvlText w:val="-"/>
      <w:lvlJc w:val="left"/>
      <w:pPr>
        <w:ind w:left="720" w:hanging="360"/>
      </w:pPr>
      <w:rPr>
        <w:rFonts w:ascii="Times New Roman" w:eastAsia="Calibr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584C2C"/>
    <w:multiLevelType w:val="hybridMultilevel"/>
    <w:tmpl w:val="14D0C31E"/>
    <w:lvl w:ilvl="0" w:tplc="01EAED9E">
      <w:numFmt w:val="bullet"/>
      <w:lvlText w:val="-"/>
      <w:lvlJc w:val="left"/>
      <w:pPr>
        <w:ind w:left="720" w:hanging="360"/>
      </w:pPr>
      <w:rPr>
        <w:rFonts w:ascii="Times New Roman" w:eastAsia="Calibr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751B52"/>
    <w:multiLevelType w:val="hybridMultilevel"/>
    <w:tmpl w:val="46EA0594"/>
    <w:lvl w:ilvl="0" w:tplc="01EAED9E">
      <w:numFmt w:val="bullet"/>
      <w:lvlText w:val="-"/>
      <w:lvlJc w:val="left"/>
      <w:pPr>
        <w:ind w:left="720" w:hanging="360"/>
      </w:pPr>
      <w:rPr>
        <w:rFonts w:ascii="Times New Roman" w:eastAsia="Calibr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F40A25"/>
    <w:multiLevelType w:val="hybridMultilevel"/>
    <w:tmpl w:val="70B0A1BE"/>
    <w:lvl w:ilvl="0" w:tplc="01EAED9E">
      <w:numFmt w:val="bullet"/>
      <w:lvlText w:val="-"/>
      <w:lvlJc w:val="left"/>
      <w:pPr>
        <w:ind w:left="720" w:hanging="360"/>
      </w:pPr>
      <w:rPr>
        <w:rFonts w:ascii="Times New Roman" w:eastAsia="Calibr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DE42D5"/>
    <w:multiLevelType w:val="hybridMultilevel"/>
    <w:tmpl w:val="608C4642"/>
    <w:lvl w:ilvl="0" w:tplc="01EAED9E">
      <w:numFmt w:val="bullet"/>
      <w:lvlText w:val="-"/>
      <w:lvlJc w:val="left"/>
      <w:pPr>
        <w:ind w:left="720" w:hanging="360"/>
      </w:pPr>
      <w:rPr>
        <w:rFonts w:ascii="Times New Roman" w:eastAsia="Calibr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4B"/>
    <w:rsid w:val="00031874"/>
    <w:rsid w:val="000417CA"/>
    <w:rsid w:val="000657B3"/>
    <w:rsid w:val="00074A03"/>
    <w:rsid w:val="000947A5"/>
    <w:rsid w:val="000D0CC7"/>
    <w:rsid w:val="000F457A"/>
    <w:rsid w:val="000F7F97"/>
    <w:rsid w:val="00116553"/>
    <w:rsid w:val="0013035F"/>
    <w:rsid w:val="00144AE7"/>
    <w:rsid w:val="001A2368"/>
    <w:rsid w:val="00221B8D"/>
    <w:rsid w:val="00235E73"/>
    <w:rsid w:val="00264B6F"/>
    <w:rsid w:val="002703A2"/>
    <w:rsid w:val="00282003"/>
    <w:rsid w:val="002B017F"/>
    <w:rsid w:val="00333F12"/>
    <w:rsid w:val="00394D22"/>
    <w:rsid w:val="00416FC0"/>
    <w:rsid w:val="00452CE6"/>
    <w:rsid w:val="00474C5D"/>
    <w:rsid w:val="00495964"/>
    <w:rsid w:val="004D02B4"/>
    <w:rsid w:val="004F6613"/>
    <w:rsid w:val="00503913"/>
    <w:rsid w:val="00527326"/>
    <w:rsid w:val="005A78DD"/>
    <w:rsid w:val="00617FDA"/>
    <w:rsid w:val="00665DF7"/>
    <w:rsid w:val="00666A67"/>
    <w:rsid w:val="00692670"/>
    <w:rsid w:val="00692CB2"/>
    <w:rsid w:val="006A4078"/>
    <w:rsid w:val="006C1EC4"/>
    <w:rsid w:val="0072268B"/>
    <w:rsid w:val="00727EBD"/>
    <w:rsid w:val="00730CDE"/>
    <w:rsid w:val="0075195F"/>
    <w:rsid w:val="007537E2"/>
    <w:rsid w:val="008662BF"/>
    <w:rsid w:val="008C6B44"/>
    <w:rsid w:val="008E72ED"/>
    <w:rsid w:val="008F1FDA"/>
    <w:rsid w:val="008F2F9D"/>
    <w:rsid w:val="0091373F"/>
    <w:rsid w:val="00994AC9"/>
    <w:rsid w:val="009A34AD"/>
    <w:rsid w:val="009A49BF"/>
    <w:rsid w:val="009C29D7"/>
    <w:rsid w:val="009C314D"/>
    <w:rsid w:val="009D02D1"/>
    <w:rsid w:val="009E634B"/>
    <w:rsid w:val="00A14601"/>
    <w:rsid w:val="00A27551"/>
    <w:rsid w:val="00A40F01"/>
    <w:rsid w:val="00A6576F"/>
    <w:rsid w:val="00A8093F"/>
    <w:rsid w:val="00AB163B"/>
    <w:rsid w:val="00B666DB"/>
    <w:rsid w:val="00BA7A74"/>
    <w:rsid w:val="00BD32CF"/>
    <w:rsid w:val="00BE1F00"/>
    <w:rsid w:val="00BF0CCC"/>
    <w:rsid w:val="00C43FA5"/>
    <w:rsid w:val="00CE1DFE"/>
    <w:rsid w:val="00CF4980"/>
    <w:rsid w:val="00D37A27"/>
    <w:rsid w:val="00D473F6"/>
    <w:rsid w:val="00D76E28"/>
    <w:rsid w:val="00DE1DBB"/>
    <w:rsid w:val="00E958E1"/>
    <w:rsid w:val="00EA0839"/>
    <w:rsid w:val="00EE582C"/>
    <w:rsid w:val="00F1191E"/>
    <w:rsid w:val="00F53D16"/>
    <w:rsid w:val="00F644D4"/>
    <w:rsid w:val="00F72E9A"/>
    <w:rsid w:val="00F821C5"/>
    <w:rsid w:val="00FF4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1874"/>
    <w:pPr>
      <w:ind w:left="720"/>
      <w:contextualSpacing/>
    </w:pPr>
  </w:style>
  <w:style w:type="paragraph" w:styleId="En-tte">
    <w:name w:val="header"/>
    <w:basedOn w:val="Normal"/>
    <w:link w:val="En-tteCar"/>
    <w:unhideWhenUsed/>
    <w:rsid w:val="000F7F97"/>
    <w:pPr>
      <w:tabs>
        <w:tab w:val="center" w:pos="4536"/>
        <w:tab w:val="right" w:pos="9072"/>
      </w:tabs>
    </w:pPr>
  </w:style>
  <w:style w:type="character" w:customStyle="1" w:styleId="En-tteCar">
    <w:name w:val="En-tête Car"/>
    <w:basedOn w:val="Policepardfaut"/>
    <w:link w:val="En-tte"/>
    <w:rsid w:val="000F7F97"/>
  </w:style>
  <w:style w:type="paragraph" w:styleId="Pieddepage">
    <w:name w:val="footer"/>
    <w:basedOn w:val="Normal"/>
    <w:link w:val="PieddepageCar"/>
    <w:uiPriority w:val="99"/>
    <w:unhideWhenUsed/>
    <w:rsid w:val="000F7F97"/>
    <w:pPr>
      <w:tabs>
        <w:tab w:val="center" w:pos="4536"/>
        <w:tab w:val="right" w:pos="9072"/>
      </w:tabs>
    </w:pPr>
  </w:style>
  <w:style w:type="character" w:customStyle="1" w:styleId="PieddepageCar">
    <w:name w:val="Pied de page Car"/>
    <w:basedOn w:val="Policepardfaut"/>
    <w:link w:val="Pieddepage"/>
    <w:uiPriority w:val="99"/>
    <w:rsid w:val="000F7F97"/>
  </w:style>
  <w:style w:type="paragraph" w:styleId="Textedebulles">
    <w:name w:val="Balloon Text"/>
    <w:basedOn w:val="Normal"/>
    <w:link w:val="TextedebullesCar"/>
    <w:uiPriority w:val="99"/>
    <w:semiHidden/>
    <w:unhideWhenUsed/>
    <w:rsid w:val="000F7F97"/>
    <w:rPr>
      <w:rFonts w:ascii="Tahoma" w:hAnsi="Tahoma" w:cs="Tahoma"/>
      <w:sz w:val="16"/>
      <w:szCs w:val="16"/>
    </w:rPr>
  </w:style>
  <w:style w:type="character" w:customStyle="1" w:styleId="TextedebullesCar">
    <w:name w:val="Texte de bulles Car"/>
    <w:link w:val="Textedebulles"/>
    <w:uiPriority w:val="99"/>
    <w:semiHidden/>
    <w:rsid w:val="000F7F97"/>
    <w:rPr>
      <w:rFonts w:ascii="Tahoma" w:hAnsi="Tahoma" w:cs="Tahoma"/>
      <w:sz w:val="16"/>
      <w:szCs w:val="16"/>
    </w:rPr>
  </w:style>
  <w:style w:type="character" w:styleId="Lienhypertexte">
    <w:name w:val="Hyperlink"/>
    <w:unhideWhenUsed/>
    <w:rsid w:val="009A49BF"/>
    <w:rPr>
      <w:color w:val="0000FF"/>
      <w:u w:val="single"/>
    </w:rPr>
  </w:style>
  <w:style w:type="character" w:styleId="Numrodepage">
    <w:name w:val="page number"/>
    <w:uiPriority w:val="99"/>
    <w:rsid w:val="009A4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1874"/>
    <w:pPr>
      <w:ind w:left="720"/>
      <w:contextualSpacing/>
    </w:pPr>
  </w:style>
  <w:style w:type="paragraph" w:styleId="En-tte">
    <w:name w:val="header"/>
    <w:basedOn w:val="Normal"/>
    <w:link w:val="En-tteCar"/>
    <w:unhideWhenUsed/>
    <w:rsid w:val="000F7F97"/>
    <w:pPr>
      <w:tabs>
        <w:tab w:val="center" w:pos="4536"/>
        <w:tab w:val="right" w:pos="9072"/>
      </w:tabs>
    </w:pPr>
  </w:style>
  <w:style w:type="character" w:customStyle="1" w:styleId="En-tteCar">
    <w:name w:val="En-tête Car"/>
    <w:basedOn w:val="Policepardfaut"/>
    <w:link w:val="En-tte"/>
    <w:rsid w:val="000F7F97"/>
  </w:style>
  <w:style w:type="paragraph" w:styleId="Pieddepage">
    <w:name w:val="footer"/>
    <w:basedOn w:val="Normal"/>
    <w:link w:val="PieddepageCar"/>
    <w:uiPriority w:val="99"/>
    <w:unhideWhenUsed/>
    <w:rsid w:val="000F7F97"/>
    <w:pPr>
      <w:tabs>
        <w:tab w:val="center" w:pos="4536"/>
        <w:tab w:val="right" w:pos="9072"/>
      </w:tabs>
    </w:pPr>
  </w:style>
  <w:style w:type="character" w:customStyle="1" w:styleId="PieddepageCar">
    <w:name w:val="Pied de page Car"/>
    <w:basedOn w:val="Policepardfaut"/>
    <w:link w:val="Pieddepage"/>
    <w:uiPriority w:val="99"/>
    <w:rsid w:val="000F7F97"/>
  </w:style>
  <w:style w:type="paragraph" w:styleId="Textedebulles">
    <w:name w:val="Balloon Text"/>
    <w:basedOn w:val="Normal"/>
    <w:link w:val="TextedebullesCar"/>
    <w:uiPriority w:val="99"/>
    <w:semiHidden/>
    <w:unhideWhenUsed/>
    <w:rsid w:val="000F7F97"/>
    <w:rPr>
      <w:rFonts w:ascii="Tahoma" w:hAnsi="Tahoma" w:cs="Tahoma"/>
      <w:sz w:val="16"/>
      <w:szCs w:val="16"/>
    </w:rPr>
  </w:style>
  <w:style w:type="character" w:customStyle="1" w:styleId="TextedebullesCar">
    <w:name w:val="Texte de bulles Car"/>
    <w:link w:val="Textedebulles"/>
    <w:uiPriority w:val="99"/>
    <w:semiHidden/>
    <w:rsid w:val="000F7F97"/>
    <w:rPr>
      <w:rFonts w:ascii="Tahoma" w:hAnsi="Tahoma" w:cs="Tahoma"/>
      <w:sz w:val="16"/>
      <w:szCs w:val="16"/>
    </w:rPr>
  </w:style>
  <w:style w:type="character" w:styleId="Lienhypertexte">
    <w:name w:val="Hyperlink"/>
    <w:unhideWhenUsed/>
    <w:rsid w:val="009A49BF"/>
    <w:rPr>
      <w:color w:val="0000FF"/>
      <w:u w:val="single"/>
    </w:rPr>
  </w:style>
  <w:style w:type="character" w:styleId="Numrodepage">
    <w:name w:val="page number"/>
    <w:uiPriority w:val="99"/>
    <w:rsid w:val="009A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1C3BF-FD4B-4EAA-A9FA-7622BD41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4074</Words>
  <Characters>22411</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2014-04-05T17:04:00Z</cp:lastPrinted>
  <dcterms:created xsi:type="dcterms:W3CDTF">2014-04-05T17:04:00Z</dcterms:created>
  <dcterms:modified xsi:type="dcterms:W3CDTF">2014-04-05T17:05:00Z</dcterms:modified>
</cp:coreProperties>
</file>