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2D" w:rsidRPr="0090290F" w:rsidRDefault="00A3142D" w:rsidP="00A3142D">
      <w:pPr>
        <w:pBdr>
          <w:top w:val="single" w:sz="4" w:space="1" w:color="auto"/>
          <w:left w:val="single" w:sz="4" w:space="4" w:color="auto"/>
          <w:bottom w:val="single" w:sz="4" w:space="1" w:color="auto"/>
          <w:right w:val="single" w:sz="4" w:space="4" w:color="auto"/>
        </w:pBdr>
        <w:overflowPunct w:val="0"/>
        <w:autoSpaceDN w:val="0"/>
        <w:adjustRightInd w:val="0"/>
        <w:jc w:val="center"/>
        <w:textAlignment w:val="baseline"/>
        <w:rPr>
          <w:b/>
          <w:bCs/>
          <w:noProof/>
          <w:lang w:eastAsia="fr-FR"/>
        </w:rPr>
      </w:pPr>
      <w:bookmarkStart w:id="0" w:name="_GoBack"/>
      <w:r>
        <w:rPr>
          <w:b/>
          <w:bCs/>
          <w:noProof/>
          <w:lang w:eastAsia="fr-FR"/>
        </w:rPr>
        <w:t>DSCG session 2012</w:t>
      </w:r>
      <w:r>
        <w:rPr>
          <w:b/>
          <w:bCs/>
          <w:noProof/>
          <w:lang w:eastAsia="fr-FR"/>
        </w:rPr>
        <w:tab/>
      </w:r>
      <w:r>
        <w:rPr>
          <w:b/>
          <w:bCs/>
          <w:noProof/>
          <w:lang w:eastAsia="fr-FR"/>
        </w:rPr>
        <w:tab/>
        <w:t>UE1</w:t>
      </w:r>
      <w:r w:rsidRPr="0090290F">
        <w:rPr>
          <w:b/>
          <w:bCs/>
          <w:noProof/>
          <w:lang w:eastAsia="fr-FR"/>
        </w:rPr>
        <w:t xml:space="preserve"> </w:t>
      </w:r>
      <w:r>
        <w:rPr>
          <w:b/>
          <w:bCs/>
          <w:noProof/>
          <w:lang w:eastAsia="fr-FR"/>
        </w:rPr>
        <w:t>Gestion juridique, fiscale et sociale</w:t>
      </w:r>
      <w:r w:rsidRPr="0090290F">
        <w:rPr>
          <w:b/>
          <w:bCs/>
          <w:noProof/>
          <w:lang w:eastAsia="fr-FR"/>
        </w:rPr>
        <w:tab/>
        <w:t>Corrigé indicatif</w:t>
      </w:r>
    </w:p>
    <w:bookmarkEnd w:id="0"/>
    <w:p w:rsidR="00A3142D" w:rsidRDefault="00A3142D" w:rsidP="00C10DCD">
      <w:pPr>
        <w:shd w:val="clear" w:color="auto" w:fill="FFFFFF"/>
        <w:rPr>
          <w:color w:val="000000"/>
          <w:spacing w:val="-7"/>
          <w:szCs w:val="24"/>
        </w:rPr>
      </w:pPr>
    </w:p>
    <w:p w:rsidR="00C10DCD" w:rsidRDefault="00C10DCD" w:rsidP="00C10DC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 GROUPE DE SOCIETES</w:t>
      </w:r>
    </w:p>
    <w:p w:rsidR="00C10DCD" w:rsidRDefault="00C10DCD" w:rsidP="00C10DCD">
      <w:pPr>
        <w:shd w:val="clear" w:color="auto" w:fill="FFFFFF"/>
        <w:rPr>
          <w:color w:val="000000"/>
          <w:spacing w:val="-7"/>
          <w:szCs w:val="24"/>
        </w:rPr>
      </w:pPr>
    </w:p>
    <w:p w:rsidR="003B4036" w:rsidRPr="00513427" w:rsidRDefault="003B4036" w:rsidP="00B83E62">
      <w:pPr>
        <w:pStyle w:val="Paragraphedeliste"/>
        <w:numPr>
          <w:ilvl w:val="0"/>
          <w:numId w:val="3"/>
        </w:numPr>
        <w:ind w:left="360"/>
        <w:jc w:val="both"/>
        <w:rPr>
          <w:rFonts w:ascii="Times" w:hAnsi="Times"/>
          <w:b/>
          <w:sz w:val="24"/>
          <w:szCs w:val="24"/>
        </w:rPr>
      </w:pPr>
      <w:r w:rsidRPr="00914549">
        <w:rPr>
          <w:rFonts w:ascii="Times" w:hAnsi="Times"/>
          <w:b/>
          <w:sz w:val="24"/>
          <w:szCs w:val="24"/>
        </w:rPr>
        <w:t xml:space="preserve">Est-il concevable qu’en dehors d’Alter NRJ, aucune entité ne dispose d’un commissaire aux comptes ? </w:t>
      </w:r>
      <w:r>
        <w:rPr>
          <w:rFonts w:ascii="Times" w:hAnsi="Times"/>
          <w:b/>
          <w:sz w:val="24"/>
          <w:szCs w:val="24"/>
        </w:rPr>
        <w:t xml:space="preserve">En ce qui concerne </w:t>
      </w:r>
      <w:r w:rsidRPr="00914549">
        <w:rPr>
          <w:rFonts w:ascii="Times" w:hAnsi="Times"/>
          <w:b/>
          <w:sz w:val="24"/>
          <w:szCs w:val="24"/>
        </w:rPr>
        <w:t>SNG</w:t>
      </w:r>
      <w:r>
        <w:rPr>
          <w:rFonts w:ascii="Times" w:hAnsi="Times"/>
          <w:b/>
          <w:sz w:val="24"/>
          <w:szCs w:val="24"/>
        </w:rPr>
        <w:t>,</w:t>
      </w:r>
      <w:r w:rsidRPr="00914549">
        <w:rPr>
          <w:rFonts w:ascii="Times" w:hAnsi="Times"/>
          <w:b/>
          <w:sz w:val="24"/>
          <w:szCs w:val="24"/>
        </w:rPr>
        <w:t xml:space="preserve"> son entrée dans le groupe </w:t>
      </w:r>
      <w:r>
        <w:rPr>
          <w:rFonts w:ascii="Times" w:hAnsi="Times"/>
          <w:b/>
          <w:sz w:val="24"/>
          <w:szCs w:val="24"/>
        </w:rPr>
        <w:t xml:space="preserve">modifie-t-elle sa situation </w:t>
      </w:r>
      <w:r w:rsidR="00EA11D5">
        <w:rPr>
          <w:rFonts w:ascii="Times" w:hAnsi="Times"/>
          <w:b/>
          <w:sz w:val="24"/>
          <w:szCs w:val="24"/>
        </w:rPr>
        <w:t xml:space="preserve">sur ce point </w:t>
      </w:r>
      <w:r w:rsidRPr="00914549">
        <w:rPr>
          <w:rFonts w:ascii="Times" w:hAnsi="Times"/>
          <w:b/>
          <w:sz w:val="24"/>
          <w:szCs w:val="24"/>
        </w:rPr>
        <w:t xml:space="preserve">? </w:t>
      </w:r>
      <w:r>
        <w:rPr>
          <w:rFonts w:ascii="Times" w:hAnsi="Times"/>
          <w:b/>
          <w:sz w:val="24"/>
          <w:szCs w:val="24"/>
        </w:rPr>
        <w:t>Justifiez vos</w:t>
      </w:r>
      <w:r w:rsidRPr="00914549">
        <w:rPr>
          <w:rFonts w:ascii="Times" w:hAnsi="Times"/>
          <w:b/>
          <w:sz w:val="24"/>
          <w:szCs w:val="24"/>
        </w:rPr>
        <w:t xml:space="preserve"> réponse</w:t>
      </w:r>
      <w:r>
        <w:rPr>
          <w:rFonts w:ascii="Times" w:hAnsi="Times"/>
          <w:b/>
          <w:sz w:val="24"/>
          <w:szCs w:val="24"/>
        </w:rPr>
        <w:t>s</w:t>
      </w:r>
      <w:r w:rsidRPr="00914549">
        <w:rPr>
          <w:rFonts w:ascii="Times" w:hAnsi="Times"/>
          <w:b/>
          <w:sz w:val="24"/>
          <w:szCs w:val="24"/>
        </w:rPr>
        <w:t>.</w:t>
      </w:r>
      <w:r w:rsidR="00841980">
        <w:rPr>
          <w:rFonts w:ascii="Times" w:hAnsi="Times"/>
          <w:b/>
          <w:sz w:val="24"/>
          <w:szCs w:val="24"/>
        </w:rPr>
        <w:t xml:space="preserve"> </w:t>
      </w:r>
    </w:p>
    <w:p w:rsidR="003B4036" w:rsidRDefault="003B4036" w:rsidP="00B83E62">
      <w:pPr>
        <w:pStyle w:val="Paragraphedeliste"/>
        <w:ind w:left="360"/>
        <w:jc w:val="both"/>
        <w:rPr>
          <w:rFonts w:ascii="Times" w:hAnsi="Times"/>
          <w:b/>
          <w:sz w:val="24"/>
          <w:szCs w:val="24"/>
        </w:rPr>
      </w:pPr>
    </w:p>
    <w:p w:rsidR="003B4036" w:rsidRPr="00841980" w:rsidRDefault="003B4036" w:rsidP="00B83E62">
      <w:pPr>
        <w:pStyle w:val="Paragraphedeliste"/>
        <w:ind w:left="360"/>
        <w:jc w:val="both"/>
        <w:rPr>
          <w:rFonts w:ascii="Times" w:hAnsi="Times"/>
          <w:i/>
          <w:sz w:val="24"/>
          <w:szCs w:val="24"/>
        </w:rPr>
      </w:pPr>
      <w:r>
        <w:rPr>
          <w:rFonts w:ascii="Times" w:hAnsi="Times"/>
          <w:sz w:val="24"/>
          <w:szCs w:val="24"/>
        </w:rPr>
        <w:t>A</w:t>
      </w:r>
      <w:r w:rsidRPr="003B0BC8">
        <w:rPr>
          <w:rFonts w:ascii="Times" w:hAnsi="Times"/>
          <w:sz w:val="24"/>
          <w:szCs w:val="24"/>
        </w:rPr>
        <w:t>ucune donnée chiffrée n’est avancée pour apprécier la taille des sociétés : le candidat peut en déduire que les trois SARL et la SNC ne remplissaient pas les conditions pour nommer obligatoire</w:t>
      </w:r>
      <w:r>
        <w:rPr>
          <w:rFonts w:ascii="Times" w:hAnsi="Times"/>
          <w:sz w:val="24"/>
          <w:szCs w:val="24"/>
        </w:rPr>
        <w:t>ment un commissaire aux comptes ;</w:t>
      </w:r>
      <w:r w:rsidRPr="003B0BC8">
        <w:rPr>
          <w:rFonts w:ascii="Times" w:hAnsi="Times"/>
          <w:sz w:val="24"/>
          <w:szCs w:val="24"/>
        </w:rPr>
        <w:t xml:space="preserve"> </w:t>
      </w:r>
      <w:r>
        <w:rPr>
          <w:rFonts w:ascii="Times" w:hAnsi="Times"/>
          <w:sz w:val="24"/>
          <w:szCs w:val="24"/>
        </w:rPr>
        <w:t xml:space="preserve">dans le cas contraire, </w:t>
      </w:r>
      <w:r w:rsidRPr="003B0BC8">
        <w:rPr>
          <w:rFonts w:ascii="Times" w:hAnsi="Times"/>
          <w:sz w:val="24"/>
          <w:szCs w:val="24"/>
        </w:rPr>
        <w:t xml:space="preserve"> </w:t>
      </w:r>
      <w:r>
        <w:rPr>
          <w:rFonts w:ascii="Times" w:hAnsi="Times"/>
          <w:sz w:val="24"/>
          <w:szCs w:val="24"/>
        </w:rPr>
        <w:t>le commissaire aux comptes</w:t>
      </w:r>
      <w:r w:rsidRPr="003B0BC8">
        <w:rPr>
          <w:rFonts w:ascii="Times" w:hAnsi="Times"/>
          <w:sz w:val="24"/>
          <w:szCs w:val="24"/>
        </w:rPr>
        <w:t xml:space="preserve"> de ALTER NRJ l’aurait signalé comme irrégularité révélée au Ministère public. </w:t>
      </w:r>
    </w:p>
    <w:p w:rsidR="003B4036" w:rsidRPr="003B0BC8" w:rsidRDefault="003B4036" w:rsidP="00B83E62">
      <w:pPr>
        <w:pStyle w:val="Paragraphedeliste"/>
        <w:ind w:left="360"/>
        <w:jc w:val="both"/>
        <w:rPr>
          <w:rFonts w:ascii="Times" w:hAnsi="Times"/>
          <w:sz w:val="24"/>
          <w:szCs w:val="24"/>
        </w:rPr>
      </w:pPr>
    </w:p>
    <w:p w:rsidR="003B4036" w:rsidRDefault="003B4036" w:rsidP="00B83E62">
      <w:pPr>
        <w:pStyle w:val="Paragraphedeliste"/>
        <w:ind w:left="360"/>
        <w:jc w:val="both"/>
        <w:rPr>
          <w:rFonts w:ascii="Times" w:hAnsi="Times"/>
          <w:sz w:val="24"/>
          <w:szCs w:val="24"/>
        </w:rPr>
      </w:pPr>
      <w:r w:rsidRPr="003B0BC8">
        <w:rPr>
          <w:rFonts w:ascii="Times" w:hAnsi="Times"/>
          <w:sz w:val="24"/>
          <w:szCs w:val="24"/>
        </w:rPr>
        <w:t>Avec l’acquisition de SNG</w:t>
      </w:r>
      <w:r w:rsidR="00841980">
        <w:rPr>
          <w:rFonts w:ascii="Times" w:hAnsi="Times"/>
          <w:sz w:val="24"/>
          <w:szCs w:val="24"/>
        </w:rPr>
        <w:t>,</w:t>
      </w:r>
      <w:r w:rsidRPr="003B0BC8">
        <w:rPr>
          <w:rFonts w:ascii="Times" w:hAnsi="Times"/>
          <w:sz w:val="24"/>
          <w:szCs w:val="24"/>
        </w:rPr>
        <w:t xml:space="preserve"> on constate l’entrée dans le groupe d’une </w:t>
      </w:r>
      <w:r w:rsidRPr="003B0BC8">
        <w:rPr>
          <w:rFonts w:ascii="Times" w:hAnsi="Times"/>
          <w:sz w:val="24"/>
          <w:szCs w:val="24"/>
          <w:u w:val="single"/>
        </w:rPr>
        <w:t>SAS qui n’a pas de commissaire aux comptes</w:t>
      </w:r>
      <w:r w:rsidRPr="003B0BC8">
        <w:rPr>
          <w:rFonts w:ascii="Times" w:hAnsi="Times"/>
          <w:sz w:val="24"/>
          <w:szCs w:val="24"/>
        </w:rPr>
        <w:t>. Faute d’information concernant la taille de la société et dans le contexte de l’acquisition</w:t>
      </w:r>
      <w:r>
        <w:rPr>
          <w:rFonts w:ascii="Times" w:hAnsi="Times"/>
          <w:sz w:val="24"/>
          <w:szCs w:val="24"/>
        </w:rPr>
        <w:t>,</w:t>
      </w:r>
      <w:r w:rsidRPr="003B0BC8">
        <w:rPr>
          <w:rFonts w:ascii="Times" w:hAnsi="Times"/>
          <w:sz w:val="24"/>
          <w:szCs w:val="24"/>
        </w:rPr>
        <w:t xml:space="preserve"> on peut en déduire la régularité de cette situation.  En revanche</w:t>
      </w:r>
      <w:r w:rsidR="00D4775E">
        <w:rPr>
          <w:rFonts w:ascii="Times" w:hAnsi="Times"/>
          <w:sz w:val="24"/>
          <w:szCs w:val="24"/>
        </w:rPr>
        <w:t>,</w:t>
      </w:r>
      <w:r w:rsidRPr="003B0BC8">
        <w:rPr>
          <w:rFonts w:ascii="Times" w:hAnsi="Times"/>
          <w:sz w:val="24"/>
          <w:szCs w:val="24"/>
        </w:rPr>
        <w:t xml:space="preserve"> l’entrée de cette SAS dans le groupe rend désormais obligatoire la désignation d’un commissaire aux comptes à son niveau.</w:t>
      </w:r>
    </w:p>
    <w:p w:rsidR="003B4036" w:rsidRDefault="003B4036" w:rsidP="00B83E62">
      <w:pPr>
        <w:pStyle w:val="Paragraphedeliste"/>
        <w:ind w:left="360"/>
        <w:jc w:val="both"/>
        <w:rPr>
          <w:rFonts w:ascii="Times" w:hAnsi="Times"/>
          <w:sz w:val="24"/>
          <w:szCs w:val="24"/>
        </w:rPr>
      </w:pPr>
    </w:p>
    <w:p w:rsidR="003B4036" w:rsidRPr="009F0773" w:rsidRDefault="003B4036" w:rsidP="00B83E62">
      <w:pPr>
        <w:pStyle w:val="Paragraphedeliste"/>
        <w:numPr>
          <w:ilvl w:val="0"/>
          <w:numId w:val="3"/>
        </w:numPr>
        <w:ind w:left="360"/>
        <w:jc w:val="both"/>
        <w:rPr>
          <w:rFonts w:ascii="Times" w:hAnsi="Times"/>
          <w:b/>
          <w:sz w:val="24"/>
          <w:szCs w:val="24"/>
        </w:rPr>
      </w:pPr>
      <w:r w:rsidRPr="009F0773">
        <w:rPr>
          <w:rFonts w:ascii="Times" w:hAnsi="Times"/>
          <w:b/>
          <w:sz w:val="24"/>
          <w:szCs w:val="24"/>
        </w:rPr>
        <w:t>La participation que</w:t>
      </w:r>
      <w:r w:rsidR="00D4775E">
        <w:rPr>
          <w:rFonts w:ascii="Times" w:hAnsi="Times"/>
          <w:b/>
          <w:sz w:val="24"/>
          <w:szCs w:val="24"/>
        </w:rPr>
        <w:t xml:space="preserve"> la société</w:t>
      </w:r>
      <w:r w:rsidRPr="009F0773">
        <w:rPr>
          <w:rFonts w:ascii="Times" w:hAnsi="Times"/>
          <w:b/>
          <w:sz w:val="24"/>
          <w:szCs w:val="24"/>
        </w:rPr>
        <w:t xml:space="preserve"> Alter’Eol détient dans Alter NRJ est-elle licite ? Quelles en sont les conséquences ? Justifiez votre réponse.</w:t>
      </w:r>
    </w:p>
    <w:p w:rsidR="003B4036" w:rsidRPr="003B0BC8" w:rsidRDefault="003B4036" w:rsidP="00B83E62">
      <w:pPr>
        <w:pStyle w:val="Paragraphedeliste"/>
        <w:ind w:left="360"/>
        <w:jc w:val="both"/>
        <w:rPr>
          <w:rFonts w:ascii="Times" w:hAnsi="Times"/>
          <w:sz w:val="24"/>
          <w:szCs w:val="24"/>
        </w:rPr>
      </w:pPr>
    </w:p>
    <w:p w:rsidR="003B4036" w:rsidRDefault="003B4036" w:rsidP="00B83E62">
      <w:pPr>
        <w:pStyle w:val="Paragraphedeliste"/>
        <w:ind w:left="360"/>
        <w:jc w:val="both"/>
        <w:rPr>
          <w:rFonts w:ascii="Times" w:hAnsi="Times"/>
          <w:sz w:val="24"/>
          <w:szCs w:val="24"/>
        </w:rPr>
      </w:pPr>
      <w:r w:rsidRPr="009F0773">
        <w:rPr>
          <w:rFonts w:ascii="Times" w:hAnsi="Times"/>
          <w:sz w:val="24"/>
          <w:szCs w:val="24"/>
        </w:rPr>
        <w:t xml:space="preserve">On est en présence d’une </w:t>
      </w:r>
      <w:r>
        <w:rPr>
          <w:rFonts w:ascii="Times" w:hAnsi="Times"/>
          <w:sz w:val="24"/>
          <w:szCs w:val="24"/>
          <w:u w:val="single"/>
        </w:rPr>
        <w:t>p</w:t>
      </w:r>
      <w:r w:rsidRPr="003B0BC8">
        <w:rPr>
          <w:rFonts w:ascii="Times" w:hAnsi="Times"/>
          <w:sz w:val="24"/>
          <w:szCs w:val="24"/>
          <w:u w:val="single"/>
        </w:rPr>
        <w:t>articipation croisée</w:t>
      </w:r>
      <w:r w:rsidRPr="003B0BC8">
        <w:rPr>
          <w:rFonts w:ascii="Times" w:hAnsi="Times"/>
          <w:sz w:val="24"/>
          <w:szCs w:val="24"/>
        </w:rPr>
        <w:t xml:space="preserve"> entre SA ALTER NRJ (100% en cascade) et SARL ALTER’EOL (8%) : </w:t>
      </w:r>
      <w:r>
        <w:rPr>
          <w:rFonts w:ascii="Times" w:hAnsi="Times"/>
          <w:sz w:val="24"/>
          <w:szCs w:val="24"/>
        </w:rPr>
        <w:t xml:space="preserve">la </w:t>
      </w:r>
      <w:r w:rsidRPr="003B0BC8">
        <w:rPr>
          <w:rFonts w:ascii="Times" w:hAnsi="Times"/>
          <w:sz w:val="24"/>
          <w:szCs w:val="24"/>
        </w:rPr>
        <w:t>situation</w:t>
      </w:r>
      <w:r>
        <w:rPr>
          <w:rFonts w:ascii="Times" w:hAnsi="Times"/>
          <w:sz w:val="24"/>
          <w:szCs w:val="24"/>
        </w:rPr>
        <w:t xml:space="preserve"> est</w:t>
      </w:r>
      <w:r w:rsidRPr="003B0BC8">
        <w:rPr>
          <w:rFonts w:ascii="Times" w:hAnsi="Times"/>
          <w:sz w:val="24"/>
          <w:szCs w:val="24"/>
        </w:rPr>
        <w:t xml:space="preserve"> légale.</w:t>
      </w:r>
      <w:r w:rsidR="00841980">
        <w:rPr>
          <w:rFonts w:ascii="Times" w:hAnsi="Times"/>
          <w:sz w:val="24"/>
          <w:szCs w:val="24"/>
        </w:rPr>
        <w:t xml:space="preserve"> </w:t>
      </w:r>
      <w:r w:rsidRPr="003B0BC8">
        <w:rPr>
          <w:rFonts w:ascii="Times" w:hAnsi="Times"/>
          <w:sz w:val="24"/>
          <w:szCs w:val="24"/>
        </w:rPr>
        <w:t xml:space="preserve"> En revanche, la participation d’Alter’Eol est privée du droit de vote à l’assemblée d’Alter NRJ.</w:t>
      </w:r>
      <w:r w:rsidR="00841980" w:rsidRPr="00841980">
        <w:rPr>
          <w:rFonts w:ascii="Times" w:hAnsi="Times"/>
          <w:i/>
          <w:sz w:val="24"/>
          <w:szCs w:val="24"/>
        </w:rPr>
        <w:t xml:space="preserve"> </w:t>
      </w:r>
    </w:p>
    <w:p w:rsidR="003B4036" w:rsidRDefault="003B4036" w:rsidP="00B83E62">
      <w:pPr>
        <w:pStyle w:val="Paragraphedeliste"/>
        <w:ind w:left="360"/>
        <w:jc w:val="both"/>
        <w:rPr>
          <w:rFonts w:ascii="Times" w:hAnsi="Times"/>
          <w:sz w:val="24"/>
          <w:szCs w:val="24"/>
        </w:rPr>
      </w:pPr>
    </w:p>
    <w:p w:rsidR="003B4036" w:rsidRPr="00513427" w:rsidRDefault="003B4036" w:rsidP="00B83E62">
      <w:pPr>
        <w:pStyle w:val="Paragraphedeliste"/>
        <w:numPr>
          <w:ilvl w:val="0"/>
          <w:numId w:val="3"/>
        </w:numPr>
        <w:ind w:left="360"/>
        <w:jc w:val="both"/>
        <w:rPr>
          <w:rFonts w:ascii="Times" w:hAnsi="Times"/>
          <w:b/>
          <w:sz w:val="24"/>
          <w:szCs w:val="24"/>
        </w:rPr>
      </w:pPr>
      <w:r w:rsidRPr="00513427">
        <w:rPr>
          <w:rFonts w:ascii="Times" w:hAnsi="Times"/>
          <w:b/>
          <w:sz w:val="24"/>
          <w:szCs w:val="24"/>
        </w:rPr>
        <w:t>En supposant que les comptes des entités du groupe auront été arrêtés selon les orientations visées par M. Prudent (décalage de résultats,…) et présentés en assemblées d’associés, cette présentation appelle-t-elle une ou plusieurs qualifications pénales ? Justifiez votre réponse.</w:t>
      </w:r>
      <w:r w:rsidR="00841980" w:rsidRPr="00513427">
        <w:rPr>
          <w:rFonts w:ascii="Times" w:hAnsi="Times"/>
          <w:b/>
          <w:sz w:val="24"/>
          <w:szCs w:val="24"/>
        </w:rPr>
        <w:t xml:space="preserve"> </w:t>
      </w:r>
    </w:p>
    <w:p w:rsidR="003B4036" w:rsidRPr="003B0BC8" w:rsidRDefault="003B4036" w:rsidP="00B83E62">
      <w:pPr>
        <w:pStyle w:val="Paragraphedeliste"/>
        <w:ind w:left="360"/>
        <w:jc w:val="both"/>
        <w:rPr>
          <w:rFonts w:ascii="Times" w:hAnsi="Times"/>
          <w:sz w:val="24"/>
          <w:szCs w:val="24"/>
        </w:rPr>
      </w:pPr>
    </w:p>
    <w:p w:rsidR="003B4036" w:rsidRDefault="003B4036" w:rsidP="00B83E62">
      <w:pPr>
        <w:pStyle w:val="Paragraphedeliste"/>
        <w:ind w:left="360"/>
        <w:jc w:val="both"/>
        <w:rPr>
          <w:rFonts w:ascii="Times" w:hAnsi="Times"/>
          <w:sz w:val="24"/>
          <w:szCs w:val="24"/>
        </w:rPr>
      </w:pPr>
      <w:r w:rsidRPr="003B0BC8">
        <w:rPr>
          <w:rFonts w:ascii="Times" w:hAnsi="Times"/>
          <w:sz w:val="24"/>
          <w:szCs w:val="24"/>
          <w:u w:val="single"/>
        </w:rPr>
        <w:t>Arrêté et approbation de comptes annuels</w:t>
      </w:r>
      <w:r w:rsidRPr="003B0BC8">
        <w:rPr>
          <w:rFonts w:ascii="Times" w:hAnsi="Times"/>
          <w:sz w:val="24"/>
          <w:szCs w:val="24"/>
        </w:rPr>
        <w:t> irréguliers : Il s’agit d’une présentation de comptes annuels ne donnant pas une image fidèle. Elle appelle les qualifi</w:t>
      </w:r>
      <w:r>
        <w:rPr>
          <w:rFonts w:ascii="Times" w:hAnsi="Times"/>
          <w:sz w:val="24"/>
          <w:szCs w:val="24"/>
        </w:rPr>
        <w:t>cations pénales de présentation</w:t>
      </w:r>
      <w:r w:rsidRPr="003B0BC8">
        <w:rPr>
          <w:rFonts w:ascii="Times" w:hAnsi="Times"/>
          <w:sz w:val="24"/>
          <w:szCs w:val="24"/>
        </w:rPr>
        <w:t xml:space="preserve"> de comptes irréguliers.</w:t>
      </w:r>
      <w:r w:rsidR="00841980" w:rsidRPr="00841980">
        <w:rPr>
          <w:rFonts w:ascii="Times" w:hAnsi="Times"/>
          <w:i/>
          <w:sz w:val="24"/>
          <w:szCs w:val="24"/>
        </w:rPr>
        <w:t xml:space="preserve"> </w:t>
      </w:r>
    </w:p>
    <w:p w:rsidR="003B4036" w:rsidRDefault="003B4036" w:rsidP="00B83E62">
      <w:pPr>
        <w:pStyle w:val="Paragraphedeliste"/>
        <w:ind w:left="360"/>
        <w:jc w:val="both"/>
        <w:rPr>
          <w:rFonts w:ascii="Times" w:hAnsi="Times"/>
          <w:sz w:val="24"/>
          <w:szCs w:val="24"/>
        </w:rPr>
      </w:pPr>
    </w:p>
    <w:p w:rsidR="003B4036" w:rsidRPr="0019256A" w:rsidRDefault="003B4036" w:rsidP="00B83E62">
      <w:pPr>
        <w:pStyle w:val="Paragraphedeliste"/>
        <w:ind w:left="360"/>
        <w:jc w:val="both"/>
        <w:rPr>
          <w:rFonts w:ascii="Times" w:hAnsi="Times"/>
          <w:sz w:val="24"/>
          <w:szCs w:val="24"/>
        </w:rPr>
      </w:pPr>
      <w:r>
        <w:rPr>
          <w:rFonts w:ascii="Times" w:hAnsi="Times"/>
          <w:sz w:val="24"/>
          <w:szCs w:val="24"/>
        </w:rPr>
        <w:t xml:space="preserve">Le fait pour les dirigeants d’une société commerciale de </w:t>
      </w:r>
      <w:r w:rsidRPr="0019256A">
        <w:rPr>
          <w:rFonts w:ascii="Times" w:hAnsi="Times"/>
          <w:sz w:val="24"/>
          <w:szCs w:val="24"/>
        </w:rPr>
        <w:t xml:space="preserve">publier ou présenter aux </w:t>
      </w:r>
      <w:r>
        <w:rPr>
          <w:rFonts w:ascii="Times" w:hAnsi="Times"/>
          <w:sz w:val="24"/>
          <w:szCs w:val="24"/>
        </w:rPr>
        <w:t>associés</w:t>
      </w:r>
      <w:r w:rsidRPr="0019256A">
        <w:rPr>
          <w:rFonts w:ascii="Times" w:hAnsi="Times"/>
          <w:sz w:val="24"/>
          <w:szCs w:val="24"/>
        </w:rPr>
        <w:t>, même en l’absence de toute distribution de dividendes, des comptes annuels ne donnant pas, pour chaque exercice, une image fidèle du résultat des opérations de l’exercice, de la situation financière et du patrimoine, à l’expiration de cette période, en vue de dissimuler la vé</w:t>
      </w:r>
      <w:r>
        <w:rPr>
          <w:rFonts w:ascii="Times" w:hAnsi="Times"/>
          <w:sz w:val="24"/>
          <w:szCs w:val="24"/>
        </w:rPr>
        <w:t>ritable situation de la société, est en effet une infraction réprimée par le code de commerce</w:t>
      </w:r>
      <w:r w:rsidR="00240B4A">
        <w:rPr>
          <w:rFonts w:ascii="Times" w:hAnsi="Times"/>
          <w:sz w:val="24"/>
          <w:szCs w:val="24"/>
        </w:rPr>
        <w:t xml:space="preserve"> </w:t>
      </w:r>
      <w:r w:rsidR="00240B4A" w:rsidRPr="00240B4A">
        <w:rPr>
          <w:rFonts w:ascii="Times" w:hAnsi="Times"/>
          <w:i/>
          <w:sz w:val="24"/>
          <w:szCs w:val="24"/>
        </w:rPr>
        <w:t>(C. com. Art. L 242-6)</w:t>
      </w:r>
      <w:r w:rsidRPr="00240B4A">
        <w:rPr>
          <w:rFonts w:ascii="Times" w:hAnsi="Times"/>
          <w:i/>
          <w:sz w:val="24"/>
          <w:szCs w:val="24"/>
        </w:rPr>
        <w:t>.</w:t>
      </w:r>
    </w:p>
    <w:p w:rsidR="00B83E62" w:rsidRDefault="00B83E62" w:rsidP="003B4036">
      <w:pPr>
        <w:pStyle w:val="Paragraphedeliste"/>
        <w:jc w:val="both"/>
        <w:rPr>
          <w:rFonts w:ascii="Times" w:hAnsi="Times"/>
          <w:sz w:val="24"/>
          <w:szCs w:val="24"/>
        </w:rPr>
      </w:pPr>
    </w:p>
    <w:p w:rsidR="00513427" w:rsidRDefault="00513427">
      <w:pPr>
        <w:rPr>
          <w:rFonts w:ascii="Times" w:hAnsi="Times"/>
          <w:b/>
          <w:sz w:val="24"/>
          <w:szCs w:val="24"/>
        </w:rPr>
      </w:pPr>
      <w:r>
        <w:rPr>
          <w:rFonts w:ascii="Times" w:hAnsi="Times"/>
          <w:b/>
          <w:sz w:val="24"/>
          <w:szCs w:val="24"/>
        </w:rPr>
        <w:br w:type="page"/>
      </w:r>
    </w:p>
    <w:p w:rsidR="003B4036" w:rsidRPr="009F0773" w:rsidRDefault="003B4036" w:rsidP="00B83E62">
      <w:pPr>
        <w:pStyle w:val="Paragraphedeliste"/>
        <w:numPr>
          <w:ilvl w:val="0"/>
          <w:numId w:val="3"/>
        </w:numPr>
        <w:ind w:left="360"/>
        <w:jc w:val="both"/>
        <w:rPr>
          <w:rFonts w:ascii="Times" w:hAnsi="Times"/>
          <w:b/>
          <w:sz w:val="24"/>
          <w:szCs w:val="24"/>
        </w:rPr>
      </w:pPr>
      <w:r w:rsidRPr="009F0773">
        <w:rPr>
          <w:rFonts w:ascii="Times" w:hAnsi="Times"/>
          <w:b/>
          <w:sz w:val="24"/>
          <w:szCs w:val="24"/>
        </w:rPr>
        <w:lastRenderedPageBreak/>
        <w:t>En supposant que les mêmes comptes ont été présentés aux banques prêteuses, cette présentation est-elle susceptible d’une qualification pénale ? Justifiez votre réponse.</w:t>
      </w:r>
      <w:r w:rsidR="00B36F4B">
        <w:rPr>
          <w:rFonts w:ascii="Times" w:hAnsi="Times"/>
          <w:b/>
          <w:sz w:val="24"/>
          <w:szCs w:val="24"/>
        </w:rPr>
        <w:t xml:space="preserve"> </w:t>
      </w:r>
    </w:p>
    <w:p w:rsidR="003B4036" w:rsidRPr="003B0BC8" w:rsidRDefault="003B4036" w:rsidP="00B83E62">
      <w:pPr>
        <w:pStyle w:val="Paragraphedeliste"/>
        <w:ind w:left="360"/>
        <w:jc w:val="both"/>
        <w:rPr>
          <w:rFonts w:ascii="Times" w:hAnsi="Times"/>
          <w:sz w:val="24"/>
          <w:szCs w:val="24"/>
        </w:rPr>
      </w:pPr>
    </w:p>
    <w:p w:rsidR="003B4036" w:rsidRDefault="003B4036" w:rsidP="00B83E62">
      <w:pPr>
        <w:pStyle w:val="Paragraphedeliste"/>
        <w:ind w:left="360"/>
        <w:jc w:val="both"/>
        <w:rPr>
          <w:rFonts w:ascii="Times" w:hAnsi="Times"/>
          <w:sz w:val="24"/>
          <w:szCs w:val="24"/>
        </w:rPr>
      </w:pPr>
      <w:r w:rsidRPr="003B0BC8">
        <w:rPr>
          <w:rFonts w:ascii="Times" w:hAnsi="Times"/>
          <w:sz w:val="24"/>
          <w:szCs w:val="24"/>
        </w:rPr>
        <w:t xml:space="preserve">En ce qui concerne </w:t>
      </w:r>
      <w:r w:rsidRPr="00B36F4B">
        <w:rPr>
          <w:rFonts w:ascii="Times" w:hAnsi="Times"/>
          <w:sz w:val="24"/>
          <w:szCs w:val="24"/>
          <w:u w:val="single"/>
        </w:rPr>
        <w:t>les relations bancaires</w:t>
      </w:r>
      <w:r w:rsidR="00B36F4B">
        <w:rPr>
          <w:rFonts w:ascii="Times" w:hAnsi="Times"/>
          <w:sz w:val="24"/>
          <w:szCs w:val="24"/>
          <w:u w:val="single"/>
        </w:rPr>
        <w:t>,</w:t>
      </w:r>
      <w:r w:rsidRPr="003B0BC8">
        <w:rPr>
          <w:rFonts w:ascii="Times" w:hAnsi="Times"/>
          <w:sz w:val="24"/>
          <w:szCs w:val="24"/>
        </w:rPr>
        <w:t xml:space="preserve"> la présentation de comptes « infidèles » en vue d’obtenir le maintien de l’encours bancaire caractérise </w:t>
      </w:r>
      <w:r>
        <w:rPr>
          <w:rFonts w:ascii="Times" w:hAnsi="Times"/>
          <w:sz w:val="24"/>
          <w:szCs w:val="24"/>
        </w:rPr>
        <w:t xml:space="preserve">les éléments matériels de </w:t>
      </w:r>
      <w:r w:rsidRPr="00B36F4B">
        <w:rPr>
          <w:rFonts w:ascii="Times" w:hAnsi="Times"/>
          <w:sz w:val="24"/>
          <w:szCs w:val="24"/>
          <w:u w:val="single"/>
        </w:rPr>
        <w:t>l’escroquerie,</w:t>
      </w:r>
      <w:r w:rsidRPr="003B0BC8">
        <w:rPr>
          <w:rFonts w:ascii="Times" w:hAnsi="Times"/>
          <w:sz w:val="24"/>
          <w:szCs w:val="24"/>
        </w:rPr>
        <w:t xml:space="preserve"> ainsi que </w:t>
      </w:r>
      <w:r>
        <w:rPr>
          <w:rFonts w:ascii="Times" w:hAnsi="Times"/>
          <w:sz w:val="24"/>
          <w:szCs w:val="24"/>
        </w:rPr>
        <w:t>ceux</w:t>
      </w:r>
      <w:r w:rsidRPr="003B0BC8">
        <w:rPr>
          <w:rFonts w:ascii="Times" w:hAnsi="Times"/>
          <w:sz w:val="24"/>
          <w:szCs w:val="24"/>
        </w:rPr>
        <w:t xml:space="preserve"> des infractions de faux et d’usage de faux.</w:t>
      </w:r>
    </w:p>
    <w:p w:rsidR="003B4036" w:rsidRDefault="003B4036" w:rsidP="00B83E62">
      <w:pPr>
        <w:pStyle w:val="Paragraphedeliste"/>
        <w:ind w:left="360"/>
        <w:jc w:val="both"/>
        <w:rPr>
          <w:rFonts w:ascii="Times" w:hAnsi="Times"/>
          <w:sz w:val="24"/>
          <w:szCs w:val="24"/>
        </w:rPr>
      </w:pPr>
      <w:r>
        <w:rPr>
          <w:rFonts w:ascii="Times" w:hAnsi="Times"/>
          <w:sz w:val="24"/>
          <w:szCs w:val="24"/>
        </w:rPr>
        <w:t>En effet, l</w:t>
      </w:r>
      <w:r w:rsidRPr="0019256A">
        <w:rPr>
          <w:rFonts w:ascii="Times" w:hAnsi="Times"/>
          <w:sz w:val="24"/>
          <w:szCs w:val="24"/>
        </w:rPr>
        <w:t>’escroquerie est le fait, soit par l’usage d’un faux nom ou d’une fausse qualité, soit par l’abus d’une qualité vraie, soit par l’emploi de manœuvres frauduleuses, de tromper une personne physique ou morale et de la déterminer ainsi, à son préjudice ou au préjudice d’un tiers, à remettre des fonds, des valeurs ou un bien quelconque, à fournir un service ou à consentir un acte opérant obligation ou décharge</w:t>
      </w:r>
      <w:r>
        <w:rPr>
          <w:rFonts w:ascii="Times" w:hAnsi="Times"/>
          <w:sz w:val="24"/>
          <w:szCs w:val="24"/>
        </w:rPr>
        <w:t xml:space="preserve">. </w:t>
      </w:r>
    </w:p>
    <w:p w:rsidR="003B4036" w:rsidRDefault="003B4036" w:rsidP="00B83E62">
      <w:pPr>
        <w:pStyle w:val="Paragraphedeliste"/>
        <w:ind w:left="360"/>
        <w:jc w:val="both"/>
        <w:rPr>
          <w:rFonts w:ascii="Times" w:hAnsi="Times"/>
          <w:sz w:val="24"/>
          <w:szCs w:val="24"/>
        </w:rPr>
      </w:pPr>
      <w:r>
        <w:rPr>
          <w:rFonts w:ascii="Times" w:hAnsi="Times"/>
          <w:sz w:val="24"/>
          <w:szCs w:val="24"/>
        </w:rPr>
        <w:t>Les comptes « infidèles » constituent l’élément de la manœuvre qui conduit les banques à consentir un service en maintenant leurs financements bancaires à des conditions plus favorables que celles qu’autorise la situation de l’entreprise</w:t>
      </w:r>
      <w:r w:rsidRPr="00B36F4B">
        <w:rPr>
          <w:rFonts w:ascii="Times" w:hAnsi="Times"/>
          <w:i/>
          <w:sz w:val="24"/>
          <w:szCs w:val="24"/>
        </w:rPr>
        <w:t>.</w:t>
      </w:r>
    </w:p>
    <w:p w:rsidR="003B4036" w:rsidRDefault="003B4036" w:rsidP="00B83E62">
      <w:pPr>
        <w:pStyle w:val="Paragraphedeliste"/>
        <w:ind w:left="360"/>
        <w:jc w:val="both"/>
        <w:rPr>
          <w:rFonts w:ascii="Times" w:hAnsi="Times"/>
          <w:sz w:val="24"/>
          <w:szCs w:val="24"/>
        </w:rPr>
      </w:pPr>
    </w:p>
    <w:p w:rsidR="003B4036" w:rsidRPr="00B36F4B" w:rsidRDefault="003B4036" w:rsidP="00B83E62">
      <w:pPr>
        <w:pStyle w:val="Paragraphedeliste"/>
        <w:ind w:left="360"/>
        <w:jc w:val="both"/>
        <w:rPr>
          <w:rFonts w:ascii="Times" w:hAnsi="Times"/>
          <w:i/>
          <w:sz w:val="24"/>
          <w:szCs w:val="24"/>
        </w:rPr>
      </w:pPr>
      <w:r w:rsidRPr="00B36F4B">
        <w:rPr>
          <w:rFonts w:ascii="Times" w:hAnsi="Times"/>
          <w:sz w:val="24"/>
          <w:szCs w:val="24"/>
          <w:u w:val="single"/>
        </w:rPr>
        <w:t>Constitue par ailleurs un faux toute altération frauduleuse de la vérité</w:t>
      </w:r>
      <w:r w:rsidRPr="004D47C7">
        <w:rPr>
          <w:rFonts w:ascii="Times" w:hAnsi="Times"/>
          <w:sz w:val="24"/>
          <w:szCs w:val="24"/>
        </w:rPr>
        <w:t>, de nature à causer un préjudice et accomplie par quelque moyen que ce soit, dans un écrit ou tout autre support d'expression de la pensée qui a pour objet ou qui peut avoir pour effet d'établir la preuve d'un droit ou d'un fait ayant des conséquences juridiques.</w:t>
      </w:r>
      <w:r>
        <w:rPr>
          <w:rFonts w:ascii="Times" w:hAnsi="Times"/>
          <w:sz w:val="24"/>
          <w:szCs w:val="24"/>
        </w:rPr>
        <w:t xml:space="preserve"> Cette qualification correspond bien au fait de présenter des comptes dont le dirigeant connaît l’infidélité, et de les présenter aux banques dans le but rappelé ci-dessus (ce qui constitue l’usage de faux).</w:t>
      </w:r>
      <w:r w:rsidR="00B36F4B">
        <w:rPr>
          <w:rFonts w:ascii="Times" w:hAnsi="Times"/>
          <w:sz w:val="24"/>
          <w:szCs w:val="24"/>
        </w:rPr>
        <w:t xml:space="preserve"> </w:t>
      </w:r>
    </w:p>
    <w:p w:rsidR="003B4036" w:rsidRDefault="003B4036" w:rsidP="00B83E62">
      <w:pPr>
        <w:pStyle w:val="Paragraphedeliste"/>
        <w:ind w:left="360"/>
        <w:jc w:val="both"/>
        <w:rPr>
          <w:rFonts w:ascii="Times" w:hAnsi="Times"/>
          <w:sz w:val="24"/>
          <w:szCs w:val="24"/>
        </w:rPr>
      </w:pPr>
    </w:p>
    <w:p w:rsidR="003B4036" w:rsidRPr="00513427" w:rsidRDefault="003B4036" w:rsidP="00B83E62">
      <w:pPr>
        <w:pStyle w:val="Paragraphedeliste"/>
        <w:numPr>
          <w:ilvl w:val="0"/>
          <w:numId w:val="3"/>
        </w:numPr>
        <w:ind w:left="360"/>
        <w:jc w:val="both"/>
        <w:rPr>
          <w:rFonts w:ascii="Times" w:hAnsi="Times"/>
          <w:b/>
          <w:sz w:val="24"/>
          <w:szCs w:val="24"/>
        </w:rPr>
      </w:pPr>
      <w:r w:rsidRPr="00513427">
        <w:rPr>
          <w:rFonts w:ascii="Times" w:hAnsi="Times"/>
          <w:b/>
          <w:sz w:val="24"/>
          <w:szCs w:val="24"/>
        </w:rPr>
        <w:t>En supposant que SNG procède à la distribution de dividendes envisagée, et que N</w:t>
      </w:r>
      <w:r w:rsidR="005F6294" w:rsidRPr="00513427">
        <w:rPr>
          <w:rFonts w:ascii="Times" w:hAnsi="Times"/>
          <w:b/>
          <w:sz w:val="24"/>
          <w:szCs w:val="24"/>
        </w:rPr>
        <w:t>et’Express</w:t>
      </w:r>
      <w:r w:rsidRPr="00513427">
        <w:rPr>
          <w:rFonts w:ascii="Times" w:hAnsi="Times"/>
          <w:b/>
          <w:sz w:val="24"/>
          <w:szCs w:val="24"/>
        </w:rPr>
        <w:t xml:space="preserve"> rembourse immédiatement le prêt de M. Prudent, cette succession d’opérations est-elle susceptible d’une qualification pénale ? Justifiez votre réponse.</w:t>
      </w:r>
      <w:r w:rsidR="00B36F4B" w:rsidRPr="00513427">
        <w:rPr>
          <w:rFonts w:ascii="Times" w:hAnsi="Times"/>
          <w:b/>
          <w:sz w:val="24"/>
          <w:szCs w:val="24"/>
        </w:rPr>
        <w:t xml:space="preserve"> </w:t>
      </w:r>
    </w:p>
    <w:p w:rsidR="003B4036" w:rsidRPr="003B0BC8" w:rsidRDefault="003B4036" w:rsidP="00B83E62">
      <w:pPr>
        <w:pStyle w:val="Paragraphedeliste"/>
        <w:ind w:left="360"/>
        <w:jc w:val="both"/>
        <w:rPr>
          <w:rFonts w:ascii="Times" w:hAnsi="Times"/>
          <w:sz w:val="24"/>
          <w:szCs w:val="24"/>
        </w:rPr>
      </w:pPr>
    </w:p>
    <w:p w:rsidR="003B4036" w:rsidRDefault="003B4036" w:rsidP="00B83E62">
      <w:pPr>
        <w:pStyle w:val="Paragraphedeliste"/>
        <w:ind w:left="360"/>
        <w:jc w:val="both"/>
        <w:rPr>
          <w:rFonts w:ascii="Times" w:hAnsi="Times"/>
          <w:sz w:val="24"/>
          <w:szCs w:val="24"/>
        </w:rPr>
      </w:pPr>
      <w:r w:rsidRPr="003B0BC8">
        <w:rPr>
          <w:rFonts w:ascii="Times" w:hAnsi="Times"/>
          <w:sz w:val="24"/>
          <w:szCs w:val="24"/>
          <w:u w:val="single"/>
        </w:rPr>
        <w:t>Distribution d’un dividende par SNG et remboursement immédiat au dirigeant prêteur</w:t>
      </w:r>
      <w:r w:rsidRPr="003B0BC8">
        <w:rPr>
          <w:rFonts w:ascii="Times" w:hAnsi="Times"/>
          <w:sz w:val="24"/>
          <w:szCs w:val="24"/>
        </w:rPr>
        <w:t xml:space="preserve"> : </w:t>
      </w:r>
      <w:r>
        <w:rPr>
          <w:rFonts w:ascii="Times" w:hAnsi="Times"/>
          <w:sz w:val="24"/>
          <w:szCs w:val="24"/>
        </w:rPr>
        <w:t xml:space="preserve">il s’agit ainsi de faire financer l’achat des actions de la société SNG par cette même société. Cette situation est illicite dans la mesure où il </w:t>
      </w:r>
      <w:r w:rsidRPr="00341FD1">
        <w:rPr>
          <w:rFonts w:ascii="Times" w:hAnsi="Times"/>
          <w:sz w:val="24"/>
          <w:szCs w:val="24"/>
        </w:rPr>
        <w:t>est interdit aux administrateurs autres que les personnes morales de contracter, sous quelque forme que ce soit, des emprunts auprès de la société, de se faire consentir par elle un découvert, en compte courant ou autrement, ainsi que de faire cautionner ou avaliser par elle leurs engagements envers les tiers.</w:t>
      </w:r>
    </w:p>
    <w:p w:rsidR="007D1317" w:rsidRPr="008275AA" w:rsidRDefault="007D1317" w:rsidP="008275AA">
      <w:pPr>
        <w:jc w:val="both"/>
        <w:rPr>
          <w:rFonts w:ascii="Times" w:hAnsi="Times"/>
          <w:sz w:val="24"/>
          <w:szCs w:val="24"/>
        </w:rPr>
      </w:pPr>
    </w:p>
    <w:p w:rsidR="003B4036" w:rsidRPr="009F0773" w:rsidRDefault="003B4036" w:rsidP="00B83E62">
      <w:pPr>
        <w:pStyle w:val="Paragraphedeliste"/>
        <w:numPr>
          <w:ilvl w:val="0"/>
          <w:numId w:val="3"/>
        </w:numPr>
        <w:ind w:left="360"/>
        <w:jc w:val="both"/>
        <w:rPr>
          <w:rFonts w:ascii="Times" w:hAnsi="Times"/>
          <w:b/>
          <w:sz w:val="24"/>
          <w:szCs w:val="24"/>
        </w:rPr>
      </w:pPr>
      <w:r w:rsidRPr="009F0773">
        <w:rPr>
          <w:rFonts w:ascii="Times" w:hAnsi="Times"/>
          <w:b/>
          <w:sz w:val="24"/>
          <w:szCs w:val="24"/>
        </w:rPr>
        <w:t>Outre l</w:t>
      </w:r>
      <w:r>
        <w:rPr>
          <w:rFonts w:ascii="Times" w:hAnsi="Times"/>
          <w:b/>
          <w:sz w:val="24"/>
          <w:szCs w:val="24"/>
        </w:rPr>
        <w:t>e point envisagé à la question 5</w:t>
      </w:r>
      <w:r w:rsidRPr="009F0773">
        <w:rPr>
          <w:rFonts w:ascii="Times" w:hAnsi="Times"/>
          <w:b/>
          <w:sz w:val="24"/>
          <w:szCs w:val="24"/>
        </w:rPr>
        <w:t>, que faut-il penser de la distribution de dividendes envisagée par SNG ?</w:t>
      </w:r>
      <w:r w:rsidR="00B36F4B">
        <w:rPr>
          <w:rFonts w:ascii="Times" w:hAnsi="Times"/>
          <w:b/>
          <w:sz w:val="24"/>
          <w:szCs w:val="24"/>
        </w:rPr>
        <w:t xml:space="preserve"> </w:t>
      </w:r>
    </w:p>
    <w:p w:rsidR="003B4036" w:rsidRDefault="003B4036" w:rsidP="00B83E62">
      <w:pPr>
        <w:ind w:left="348"/>
        <w:jc w:val="both"/>
        <w:rPr>
          <w:rFonts w:ascii="Times" w:hAnsi="Times"/>
          <w:sz w:val="24"/>
          <w:szCs w:val="24"/>
        </w:rPr>
      </w:pPr>
      <w:r w:rsidRPr="009F0773">
        <w:rPr>
          <w:rFonts w:ascii="Times" w:hAnsi="Times"/>
          <w:sz w:val="24"/>
          <w:szCs w:val="24"/>
        </w:rPr>
        <w:t>Le montant du dividende distribué – sans même considérer l’omission du passif environnemental – conduit à douter de l’intérêt de la société, qui se trouvera sans capacité à assurer son propre développement ; ce qui</w:t>
      </w:r>
      <w:r w:rsidR="00D4775E">
        <w:rPr>
          <w:rFonts w:ascii="Times" w:hAnsi="Times"/>
          <w:sz w:val="24"/>
          <w:szCs w:val="24"/>
        </w:rPr>
        <w:t xml:space="preserve"> conduit à </w:t>
      </w:r>
      <w:r w:rsidR="00D4775E" w:rsidRPr="00B36F4B">
        <w:rPr>
          <w:rFonts w:ascii="Times" w:hAnsi="Times"/>
          <w:sz w:val="24"/>
          <w:szCs w:val="24"/>
          <w:u w:val="single"/>
        </w:rPr>
        <w:t>constater un abus de</w:t>
      </w:r>
      <w:r w:rsidRPr="00B36F4B">
        <w:rPr>
          <w:rFonts w:ascii="Times" w:hAnsi="Times"/>
          <w:sz w:val="24"/>
          <w:szCs w:val="24"/>
          <w:u w:val="single"/>
        </w:rPr>
        <w:t xml:space="preserve"> biens sociaux</w:t>
      </w:r>
      <w:r w:rsidRPr="009F0773">
        <w:rPr>
          <w:rFonts w:ascii="Times" w:hAnsi="Times"/>
          <w:sz w:val="24"/>
          <w:szCs w:val="24"/>
        </w:rPr>
        <w:t xml:space="preserve"> à l’initiative du dirigeant, non justifié par l’intérêt social du groupe.</w:t>
      </w:r>
      <w:r w:rsidR="00B36F4B">
        <w:rPr>
          <w:rFonts w:ascii="Times" w:hAnsi="Times"/>
          <w:sz w:val="24"/>
          <w:szCs w:val="24"/>
        </w:rPr>
        <w:t xml:space="preserve"> </w:t>
      </w:r>
    </w:p>
    <w:p w:rsidR="003B4036" w:rsidRDefault="003B4036" w:rsidP="00B83E62">
      <w:pPr>
        <w:ind w:left="348"/>
        <w:jc w:val="both"/>
        <w:rPr>
          <w:rFonts w:ascii="Times" w:hAnsi="Times"/>
          <w:sz w:val="24"/>
          <w:szCs w:val="24"/>
        </w:rPr>
      </w:pPr>
      <w:r>
        <w:rPr>
          <w:rFonts w:ascii="Times" w:hAnsi="Times"/>
          <w:sz w:val="24"/>
          <w:szCs w:val="24"/>
        </w:rPr>
        <w:t xml:space="preserve">En effet, le fait pour les dirigeants </w:t>
      </w:r>
      <w:r w:rsidRPr="0019256A">
        <w:rPr>
          <w:rFonts w:ascii="Times" w:hAnsi="Times"/>
          <w:sz w:val="24"/>
          <w:szCs w:val="24"/>
        </w:rPr>
        <w:t>de faire, de mauvaise foi, des biens ou du crédit de la société, un usage qu’ils savent contraire à l’intérêt de celle-ci, à des fins personnelles ou pour favoriser une autre société ou entreprise dans laquelle ils sont intéressé</w:t>
      </w:r>
      <w:r>
        <w:rPr>
          <w:rFonts w:ascii="Times" w:hAnsi="Times"/>
          <w:sz w:val="24"/>
          <w:szCs w:val="24"/>
        </w:rPr>
        <w:t>s directement ou indirectement, est une infraction réprimée par le code de commerce</w:t>
      </w:r>
      <w:r w:rsidRPr="0019256A">
        <w:rPr>
          <w:rFonts w:ascii="Times" w:hAnsi="Times"/>
          <w:sz w:val="24"/>
          <w:szCs w:val="24"/>
        </w:rPr>
        <w:t>.</w:t>
      </w:r>
    </w:p>
    <w:p w:rsidR="003B4036" w:rsidRDefault="003B4036" w:rsidP="00B83E62">
      <w:pPr>
        <w:ind w:left="348"/>
        <w:jc w:val="both"/>
        <w:rPr>
          <w:rFonts w:ascii="Times" w:hAnsi="Times"/>
          <w:sz w:val="24"/>
          <w:szCs w:val="24"/>
        </w:rPr>
      </w:pPr>
      <w:r w:rsidRPr="009F0773">
        <w:rPr>
          <w:rFonts w:ascii="Times" w:hAnsi="Times"/>
          <w:sz w:val="24"/>
          <w:szCs w:val="24"/>
        </w:rPr>
        <w:lastRenderedPageBreak/>
        <w:t xml:space="preserve">Si on considère en sus qu’un passif n’a pas été comptabilisé, </w:t>
      </w:r>
      <w:r w:rsidRPr="00B36F4B">
        <w:rPr>
          <w:rFonts w:ascii="Times" w:hAnsi="Times"/>
          <w:sz w:val="24"/>
          <w:szCs w:val="24"/>
          <w:u w:val="single"/>
        </w:rPr>
        <w:t>les comptes qui seront présentés seront donc inexacts et la distribution portera sur un dividende fictif</w:t>
      </w:r>
      <w:r w:rsidRPr="009F0773">
        <w:rPr>
          <w:rFonts w:ascii="Times" w:hAnsi="Times"/>
          <w:sz w:val="24"/>
          <w:szCs w:val="24"/>
        </w:rPr>
        <w:t>.</w:t>
      </w:r>
      <w:r>
        <w:rPr>
          <w:rFonts w:ascii="Times" w:hAnsi="Times"/>
          <w:sz w:val="24"/>
          <w:szCs w:val="24"/>
        </w:rPr>
        <w:t xml:space="preserve"> En effet, le fait pour les dirigeants d’une société commerciale </w:t>
      </w:r>
      <w:r w:rsidRPr="0019256A">
        <w:rPr>
          <w:rFonts w:ascii="Times" w:hAnsi="Times"/>
          <w:sz w:val="24"/>
          <w:szCs w:val="24"/>
        </w:rPr>
        <w:t xml:space="preserve">d’opérer entre les </w:t>
      </w:r>
      <w:r>
        <w:rPr>
          <w:rFonts w:ascii="Times" w:hAnsi="Times"/>
          <w:sz w:val="24"/>
          <w:szCs w:val="24"/>
        </w:rPr>
        <w:t xml:space="preserve">associés </w:t>
      </w:r>
      <w:r w:rsidRPr="0019256A">
        <w:rPr>
          <w:rFonts w:ascii="Times" w:hAnsi="Times"/>
          <w:sz w:val="24"/>
          <w:szCs w:val="24"/>
        </w:rPr>
        <w:t xml:space="preserve">la répartition de dividendes fictifs, </w:t>
      </w:r>
      <w:r>
        <w:rPr>
          <w:rFonts w:ascii="Times" w:hAnsi="Times"/>
          <w:sz w:val="24"/>
          <w:szCs w:val="24"/>
        </w:rPr>
        <w:t>au moyen de la présentation de comptes irréguliers, est une infraction réprimée par le code de commerce.</w:t>
      </w:r>
    </w:p>
    <w:p w:rsidR="003B4036" w:rsidRPr="0019256A" w:rsidRDefault="003B4036" w:rsidP="00B83E62">
      <w:pPr>
        <w:ind w:left="348"/>
        <w:jc w:val="both"/>
        <w:rPr>
          <w:rFonts w:ascii="Times" w:hAnsi="Times"/>
          <w:sz w:val="24"/>
          <w:szCs w:val="24"/>
        </w:rPr>
      </w:pPr>
    </w:p>
    <w:p w:rsidR="003B4036" w:rsidRPr="00B36F4B" w:rsidRDefault="003B4036" w:rsidP="00B83E62">
      <w:pPr>
        <w:pStyle w:val="Paragraphedeliste"/>
        <w:numPr>
          <w:ilvl w:val="0"/>
          <w:numId w:val="3"/>
        </w:numPr>
        <w:ind w:left="360"/>
        <w:jc w:val="both"/>
        <w:rPr>
          <w:b/>
        </w:rPr>
      </w:pPr>
      <w:r w:rsidRPr="009F0773">
        <w:rPr>
          <w:rFonts w:ascii="Times" w:hAnsi="Times"/>
          <w:b/>
          <w:sz w:val="24"/>
          <w:szCs w:val="24"/>
        </w:rPr>
        <w:t>La déclaration de cessation des paiements envisagée par SNG exonère-t-elle le groupe de toute responsabilité en matière environnementale concernant les activités de cette société ? Justifiez votre réponse</w:t>
      </w:r>
      <w:r>
        <w:rPr>
          <w:b/>
        </w:rPr>
        <w:t>.</w:t>
      </w:r>
      <w:r w:rsidR="00B36F4B">
        <w:rPr>
          <w:b/>
        </w:rPr>
        <w:t xml:space="preserve"> </w:t>
      </w:r>
    </w:p>
    <w:p w:rsidR="008275AA" w:rsidRDefault="003B4036" w:rsidP="008275AA">
      <w:pPr>
        <w:ind w:left="348"/>
        <w:jc w:val="both"/>
        <w:rPr>
          <w:rFonts w:ascii="Times" w:hAnsi="Times"/>
          <w:sz w:val="24"/>
          <w:szCs w:val="24"/>
        </w:rPr>
      </w:pPr>
      <w:r w:rsidRPr="009F0773">
        <w:rPr>
          <w:rFonts w:ascii="Times" w:hAnsi="Times"/>
          <w:sz w:val="24"/>
          <w:szCs w:val="24"/>
          <w:u w:val="single"/>
        </w:rPr>
        <w:t>Déclaration de cessation des paiements</w:t>
      </w:r>
      <w:r w:rsidRPr="009F0773">
        <w:rPr>
          <w:rFonts w:ascii="Times" w:hAnsi="Times"/>
          <w:sz w:val="24"/>
          <w:szCs w:val="24"/>
        </w:rPr>
        <w:t>  envisag</w:t>
      </w:r>
      <w:r w:rsidR="00D4775E">
        <w:rPr>
          <w:rFonts w:ascii="Times" w:hAnsi="Times"/>
          <w:sz w:val="24"/>
          <w:szCs w:val="24"/>
        </w:rPr>
        <w:t>ée pour SNG: compte tenu de la l</w:t>
      </w:r>
      <w:r w:rsidRPr="009F0773">
        <w:rPr>
          <w:rFonts w:ascii="Times" w:hAnsi="Times"/>
          <w:sz w:val="24"/>
          <w:szCs w:val="24"/>
        </w:rPr>
        <w:t>oi Grenelle II, la cessation de paiement</w:t>
      </w:r>
      <w:r w:rsidR="00D4775E">
        <w:rPr>
          <w:rFonts w:ascii="Times" w:hAnsi="Times"/>
          <w:sz w:val="24"/>
          <w:szCs w:val="24"/>
        </w:rPr>
        <w:t>s</w:t>
      </w:r>
      <w:r w:rsidRPr="009F0773">
        <w:rPr>
          <w:rFonts w:ascii="Times" w:hAnsi="Times"/>
          <w:sz w:val="24"/>
          <w:szCs w:val="24"/>
        </w:rPr>
        <w:t xml:space="preserve"> ne fera pas obstacle au règlement du passif environnementa</w:t>
      </w:r>
      <w:r w:rsidR="00D4775E">
        <w:rPr>
          <w:rFonts w:ascii="Times" w:hAnsi="Times"/>
          <w:sz w:val="24"/>
          <w:szCs w:val="24"/>
        </w:rPr>
        <w:t>l</w:t>
      </w:r>
      <w:r w:rsidRPr="009F0773">
        <w:rPr>
          <w:rFonts w:ascii="Times" w:hAnsi="Times"/>
          <w:sz w:val="24"/>
          <w:szCs w:val="24"/>
        </w:rPr>
        <w:t xml:space="preserve"> mis à la charge de la société-mère si l’on considère qu’elle est assimilable à l’exploitant.</w:t>
      </w:r>
    </w:p>
    <w:p w:rsidR="00E95B95" w:rsidRPr="008275AA" w:rsidRDefault="00E95B95" w:rsidP="008275AA">
      <w:pPr>
        <w:ind w:left="348"/>
        <w:jc w:val="both"/>
        <w:rPr>
          <w:rFonts w:ascii="Times" w:hAnsi="Times"/>
          <w:sz w:val="24"/>
          <w:szCs w:val="24"/>
        </w:rPr>
      </w:pPr>
    </w:p>
    <w:p w:rsidR="00C10DCD" w:rsidRDefault="00C10DCD" w:rsidP="00C10DC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 : RELATIONS AVEC L’ADMINISTRATION FISCALE</w:t>
      </w:r>
    </w:p>
    <w:p w:rsidR="00C10DCD" w:rsidRDefault="00C10DCD" w:rsidP="00C10DCD">
      <w:pPr>
        <w:jc w:val="center"/>
        <w:rPr>
          <w:rFonts w:ascii="Times New Roman" w:hAnsi="Times New Roman"/>
          <w:b/>
          <w:sz w:val="24"/>
          <w:szCs w:val="24"/>
        </w:rPr>
      </w:pPr>
    </w:p>
    <w:p w:rsidR="009E7E86" w:rsidRPr="00513427" w:rsidRDefault="009E7E86" w:rsidP="00513427">
      <w:pPr>
        <w:pStyle w:val="Paragraphedeliste"/>
        <w:numPr>
          <w:ilvl w:val="0"/>
          <w:numId w:val="5"/>
        </w:numPr>
        <w:ind w:left="426" w:hanging="426"/>
        <w:jc w:val="both"/>
        <w:rPr>
          <w:rFonts w:ascii="Times" w:hAnsi="Times"/>
          <w:b/>
          <w:sz w:val="24"/>
          <w:szCs w:val="24"/>
        </w:rPr>
      </w:pPr>
      <w:r w:rsidRPr="00513427">
        <w:rPr>
          <w:rFonts w:ascii="Times" w:hAnsi="Times"/>
          <w:b/>
          <w:sz w:val="24"/>
          <w:szCs w:val="24"/>
        </w:rPr>
        <w:t>Après avoir précisé ce qu’est le contrôle fiscal à la demande, vous indiquerez, pour une société donnée, les principales différences avec une vérification de comptabilité.</w:t>
      </w:r>
      <w:r w:rsidR="00B36F4B" w:rsidRPr="00513427">
        <w:rPr>
          <w:rFonts w:ascii="Times" w:hAnsi="Times"/>
          <w:b/>
          <w:sz w:val="24"/>
          <w:szCs w:val="24"/>
        </w:rPr>
        <w:t xml:space="preserve"> </w:t>
      </w:r>
    </w:p>
    <w:p w:rsidR="009E7E86" w:rsidRPr="009E7E86" w:rsidRDefault="009E7E86" w:rsidP="009E7E86">
      <w:pPr>
        <w:jc w:val="both"/>
        <w:rPr>
          <w:rFonts w:ascii="Times New Roman" w:hAnsi="Times New Roman"/>
          <w:bCs/>
          <w:iCs/>
          <w:sz w:val="24"/>
          <w:szCs w:val="24"/>
        </w:rPr>
      </w:pPr>
      <w:r w:rsidRPr="009E7E86">
        <w:rPr>
          <w:rFonts w:ascii="Times New Roman" w:hAnsi="Times New Roman"/>
          <w:bCs/>
          <w:iCs/>
          <w:sz w:val="24"/>
          <w:szCs w:val="24"/>
        </w:rPr>
        <w:t xml:space="preserve">Le contrôle fiscal sur demande du contribuable lui-même est régi par l’article L. </w:t>
      </w:r>
      <w:smartTag w:uri="urn:schemas-microsoft-com:office:smarttags" w:element="metricconverter">
        <w:smartTagPr>
          <w:attr w:name="ProductID" w:val="13 C"/>
        </w:smartTagPr>
        <w:r w:rsidRPr="009E7E86">
          <w:rPr>
            <w:rFonts w:ascii="Times New Roman" w:hAnsi="Times New Roman"/>
            <w:bCs/>
            <w:iCs/>
            <w:sz w:val="24"/>
            <w:szCs w:val="24"/>
          </w:rPr>
          <w:t>13 C</w:t>
        </w:r>
      </w:smartTag>
      <w:r w:rsidRPr="009E7E86">
        <w:rPr>
          <w:rFonts w:ascii="Times New Roman" w:hAnsi="Times New Roman"/>
          <w:bCs/>
          <w:iCs/>
          <w:sz w:val="24"/>
          <w:szCs w:val="24"/>
        </w:rPr>
        <w:t xml:space="preserve"> du LPF depuis le 1</w:t>
      </w:r>
      <w:r w:rsidRPr="009E7E86">
        <w:rPr>
          <w:rFonts w:ascii="Times New Roman" w:hAnsi="Times New Roman"/>
          <w:bCs/>
          <w:iCs/>
          <w:sz w:val="24"/>
          <w:szCs w:val="24"/>
          <w:vertAlign w:val="superscript"/>
        </w:rPr>
        <w:t>er</w:t>
      </w:r>
      <w:r w:rsidRPr="009E7E86">
        <w:rPr>
          <w:rFonts w:ascii="Times New Roman" w:hAnsi="Times New Roman"/>
          <w:bCs/>
          <w:iCs/>
          <w:sz w:val="24"/>
          <w:szCs w:val="24"/>
        </w:rPr>
        <w:t xml:space="preserve"> décembre 2005 ; cette procédure permet aux petites entreprises de demander à l’administration, </w:t>
      </w:r>
      <w:r w:rsidRPr="009E7E86">
        <w:rPr>
          <w:rFonts w:ascii="Times New Roman" w:hAnsi="Times New Roman"/>
          <w:bCs/>
          <w:iCs/>
          <w:sz w:val="24"/>
          <w:szCs w:val="24"/>
          <w:u w:val="single"/>
        </w:rPr>
        <w:t>pour la période ou l’exercice en cours</w:t>
      </w:r>
      <w:r w:rsidRPr="009E7E86">
        <w:rPr>
          <w:rFonts w:ascii="Times New Roman" w:hAnsi="Times New Roman"/>
          <w:bCs/>
          <w:iCs/>
          <w:sz w:val="24"/>
          <w:szCs w:val="24"/>
        </w:rPr>
        <w:t xml:space="preserve">, de </w:t>
      </w:r>
      <w:r w:rsidRPr="009E7E86">
        <w:rPr>
          <w:rFonts w:ascii="Times New Roman" w:hAnsi="Times New Roman"/>
          <w:bCs/>
          <w:iCs/>
          <w:sz w:val="24"/>
          <w:szCs w:val="24"/>
          <w:u w:val="single"/>
        </w:rPr>
        <w:t>contrôler certains points précis</w:t>
      </w:r>
      <w:r w:rsidRPr="009E7E86">
        <w:rPr>
          <w:rFonts w:ascii="Times New Roman" w:hAnsi="Times New Roman"/>
          <w:bCs/>
          <w:iCs/>
          <w:sz w:val="24"/>
          <w:szCs w:val="24"/>
        </w:rPr>
        <w:t>, énoncés dans la demande, afin de s‘assurer qu’elles appliquent correctement les règles fiscales. La demande qui émane de l’entreprise elle-même est préalable, écrite et ciblée ; elle mentionne les points précis pour lesquels le contrôle fiscal est sollicité. Il se déroule en principe dans les locaux de l’entreprise.</w:t>
      </w:r>
    </w:p>
    <w:p w:rsidR="009E7E86" w:rsidRPr="00B36F4B" w:rsidRDefault="009E7E86" w:rsidP="009E7E86">
      <w:pPr>
        <w:jc w:val="both"/>
        <w:rPr>
          <w:rFonts w:ascii="Times New Roman" w:hAnsi="Times New Roman"/>
          <w:bCs/>
          <w:i/>
          <w:iCs/>
          <w:sz w:val="24"/>
          <w:szCs w:val="24"/>
        </w:rPr>
      </w:pPr>
      <w:r w:rsidRPr="009E7E86">
        <w:rPr>
          <w:rFonts w:ascii="Times New Roman" w:hAnsi="Times New Roman"/>
          <w:bCs/>
          <w:iCs/>
          <w:sz w:val="24"/>
          <w:szCs w:val="24"/>
        </w:rPr>
        <w:t>Elle vise les entreprises dont le chiffre d’affaires n’excède pas 1,5 M€ (ventes ou fournitures de denrées, de logement ou ventes à consommer sur place) ou 450 000 € (autres entreprises).</w:t>
      </w:r>
    </w:p>
    <w:p w:rsidR="009E7E86" w:rsidRPr="009E7E86" w:rsidRDefault="009E7E86" w:rsidP="009E7E86">
      <w:pPr>
        <w:jc w:val="both"/>
        <w:rPr>
          <w:rFonts w:ascii="Times New Roman" w:hAnsi="Times New Roman"/>
          <w:bCs/>
          <w:iCs/>
          <w:sz w:val="24"/>
          <w:szCs w:val="24"/>
        </w:rPr>
      </w:pPr>
      <w:r w:rsidRPr="009E7E86">
        <w:rPr>
          <w:rFonts w:ascii="Times New Roman" w:hAnsi="Times New Roman"/>
          <w:bCs/>
          <w:iCs/>
          <w:sz w:val="24"/>
          <w:szCs w:val="24"/>
        </w:rPr>
        <w:t xml:space="preserve">Il ne s’agit pas d’une vérification de comptabilité sur place ; il </w:t>
      </w:r>
      <w:r w:rsidRPr="009E7E86">
        <w:rPr>
          <w:rFonts w:ascii="Times New Roman" w:hAnsi="Times New Roman"/>
          <w:bCs/>
          <w:iCs/>
          <w:sz w:val="24"/>
          <w:szCs w:val="24"/>
          <w:u w:val="single"/>
        </w:rPr>
        <w:t>n’y a ainsi pas d’avis de vérification</w:t>
      </w:r>
      <w:r w:rsidRPr="009E7E86">
        <w:rPr>
          <w:rFonts w:ascii="Times New Roman" w:hAnsi="Times New Roman"/>
          <w:bCs/>
          <w:iCs/>
          <w:sz w:val="24"/>
          <w:szCs w:val="24"/>
        </w:rPr>
        <w:t xml:space="preserve"> (un courrier simple est adressé sans charte du contribuable vérifié),  </w:t>
      </w:r>
      <w:r w:rsidRPr="009E7E86">
        <w:rPr>
          <w:rFonts w:ascii="Times New Roman" w:hAnsi="Times New Roman"/>
          <w:bCs/>
          <w:iCs/>
          <w:sz w:val="24"/>
          <w:szCs w:val="24"/>
          <w:u w:val="single"/>
        </w:rPr>
        <w:t>le contribuable ne bénéficie pas des garanties correspondantes</w:t>
      </w:r>
      <w:r w:rsidRPr="009E7E86">
        <w:rPr>
          <w:rFonts w:ascii="Times New Roman" w:hAnsi="Times New Roman"/>
          <w:bCs/>
          <w:iCs/>
          <w:sz w:val="24"/>
          <w:szCs w:val="24"/>
        </w:rPr>
        <w:t xml:space="preserve"> et le fait qu‘il y ait eu un contrôle à la demande ne fait pas obstacle à une vérification de comptabilité ultérieure. La demande ne peut porter sur l’ensemble de la situation fiscale de l’entreprise.</w:t>
      </w:r>
    </w:p>
    <w:p w:rsidR="009E7E86" w:rsidRPr="009E7E86" w:rsidRDefault="009E7E86" w:rsidP="009E7E86">
      <w:pPr>
        <w:jc w:val="both"/>
        <w:rPr>
          <w:rFonts w:ascii="Times New Roman" w:hAnsi="Times New Roman"/>
          <w:b/>
          <w:color w:val="FF0000"/>
          <w:sz w:val="24"/>
          <w:szCs w:val="24"/>
        </w:rPr>
      </w:pPr>
    </w:p>
    <w:p w:rsidR="009E7E86" w:rsidRPr="00513427" w:rsidRDefault="009E7E86" w:rsidP="00513427">
      <w:pPr>
        <w:pStyle w:val="Paragraphedeliste"/>
        <w:numPr>
          <w:ilvl w:val="0"/>
          <w:numId w:val="5"/>
        </w:numPr>
        <w:ind w:left="426" w:hanging="426"/>
        <w:jc w:val="both"/>
        <w:rPr>
          <w:rFonts w:ascii="Times" w:hAnsi="Times"/>
          <w:b/>
          <w:sz w:val="24"/>
          <w:szCs w:val="24"/>
        </w:rPr>
      </w:pPr>
      <w:r w:rsidRPr="00513427">
        <w:rPr>
          <w:rFonts w:ascii="Times" w:hAnsi="Times"/>
          <w:b/>
          <w:sz w:val="24"/>
          <w:szCs w:val="24"/>
        </w:rPr>
        <w:t>L’administration est-elle tenue d’accepter la demande de contrôle fiscal formulée par  l’entreprise ?</w:t>
      </w:r>
    </w:p>
    <w:p w:rsidR="009E7E86" w:rsidRPr="009E7E86" w:rsidRDefault="009E7E86" w:rsidP="009E7E86">
      <w:pPr>
        <w:jc w:val="both"/>
        <w:rPr>
          <w:rFonts w:ascii="Times New Roman" w:hAnsi="Times New Roman"/>
          <w:color w:val="FF0000"/>
          <w:sz w:val="24"/>
          <w:szCs w:val="24"/>
        </w:rPr>
      </w:pPr>
      <w:r w:rsidRPr="009E7E86">
        <w:rPr>
          <w:rFonts w:ascii="Times New Roman" w:hAnsi="Times New Roman"/>
          <w:bCs/>
          <w:iCs/>
          <w:sz w:val="24"/>
          <w:szCs w:val="24"/>
        </w:rPr>
        <w:t>Sans avoir à se justifier, l’administration peut ne pas accepter cette demande ; elle peut aussi la rejeter pour un ou plusieurs points pour lesquels le contrôle est demandé.</w:t>
      </w:r>
    </w:p>
    <w:p w:rsidR="00513427" w:rsidRDefault="00513427">
      <w:pPr>
        <w:rPr>
          <w:rFonts w:ascii="Times" w:hAnsi="Times"/>
          <w:b/>
          <w:sz w:val="24"/>
          <w:szCs w:val="24"/>
        </w:rPr>
      </w:pPr>
      <w:r>
        <w:rPr>
          <w:rFonts w:ascii="Times" w:hAnsi="Times"/>
          <w:b/>
          <w:sz w:val="24"/>
          <w:szCs w:val="24"/>
        </w:rPr>
        <w:br w:type="page"/>
      </w:r>
    </w:p>
    <w:p w:rsidR="009E7E86" w:rsidRPr="00513427" w:rsidRDefault="009E7E86" w:rsidP="00513427">
      <w:pPr>
        <w:pStyle w:val="Paragraphedeliste"/>
        <w:numPr>
          <w:ilvl w:val="0"/>
          <w:numId w:val="5"/>
        </w:numPr>
        <w:ind w:left="426" w:hanging="426"/>
        <w:jc w:val="both"/>
        <w:rPr>
          <w:rFonts w:ascii="Times" w:hAnsi="Times"/>
          <w:b/>
          <w:sz w:val="24"/>
          <w:szCs w:val="24"/>
        </w:rPr>
      </w:pPr>
      <w:r w:rsidRPr="00513427">
        <w:rPr>
          <w:rFonts w:ascii="Times" w:hAnsi="Times"/>
          <w:b/>
          <w:sz w:val="24"/>
          <w:szCs w:val="24"/>
        </w:rPr>
        <w:lastRenderedPageBreak/>
        <w:t>Si, à l’issue de la procédure de contrôle à la demande, l’administration relève des irrégularités fiscales,  quelles sont les conséquences pour l’entreprise ?</w:t>
      </w:r>
    </w:p>
    <w:p w:rsidR="009E7E86" w:rsidRPr="009E7E86" w:rsidRDefault="009E7E86" w:rsidP="009E7E86">
      <w:pPr>
        <w:rPr>
          <w:rFonts w:ascii="Times New Roman" w:hAnsi="Times New Roman"/>
          <w:bCs/>
          <w:iCs/>
          <w:sz w:val="24"/>
          <w:szCs w:val="24"/>
        </w:rPr>
      </w:pPr>
      <w:r w:rsidRPr="009E7E86">
        <w:rPr>
          <w:rFonts w:ascii="Times New Roman" w:hAnsi="Times New Roman"/>
          <w:bCs/>
          <w:iCs/>
          <w:sz w:val="24"/>
          <w:szCs w:val="24"/>
        </w:rPr>
        <w:t>Si l’administration lui donne une suite favorable, elle procède à « un examen rapide de la comptabilité » et informe le contribuable des résultats du contr</w:t>
      </w:r>
      <w:r>
        <w:rPr>
          <w:rFonts w:ascii="Times New Roman" w:hAnsi="Times New Roman"/>
          <w:bCs/>
          <w:iCs/>
          <w:sz w:val="24"/>
          <w:szCs w:val="24"/>
        </w:rPr>
        <w:t>ôle sur chacun des points visés</w:t>
      </w:r>
      <w:r w:rsidRPr="009E7E86">
        <w:rPr>
          <w:rFonts w:ascii="Times New Roman" w:hAnsi="Times New Roman"/>
          <w:bCs/>
          <w:iCs/>
          <w:sz w:val="24"/>
          <w:szCs w:val="24"/>
        </w:rPr>
        <w:t>:</w:t>
      </w:r>
    </w:p>
    <w:p w:rsidR="009E7E86" w:rsidRPr="009E7E86" w:rsidRDefault="009E7E86" w:rsidP="009E7E86">
      <w:pPr>
        <w:rPr>
          <w:rFonts w:ascii="Times New Roman" w:hAnsi="Times New Roman"/>
          <w:bCs/>
          <w:iCs/>
          <w:sz w:val="24"/>
          <w:szCs w:val="24"/>
        </w:rPr>
      </w:pPr>
      <w:r w:rsidRPr="009E7E86">
        <w:rPr>
          <w:rFonts w:ascii="Times New Roman" w:hAnsi="Times New Roman"/>
          <w:bCs/>
          <w:iCs/>
          <w:sz w:val="24"/>
          <w:szCs w:val="24"/>
        </w:rPr>
        <w:t xml:space="preserve">- </w:t>
      </w:r>
      <w:r w:rsidRPr="009E7E86">
        <w:rPr>
          <w:rFonts w:ascii="Times New Roman" w:hAnsi="Times New Roman"/>
          <w:bCs/>
          <w:i/>
          <w:iCs/>
          <w:sz w:val="24"/>
          <w:szCs w:val="24"/>
        </w:rPr>
        <w:t>s’il n’y a pas d’anomalie</w:t>
      </w:r>
      <w:r w:rsidRPr="009E7E86">
        <w:rPr>
          <w:rFonts w:ascii="Times New Roman" w:hAnsi="Times New Roman"/>
          <w:bCs/>
          <w:iCs/>
          <w:sz w:val="24"/>
          <w:szCs w:val="24"/>
        </w:rPr>
        <w:t>, aucune rectification ultérieure ne pou</w:t>
      </w:r>
      <w:r>
        <w:rPr>
          <w:rFonts w:ascii="Times New Roman" w:hAnsi="Times New Roman"/>
          <w:bCs/>
          <w:iCs/>
          <w:sz w:val="24"/>
          <w:szCs w:val="24"/>
        </w:rPr>
        <w:t>rra porter sur les points visés</w:t>
      </w:r>
      <w:r w:rsidRPr="009E7E86">
        <w:rPr>
          <w:rFonts w:ascii="Times New Roman" w:hAnsi="Times New Roman"/>
          <w:bCs/>
          <w:iCs/>
          <w:sz w:val="24"/>
          <w:szCs w:val="24"/>
        </w:rPr>
        <w:t>;</w:t>
      </w:r>
    </w:p>
    <w:p w:rsidR="009E7E86" w:rsidRPr="009E7E86" w:rsidRDefault="009E7E86" w:rsidP="009E7E86">
      <w:pPr>
        <w:jc w:val="both"/>
        <w:rPr>
          <w:rFonts w:ascii="Times New Roman" w:hAnsi="Times New Roman"/>
          <w:bCs/>
          <w:iCs/>
          <w:sz w:val="24"/>
          <w:szCs w:val="24"/>
        </w:rPr>
      </w:pPr>
      <w:r w:rsidRPr="009E7E86">
        <w:rPr>
          <w:rFonts w:ascii="Times New Roman" w:hAnsi="Times New Roman"/>
          <w:bCs/>
          <w:iCs/>
          <w:sz w:val="24"/>
          <w:szCs w:val="24"/>
        </w:rPr>
        <w:t xml:space="preserve">- </w:t>
      </w:r>
      <w:r w:rsidRPr="009E7E86">
        <w:rPr>
          <w:rFonts w:ascii="Times New Roman" w:hAnsi="Times New Roman"/>
          <w:bCs/>
          <w:i/>
          <w:iCs/>
          <w:sz w:val="24"/>
          <w:szCs w:val="24"/>
        </w:rPr>
        <w:t>si des erreurs, inexactitudes</w:t>
      </w:r>
      <w:r w:rsidRPr="009E7E86">
        <w:rPr>
          <w:rFonts w:ascii="Times New Roman" w:hAnsi="Times New Roman"/>
          <w:bCs/>
          <w:iCs/>
          <w:sz w:val="24"/>
          <w:szCs w:val="24"/>
        </w:rPr>
        <w:t xml:space="preserve">, </w:t>
      </w:r>
      <w:r w:rsidRPr="009E7E86">
        <w:rPr>
          <w:rFonts w:ascii="Times New Roman" w:hAnsi="Times New Roman"/>
          <w:bCs/>
          <w:i/>
          <w:iCs/>
          <w:sz w:val="24"/>
          <w:szCs w:val="24"/>
        </w:rPr>
        <w:t>omissions ou insuffisances sont constatées</w:t>
      </w:r>
      <w:r w:rsidRPr="009E7E86">
        <w:rPr>
          <w:rFonts w:ascii="Times New Roman" w:hAnsi="Times New Roman"/>
          <w:bCs/>
          <w:iCs/>
          <w:sz w:val="24"/>
          <w:szCs w:val="24"/>
        </w:rPr>
        <w:t>, le contribuable peut procéder à leur régularisation avec application d’un intérêt de retard à taux réduit (0.28% par mois) ; s’il ne les régularise pas, une procédure de rectification est engagée dans les conditions de droit commun.</w:t>
      </w:r>
    </w:p>
    <w:p w:rsidR="009E7E86" w:rsidRPr="009E7E86" w:rsidRDefault="009E7E86" w:rsidP="009E7E86">
      <w:pPr>
        <w:jc w:val="both"/>
        <w:rPr>
          <w:rFonts w:ascii="Times New Roman" w:hAnsi="Times New Roman"/>
          <w:bCs/>
          <w:iCs/>
          <w:sz w:val="24"/>
          <w:szCs w:val="24"/>
        </w:rPr>
      </w:pPr>
      <w:r w:rsidRPr="009E7E86">
        <w:rPr>
          <w:rFonts w:ascii="Times New Roman" w:hAnsi="Times New Roman"/>
          <w:bCs/>
          <w:iCs/>
          <w:sz w:val="24"/>
          <w:szCs w:val="24"/>
        </w:rPr>
        <w:t xml:space="preserve">Les réponses consignées dans un compte-rendu de contrôle envoyé à l’entreprise par lettre recommandée avec accusé de réception valent prise de position formelle de l’administration. </w:t>
      </w:r>
    </w:p>
    <w:p w:rsidR="009E7E86" w:rsidRPr="00513427" w:rsidRDefault="009E7E86" w:rsidP="00513427">
      <w:pPr>
        <w:pStyle w:val="Paragraphedeliste"/>
        <w:numPr>
          <w:ilvl w:val="0"/>
          <w:numId w:val="5"/>
        </w:numPr>
        <w:ind w:left="426" w:hanging="426"/>
        <w:jc w:val="both"/>
        <w:rPr>
          <w:rFonts w:ascii="Times" w:hAnsi="Times"/>
          <w:b/>
          <w:sz w:val="24"/>
          <w:szCs w:val="24"/>
        </w:rPr>
      </w:pPr>
      <w:r w:rsidRPr="00513427">
        <w:rPr>
          <w:rFonts w:ascii="Times" w:hAnsi="Times"/>
          <w:b/>
          <w:sz w:val="24"/>
          <w:szCs w:val="24"/>
        </w:rPr>
        <w:t>Définir respectivement le rescrit fiscal et l’agrément en mettant en évidence ce qui différencie  ces deux procédures.</w:t>
      </w:r>
    </w:p>
    <w:p w:rsidR="009E7E86" w:rsidRPr="009E7E86" w:rsidRDefault="009E7E86" w:rsidP="009E7E86">
      <w:pPr>
        <w:jc w:val="both"/>
        <w:rPr>
          <w:rFonts w:ascii="Times New Roman" w:hAnsi="Times New Roman"/>
          <w:bCs/>
          <w:iCs/>
          <w:sz w:val="24"/>
          <w:szCs w:val="24"/>
        </w:rPr>
      </w:pPr>
      <w:r w:rsidRPr="009E7E86">
        <w:rPr>
          <w:rFonts w:ascii="Times New Roman" w:hAnsi="Times New Roman"/>
          <w:bCs/>
          <w:i/>
          <w:iCs/>
          <w:sz w:val="24"/>
          <w:szCs w:val="24"/>
          <w:u w:val="single"/>
        </w:rPr>
        <w:t>Le rescrit</w:t>
      </w:r>
      <w:r w:rsidRPr="009E7E86">
        <w:rPr>
          <w:rFonts w:ascii="Times New Roman" w:hAnsi="Times New Roman"/>
          <w:bCs/>
          <w:iCs/>
          <w:sz w:val="24"/>
          <w:szCs w:val="24"/>
        </w:rPr>
        <w:t xml:space="preserve"> est une procédure qui permet d’interroger l’administration sur l’application d’une règle fiscale à une situation de fait ou sur les modalités d’interprétation d’un texte à une situation générale ou particulière. C’est une procédure de consultation préalable. L’administration est engagée par sa prise de position ; en cela, le rescrit protège le contribuable qui est garanti contre toute remise en cause pour l’avenir. La procédure de rescrit est parfois explicitement prévue par un texte fiscal.</w:t>
      </w:r>
    </w:p>
    <w:p w:rsidR="00B36F4B" w:rsidRPr="009E7E86" w:rsidRDefault="009E7E86" w:rsidP="00B36F4B">
      <w:pPr>
        <w:jc w:val="both"/>
        <w:rPr>
          <w:rFonts w:ascii="Times New Roman" w:hAnsi="Times New Roman"/>
          <w:bCs/>
          <w:iCs/>
          <w:sz w:val="24"/>
          <w:szCs w:val="24"/>
        </w:rPr>
      </w:pPr>
      <w:r w:rsidRPr="009E7E86">
        <w:rPr>
          <w:rFonts w:ascii="Times New Roman" w:hAnsi="Times New Roman"/>
          <w:bCs/>
          <w:i/>
          <w:iCs/>
          <w:sz w:val="24"/>
          <w:szCs w:val="24"/>
          <w:u w:val="single"/>
        </w:rPr>
        <w:t>L’agrément fiscal</w:t>
      </w:r>
      <w:r w:rsidRPr="009E7E86">
        <w:rPr>
          <w:rFonts w:ascii="Times New Roman" w:hAnsi="Times New Roman"/>
          <w:bCs/>
          <w:iCs/>
          <w:sz w:val="24"/>
          <w:szCs w:val="24"/>
        </w:rPr>
        <w:t xml:space="preserve"> est, quant à lui, une décision administrative qui permet à l’entreprise de pouvoir bénéficier d’un régime fiscal particulier (en règle générale un avantage ou un allégement d’impôt). L’agrément doit être demandé et la demande doit être préalable. On distingue deux types d’agréments : les agréments discrétionnaires et les agréments de plein droit. L’agrément de plein droit est un agrément qui doit être accordé dès lors que les conditions posées par le texte sont réunies (son refus doit être motivé) ; l’agrément discrétionnaire est accordé ou non par l’administration et la décision n’est pas susceptible de recours.</w:t>
      </w:r>
    </w:p>
    <w:p w:rsidR="009E7E86" w:rsidRPr="009E7E86" w:rsidRDefault="00B36F4B" w:rsidP="009E7E86">
      <w:pPr>
        <w:jc w:val="both"/>
        <w:rPr>
          <w:rFonts w:ascii="Times New Roman" w:hAnsi="Times New Roman"/>
          <w:bCs/>
          <w:iCs/>
          <w:sz w:val="24"/>
          <w:szCs w:val="24"/>
        </w:rPr>
      </w:pPr>
      <w:r>
        <w:rPr>
          <w:rFonts w:ascii="Times New Roman" w:hAnsi="Times New Roman"/>
          <w:bCs/>
          <w:iCs/>
          <w:sz w:val="24"/>
          <w:szCs w:val="24"/>
        </w:rPr>
        <w:t>(</w:t>
      </w:r>
      <w:r w:rsidR="009E7E86" w:rsidRPr="00B36F4B">
        <w:rPr>
          <w:rFonts w:ascii="Times New Roman" w:hAnsi="Times New Roman"/>
          <w:bCs/>
          <w:i/>
          <w:iCs/>
          <w:sz w:val="24"/>
          <w:szCs w:val="24"/>
        </w:rPr>
        <w:t>Il existe des agréments en faveur des regroupements d’entreprises, de l’aménagement du territoire, de la conservation du patrimoine national ou encore des entreprises en difficulté et des PME.  Si l’entreprise qui a obtenu un agrément vient à ne plus respecter les conditions posées, elle s’expose à son retrait</w:t>
      </w:r>
      <w:r w:rsidR="009E7E86" w:rsidRPr="009E7E86">
        <w:rPr>
          <w:rFonts w:ascii="Times New Roman" w:hAnsi="Times New Roman"/>
          <w:bCs/>
          <w:iCs/>
          <w:sz w:val="24"/>
          <w:szCs w:val="24"/>
        </w:rPr>
        <w:t>.</w:t>
      </w:r>
      <w:r>
        <w:rPr>
          <w:rFonts w:ascii="Times New Roman" w:hAnsi="Times New Roman"/>
          <w:bCs/>
          <w:iCs/>
          <w:sz w:val="24"/>
          <w:szCs w:val="24"/>
        </w:rPr>
        <w:t xml:space="preserve">) </w:t>
      </w:r>
      <w:r>
        <w:rPr>
          <w:rFonts w:ascii="Times" w:hAnsi="Times"/>
          <w:i/>
          <w:sz w:val="24"/>
          <w:szCs w:val="24"/>
        </w:rPr>
        <w:t xml:space="preserve"> </w:t>
      </w:r>
    </w:p>
    <w:p w:rsidR="009E7E86" w:rsidRPr="00513427" w:rsidRDefault="009E7E86" w:rsidP="00513427">
      <w:pPr>
        <w:pStyle w:val="Paragraphedeliste"/>
        <w:numPr>
          <w:ilvl w:val="0"/>
          <w:numId w:val="5"/>
        </w:numPr>
        <w:ind w:left="426" w:hanging="426"/>
        <w:jc w:val="both"/>
        <w:rPr>
          <w:rFonts w:ascii="Times" w:hAnsi="Times"/>
          <w:b/>
          <w:sz w:val="24"/>
          <w:szCs w:val="24"/>
        </w:rPr>
      </w:pPr>
      <w:r w:rsidRPr="00513427">
        <w:rPr>
          <w:rFonts w:ascii="Times" w:hAnsi="Times"/>
          <w:b/>
          <w:sz w:val="24"/>
          <w:szCs w:val="24"/>
        </w:rPr>
        <w:t>En matière de prix de transfert, existe-t-il une procédure spécifique de rescrit ou d’agrément ? En quoi consiste-t-elle ?</w:t>
      </w:r>
    </w:p>
    <w:p w:rsidR="009E7E86" w:rsidRPr="009E7E86" w:rsidRDefault="009E7E86" w:rsidP="009E7E86">
      <w:pPr>
        <w:jc w:val="both"/>
        <w:rPr>
          <w:rFonts w:ascii="Times New Roman" w:hAnsi="Times New Roman"/>
          <w:bCs/>
          <w:iCs/>
          <w:sz w:val="24"/>
          <w:szCs w:val="24"/>
        </w:rPr>
      </w:pPr>
      <w:r w:rsidRPr="009E7E86">
        <w:rPr>
          <w:rFonts w:ascii="Times New Roman" w:hAnsi="Times New Roman"/>
          <w:bCs/>
          <w:iCs/>
          <w:sz w:val="24"/>
          <w:szCs w:val="24"/>
        </w:rPr>
        <w:t xml:space="preserve">Il existe un rescrit spécifique en matière de prix de transfert ; il s’agit d’un </w:t>
      </w:r>
      <w:r w:rsidRPr="009E7E86">
        <w:rPr>
          <w:rFonts w:ascii="Times New Roman" w:hAnsi="Times New Roman"/>
          <w:bCs/>
          <w:iCs/>
          <w:sz w:val="24"/>
          <w:szCs w:val="24"/>
          <w:u w:val="single"/>
        </w:rPr>
        <w:t>accord préalable portant sur la méthode de la détermination des prix de transfert à l’étranger</w:t>
      </w:r>
      <w:r w:rsidRPr="009E7E86">
        <w:rPr>
          <w:rFonts w:ascii="Times New Roman" w:hAnsi="Times New Roman"/>
          <w:bCs/>
          <w:iCs/>
          <w:sz w:val="24"/>
          <w:szCs w:val="24"/>
        </w:rPr>
        <w:t>, régi par l’article L 80 B 7</w:t>
      </w:r>
      <w:r w:rsidRPr="009E7E86">
        <w:rPr>
          <w:rFonts w:ascii="Times New Roman" w:hAnsi="Times New Roman"/>
          <w:bCs/>
          <w:iCs/>
          <w:sz w:val="24"/>
          <w:szCs w:val="24"/>
          <w:vertAlign w:val="superscript"/>
        </w:rPr>
        <w:t xml:space="preserve">°  </w:t>
      </w:r>
      <w:r w:rsidRPr="009E7E86">
        <w:rPr>
          <w:rFonts w:ascii="Times New Roman" w:hAnsi="Times New Roman"/>
          <w:bCs/>
          <w:iCs/>
          <w:sz w:val="24"/>
          <w:szCs w:val="24"/>
        </w:rPr>
        <w:t xml:space="preserve"> du LPF.</w:t>
      </w:r>
    </w:p>
    <w:p w:rsidR="00B36F4B" w:rsidRPr="009E7E86" w:rsidRDefault="009E7E86" w:rsidP="00B36F4B">
      <w:pPr>
        <w:jc w:val="both"/>
        <w:rPr>
          <w:rFonts w:ascii="Times New Roman" w:hAnsi="Times New Roman"/>
          <w:bCs/>
          <w:iCs/>
          <w:sz w:val="24"/>
          <w:szCs w:val="24"/>
        </w:rPr>
      </w:pPr>
      <w:r w:rsidRPr="009E7E86">
        <w:rPr>
          <w:rFonts w:ascii="Times New Roman" w:hAnsi="Times New Roman"/>
          <w:bCs/>
          <w:iCs/>
          <w:sz w:val="24"/>
          <w:szCs w:val="24"/>
        </w:rPr>
        <w:t xml:space="preserve">Cet accord préalable permet d’éviter une remise en cause ultérieure au regard des dispositions de l’article 57 du CGI portant sur les transferts indirects de bénéfices entre sociétés liées, sauf s‘il a été retenu sur présentation erronée des faits ; il vaut pour une période de trois à cinq ans et peut être renouvelé. L’administration n’est pas tenue de répondre à la sollicitation de l’entreprise et une absence de réponse ne vaut pas accord tacite.   </w:t>
      </w:r>
    </w:p>
    <w:p w:rsidR="00513427" w:rsidRDefault="00513427">
      <w:pPr>
        <w:rPr>
          <w:rFonts w:ascii="Times New Roman" w:eastAsia="Times New Roman" w:hAnsi="Times New Roman"/>
          <w:b/>
          <w:bCs/>
          <w:caps/>
          <w:position w:val="-48"/>
          <w:sz w:val="28"/>
          <w:szCs w:val="28"/>
          <w:lang w:eastAsia="fr-FR"/>
        </w:rPr>
      </w:pPr>
      <w:r>
        <w:rPr>
          <w:caps/>
          <w:position w:val="-48"/>
          <w:sz w:val="28"/>
          <w:szCs w:val="28"/>
        </w:rPr>
        <w:br w:type="page"/>
      </w:r>
    </w:p>
    <w:p w:rsidR="00C10DCD" w:rsidRDefault="00C10DCD" w:rsidP="00C10DC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lastRenderedPageBreak/>
        <w:t>DOSSIER 3 : DROIT DE LA CONCURRENCE</w:t>
      </w:r>
    </w:p>
    <w:p w:rsidR="00C10DCD" w:rsidRPr="00C10DCD" w:rsidRDefault="00C10DCD" w:rsidP="00C10DCD">
      <w:pPr>
        <w:jc w:val="center"/>
        <w:rPr>
          <w:rFonts w:ascii="Times New Roman" w:hAnsi="Times New Roman"/>
          <w:b/>
          <w:sz w:val="24"/>
          <w:szCs w:val="24"/>
        </w:rPr>
      </w:pPr>
    </w:p>
    <w:p w:rsidR="00C10DCD" w:rsidRPr="00C10DCD" w:rsidRDefault="00C10DCD" w:rsidP="00C10DCD">
      <w:pPr>
        <w:pStyle w:val="Paragraphedeliste"/>
        <w:numPr>
          <w:ilvl w:val="0"/>
          <w:numId w:val="2"/>
        </w:numPr>
        <w:jc w:val="both"/>
        <w:rPr>
          <w:rFonts w:ascii="Times New Roman" w:hAnsi="Times New Roman"/>
          <w:b/>
          <w:sz w:val="24"/>
          <w:szCs w:val="24"/>
        </w:rPr>
      </w:pPr>
      <w:r w:rsidRPr="00C10DCD">
        <w:rPr>
          <w:rFonts w:ascii="Times New Roman" w:hAnsi="Times New Roman"/>
          <w:b/>
          <w:sz w:val="24"/>
          <w:szCs w:val="24"/>
        </w:rPr>
        <w:t>La société</w:t>
      </w:r>
      <w:r w:rsidR="00B3429A">
        <w:rPr>
          <w:rFonts w:ascii="Times New Roman" w:hAnsi="Times New Roman"/>
          <w:b/>
          <w:sz w:val="24"/>
          <w:szCs w:val="24"/>
        </w:rPr>
        <w:t xml:space="preserve"> Laboratoires</w:t>
      </w:r>
      <w:r w:rsidRPr="00C10DCD">
        <w:rPr>
          <w:rFonts w:ascii="Times New Roman" w:hAnsi="Times New Roman"/>
          <w:b/>
          <w:sz w:val="24"/>
          <w:szCs w:val="24"/>
        </w:rPr>
        <w:t xml:space="preserve"> LUCAS envisage une action en concurrence déloyale à l’encontre de la société</w:t>
      </w:r>
      <w:r w:rsidR="00B3429A">
        <w:rPr>
          <w:rFonts w:ascii="Times New Roman" w:hAnsi="Times New Roman"/>
          <w:b/>
          <w:sz w:val="24"/>
          <w:szCs w:val="24"/>
        </w:rPr>
        <w:t xml:space="preserve"> Laboratoires</w:t>
      </w:r>
      <w:r w:rsidRPr="00C10DCD">
        <w:rPr>
          <w:rFonts w:ascii="Times New Roman" w:hAnsi="Times New Roman"/>
          <w:b/>
          <w:sz w:val="24"/>
          <w:szCs w:val="24"/>
        </w:rPr>
        <w:t xml:space="preserve"> BEAUJOUR. Les éléments constitutifs de cette action sont-ils réunis en l’espèce ?</w:t>
      </w:r>
    </w:p>
    <w:p w:rsidR="00C10DCD" w:rsidRPr="00B36F4B" w:rsidRDefault="00C10DCD" w:rsidP="00C10DCD">
      <w:pPr>
        <w:jc w:val="both"/>
        <w:rPr>
          <w:rFonts w:ascii="Times New Roman" w:hAnsi="Times New Roman"/>
          <w:bCs/>
          <w:iCs/>
          <w:sz w:val="24"/>
          <w:szCs w:val="24"/>
        </w:rPr>
      </w:pPr>
      <w:r w:rsidRPr="00C10DCD">
        <w:rPr>
          <w:rFonts w:ascii="Times New Roman" w:hAnsi="Times New Roman"/>
          <w:sz w:val="24"/>
          <w:szCs w:val="24"/>
        </w:rPr>
        <w:t>Les agissements relatés relèvent  de la concurrence déloyale et plus précisément du « dénigrement ».</w:t>
      </w:r>
    </w:p>
    <w:p w:rsidR="00B36F4B" w:rsidRPr="009E7E86" w:rsidRDefault="00C10DCD" w:rsidP="00B36F4B">
      <w:pPr>
        <w:jc w:val="both"/>
        <w:rPr>
          <w:rFonts w:ascii="Times New Roman" w:hAnsi="Times New Roman"/>
          <w:bCs/>
          <w:iCs/>
          <w:sz w:val="24"/>
          <w:szCs w:val="24"/>
        </w:rPr>
      </w:pPr>
      <w:r w:rsidRPr="00C10DCD">
        <w:rPr>
          <w:rFonts w:ascii="Times New Roman" w:hAnsi="Times New Roman"/>
          <w:sz w:val="24"/>
          <w:szCs w:val="24"/>
        </w:rPr>
        <w:t xml:space="preserve">La diffusion de l’article de presse </w:t>
      </w:r>
      <w:r w:rsidRPr="00C10DCD">
        <w:rPr>
          <w:rFonts w:ascii="Times New Roman" w:hAnsi="Times New Roman"/>
          <w:sz w:val="24"/>
          <w:szCs w:val="24"/>
          <w:u w:val="single"/>
        </w:rPr>
        <w:t>(fait générateur ou fait dommageable)</w:t>
      </w:r>
      <w:r w:rsidRPr="00C10DCD">
        <w:rPr>
          <w:rFonts w:ascii="Times New Roman" w:hAnsi="Times New Roman"/>
          <w:sz w:val="24"/>
          <w:szCs w:val="24"/>
        </w:rPr>
        <w:t xml:space="preserve"> a pour but de porter atte</w:t>
      </w:r>
      <w:r w:rsidR="00BF0AAC">
        <w:rPr>
          <w:rFonts w:ascii="Times New Roman" w:hAnsi="Times New Roman"/>
          <w:sz w:val="24"/>
          <w:szCs w:val="24"/>
        </w:rPr>
        <w:t>inte à l’image de l’entreprise L</w:t>
      </w:r>
      <w:r w:rsidRPr="00C10DCD">
        <w:rPr>
          <w:rFonts w:ascii="Times New Roman" w:hAnsi="Times New Roman"/>
          <w:sz w:val="24"/>
          <w:szCs w:val="24"/>
        </w:rPr>
        <w:t xml:space="preserve">aboratoires LUCAS auprès de sa clientèle en diffusant une information péjorative ou malveillante sur l’entreprise ou sur sa production. Cette diffusion cause à l’entreprise Laboratoires LUCAS un </w:t>
      </w:r>
      <w:r w:rsidRPr="00C10DCD">
        <w:rPr>
          <w:rFonts w:ascii="Times New Roman" w:hAnsi="Times New Roman"/>
          <w:sz w:val="24"/>
          <w:szCs w:val="24"/>
          <w:u w:val="single"/>
        </w:rPr>
        <w:t>préjudice</w:t>
      </w:r>
      <w:r w:rsidRPr="00C10DCD">
        <w:rPr>
          <w:rFonts w:ascii="Times New Roman" w:hAnsi="Times New Roman"/>
          <w:sz w:val="24"/>
          <w:szCs w:val="24"/>
        </w:rPr>
        <w:t xml:space="preserve"> (baisse du chiffre d’affaires). Il y a donc un </w:t>
      </w:r>
      <w:r w:rsidRPr="00C10DCD">
        <w:rPr>
          <w:rFonts w:ascii="Times New Roman" w:hAnsi="Times New Roman"/>
          <w:sz w:val="24"/>
          <w:szCs w:val="24"/>
          <w:u w:val="single"/>
        </w:rPr>
        <w:t>lien de causalité</w:t>
      </w:r>
      <w:r w:rsidRPr="00C10DCD">
        <w:rPr>
          <w:rFonts w:ascii="Times New Roman" w:hAnsi="Times New Roman"/>
          <w:sz w:val="24"/>
          <w:szCs w:val="24"/>
        </w:rPr>
        <w:t xml:space="preserve"> entre la diffusion de l’article et la baisse du chiffre d’affaires de la société Laboratoires LUCAS </w:t>
      </w:r>
      <w:r w:rsidRPr="00C10DCD">
        <w:rPr>
          <w:rFonts w:ascii="Times New Roman" w:hAnsi="Times New Roman"/>
          <w:i/>
          <w:sz w:val="24"/>
          <w:szCs w:val="24"/>
        </w:rPr>
        <w:t xml:space="preserve">(Pour une illustration très proche ; </w:t>
      </w:r>
      <w:r w:rsidRPr="00C10DCD">
        <w:rPr>
          <w:rFonts w:ascii="Times New Roman" w:eastAsia="Times New Roman" w:hAnsi="Times New Roman"/>
          <w:i/>
          <w:iCs/>
          <w:sz w:val="24"/>
          <w:szCs w:val="24"/>
          <w:lang w:eastAsia="fr-FR"/>
        </w:rPr>
        <w:t>Cour de cassation, Chambre commerciale, 23 mars 1999 (pourvoi n°96-22.334).</w:t>
      </w:r>
    </w:p>
    <w:p w:rsidR="00C10DCD" w:rsidRPr="00C10DCD" w:rsidRDefault="00C10DCD" w:rsidP="00C10DCD">
      <w:pPr>
        <w:jc w:val="both"/>
        <w:rPr>
          <w:rFonts w:ascii="Times New Roman" w:eastAsia="Times New Roman" w:hAnsi="Times New Roman"/>
          <w:iCs/>
          <w:sz w:val="24"/>
          <w:szCs w:val="24"/>
          <w:lang w:eastAsia="fr-FR"/>
        </w:rPr>
      </w:pPr>
    </w:p>
    <w:p w:rsidR="00C10DCD" w:rsidRPr="00B36F4B" w:rsidRDefault="00C10DCD" w:rsidP="00C10DCD">
      <w:pPr>
        <w:pStyle w:val="Paragraphedeliste"/>
        <w:numPr>
          <w:ilvl w:val="0"/>
          <w:numId w:val="2"/>
        </w:numPr>
        <w:jc w:val="both"/>
        <w:rPr>
          <w:rFonts w:ascii="Times New Roman" w:hAnsi="Times New Roman"/>
          <w:b/>
          <w:i/>
          <w:sz w:val="24"/>
          <w:szCs w:val="24"/>
        </w:rPr>
      </w:pPr>
      <w:r w:rsidRPr="00C10DCD">
        <w:rPr>
          <w:rFonts w:ascii="Times New Roman" w:hAnsi="Times New Roman"/>
          <w:b/>
          <w:sz w:val="24"/>
          <w:szCs w:val="24"/>
        </w:rPr>
        <w:t>Devant quelle juridiction la société</w:t>
      </w:r>
      <w:r w:rsidR="00B3429A">
        <w:rPr>
          <w:rFonts w:ascii="Times New Roman" w:hAnsi="Times New Roman"/>
          <w:b/>
          <w:sz w:val="24"/>
          <w:szCs w:val="24"/>
        </w:rPr>
        <w:t xml:space="preserve"> Laboratoires</w:t>
      </w:r>
      <w:r w:rsidRPr="00C10DCD">
        <w:rPr>
          <w:rFonts w:ascii="Times New Roman" w:hAnsi="Times New Roman"/>
          <w:b/>
          <w:sz w:val="24"/>
          <w:szCs w:val="24"/>
        </w:rPr>
        <w:t xml:space="preserve"> LUCAS doit-elle exercer son action ?</w:t>
      </w:r>
    </w:p>
    <w:p w:rsidR="00C10DCD" w:rsidRPr="00B36F4B" w:rsidRDefault="00C10DCD" w:rsidP="00C10DCD">
      <w:pPr>
        <w:jc w:val="both"/>
        <w:rPr>
          <w:rFonts w:ascii="Times New Roman" w:hAnsi="Times New Roman"/>
          <w:bCs/>
          <w:iCs/>
          <w:sz w:val="24"/>
          <w:szCs w:val="24"/>
        </w:rPr>
      </w:pPr>
      <w:r w:rsidRPr="00C10DCD">
        <w:rPr>
          <w:rFonts w:ascii="Times New Roman" w:hAnsi="Times New Roman"/>
          <w:sz w:val="24"/>
          <w:szCs w:val="24"/>
        </w:rPr>
        <w:t>S’agissant d’un litige entre sociétés commerciales, c’est le tribunal de commerce qui sera compétent.</w:t>
      </w:r>
    </w:p>
    <w:p w:rsidR="00C10DCD" w:rsidRPr="00513427" w:rsidRDefault="00C10DCD" w:rsidP="00C10DCD">
      <w:pPr>
        <w:pStyle w:val="Paragraphedeliste"/>
        <w:numPr>
          <w:ilvl w:val="0"/>
          <w:numId w:val="2"/>
        </w:numPr>
        <w:jc w:val="both"/>
        <w:rPr>
          <w:rFonts w:ascii="Times New Roman" w:hAnsi="Times New Roman"/>
          <w:b/>
          <w:sz w:val="24"/>
          <w:szCs w:val="24"/>
        </w:rPr>
      </w:pPr>
      <w:r w:rsidRPr="00513427">
        <w:rPr>
          <w:rFonts w:ascii="Times New Roman" w:hAnsi="Times New Roman"/>
          <w:b/>
          <w:sz w:val="24"/>
          <w:szCs w:val="24"/>
        </w:rPr>
        <w:t>D’une manière générale et en dehors du cas présenté, citer deux autres formes de pratiques relevant de la concurrence déloyale.</w:t>
      </w:r>
    </w:p>
    <w:p w:rsidR="00C10DCD" w:rsidRPr="00022841" w:rsidRDefault="00C10DCD" w:rsidP="00C10DCD">
      <w:pPr>
        <w:jc w:val="both"/>
        <w:rPr>
          <w:rFonts w:ascii="Times New Roman" w:hAnsi="Times New Roman"/>
          <w:i/>
          <w:sz w:val="24"/>
          <w:szCs w:val="24"/>
        </w:rPr>
      </w:pPr>
      <w:r w:rsidRPr="00C10DCD">
        <w:rPr>
          <w:rFonts w:ascii="Times New Roman" w:hAnsi="Times New Roman"/>
          <w:sz w:val="24"/>
          <w:szCs w:val="24"/>
        </w:rPr>
        <w:t xml:space="preserve">La concurrence déloyale peut résulter de trois autres pratiques </w:t>
      </w:r>
      <w:r w:rsidRPr="00B43FB9">
        <w:rPr>
          <w:rFonts w:ascii="Times New Roman" w:hAnsi="Times New Roman"/>
          <w:sz w:val="24"/>
          <w:szCs w:val="24"/>
        </w:rPr>
        <w:t>:</w:t>
      </w:r>
    </w:p>
    <w:p w:rsidR="00C10DCD" w:rsidRPr="00C10DCD" w:rsidRDefault="00C10DCD" w:rsidP="00C10DCD">
      <w:pPr>
        <w:pStyle w:val="Paragraphedeliste"/>
        <w:numPr>
          <w:ilvl w:val="0"/>
          <w:numId w:val="1"/>
        </w:numPr>
        <w:jc w:val="both"/>
        <w:rPr>
          <w:rFonts w:ascii="Times New Roman" w:hAnsi="Times New Roman"/>
          <w:sz w:val="24"/>
          <w:szCs w:val="24"/>
        </w:rPr>
      </w:pPr>
      <w:r w:rsidRPr="00C10DCD">
        <w:rPr>
          <w:rFonts w:ascii="Times New Roman" w:hAnsi="Times New Roman"/>
          <w:sz w:val="24"/>
          <w:szCs w:val="24"/>
        </w:rPr>
        <w:t>Les actes destinés à créer une confusion dans l’esprit des clients (</w:t>
      </w:r>
      <w:r w:rsidRPr="00C10DCD">
        <w:rPr>
          <w:rFonts w:ascii="Times New Roman" w:hAnsi="Times New Roman"/>
          <w:i/>
          <w:sz w:val="24"/>
          <w:szCs w:val="24"/>
        </w:rPr>
        <w:t>par exemple l’imitation portant sur le nom, l’enseigne, la marque, les produits,….</w:t>
      </w:r>
      <w:r w:rsidRPr="00C10DCD">
        <w:rPr>
          <w:rFonts w:ascii="Times New Roman" w:hAnsi="Times New Roman"/>
          <w:sz w:val="24"/>
          <w:szCs w:val="24"/>
        </w:rPr>
        <w:t>) ;</w:t>
      </w:r>
    </w:p>
    <w:p w:rsidR="00C10DCD" w:rsidRPr="00C10DCD" w:rsidRDefault="00C10DCD" w:rsidP="00C10DCD">
      <w:pPr>
        <w:pStyle w:val="Paragraphedeliste"/>
        <w:numPr>
          <w:ilvl w:val="0"/>
          <w:numId w:val="1"/>
        </w:numPr>
        <w:jc w:val="both"/>
        <w:rPr>
          <w:rFonts w:ascii="Times New Roman" w:hAnsi="Times New Roman"/>
          <w:sz w:val="24"/>
          <w:szCs w:val="24"/>
        </w:rPr>
      </w:pPr>
      <w:r w:rsidRPr="00C10DCD">
        <w:rPr>
          <w:rFonts w:ascii="Times New Roman" w:hAnsi="Times New Roman"/>
          <w:sz w:val="24"/>
          <w:szCs w:val="24"/>
        </w:rPr>
        <w:t>Les actes destinés à la désorganisation économique (</w:t>
      </w:r>
      <w:r w:rsidRPr="00C10DCD">
        <w:rPr>
          <w:rFonts w:ascii="Times New Roman" w:hAnsi="Times New Roman"/>
          <w:i/>
          <w:sz w:val="24"/>
          <w:szCs w:val="24"/>
        </w:rPr>
        <w:t>débauchage, désorganisation de l’activité commerciale,…</w:t>
      </w:r>
      <w:r w:rsidRPr="00C10DCD">
        <w:rPr>
          <w:rFonts w:ascii="Times New Roman" w:hAnsi="Times New Roman"/>
          <w:sz w:val="24"/>
          <w:szCs w:val="24"/>
        </w:rPr>
        <w:t>)</w:t>
      </w:r>
      <w:r w:rsidR="003857A0">
        <w:rPr>
          <w:rFonts w:ascii="Times New Roman" w:hAnsi="Times New Roman"/>
          <w:sz w:val="24"/>
          <w:szCs w:val="24"/>
        </w:rPr>
        <w:t xml:space="preserve"> </w:t>
      </w:r>
      <w:r w:rsidRPr="00C10DCD">
        <w:rPr>
          <w:rFonts w:ascii="Times New Roman" w:hAnsi="Times New Roman"/>
          <w:sz w:val="24"/>
          <w:szCs w:val="24"/>
        </w:rPr>
        <w:t>;</w:t>
      </w:r>
    </w:p>
    <w:p w:rsidR="00240B4A" w:rsidRPr="00B43FB9" w:rsidRDefault="00C10DCD" w:rsidP="00C10DCD">
      <w:pPr>
        <w:pStyle w:val="Paragraphedeliste"/>
        <w:numPr>
          <w:ilvl w:val="0"/>
          <w:numId w:val="1"/>
        </w:numPr>
        <w:jc w:val="both"/>
        <w:rPr>
          <w:rFonts w:ascii="Times New Roman" w:hAnsi="Times New Roman"/>
          <w:sz w:val="24"/>
          <w:szCs w:val="24"/>
        </w:rPr>
      </w:pPr>
      <w:r w:rsidRPr="00C10DCD">
        <w:rPr>
          <w:rFonts w:ascii="Times New Roman" w:hAnsi="Times New Roman"/>
          <w:sz w:val="24"/>
          <w:szCs w:val="24"/>
        </w:rPr>
        <w:t>Les agissements parasitaires (</w:t>
      </w:r>
      <w:r w:rsidRPr="00C10DCD">
        <w:rPr>
          <w:rFonts w:ascii="Times New Roman" w:hAnsi="Times New Roman"/>
          <w:i/>
          <w:sz w:val="24"/>
          <w:szCs w:val="24"/>
        </w:rPr>
        <w:t>reproduction de produits ou de pratiques, exploitation de la publicité d’un concurrent, etc…).</w:t>
      </w:r>
    </w:p>
    <w:p w:rsidR="00C10DCD" w:rsidRDefault="00C10DCD" w:rsidP="00C10DC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sz w:val="24"/>
          <w:szCs w:val="24"/>
        </w:rPr>
        <w:t xml:space="preserve"> </w:t>
      </w:r>
      <w:r>
        <w:rPr>
          <w:caps/>
          <w:position w:val="-48"/>
          <w:sz w:val="28"/>
          <w:szCs w:val="28"/>
        </w:rPr>
        <w:t>DOSSIER 4 : ENTREPRISE EN DIFFICULTE</w:t>
      </w:r>
    </w:p>
    <w:p w:rsidR="00C10DCD" w:rsidRPr="00C10DCD" w:rsidRDefault="00C10DCD" w:rsidP="00C10DCD">
      <w:pPr>
        <w:jc w:val="center"/>
        <w:rPr>
          <w:rFonts w:ascii="Times New Roman" w:hAnsi="Times New Roman"/>
          <w:b/>
          <w:sz w:val="24"/>
          <w:szCs w:val="24"/>
        </w:rPr>
      </w:pPr>
    </w:p>
    <w:p w:rsidR="00C10DCD" w:rsidRDefault="00C10DCD" w:rsidP="00513427">
      <w:pPr>
        <w:pStyle w:val="Paragraphedeliste"/>
        <w:numPr>
          <w:ilvl w:val="0"/>
          <w:numId w:val="6"/>
        </w:numPr>
        <w:jc w:val="both"/>
        <w:rPr>
          <w:rFonts w:ascii="Times New Roman" w:hAnsi="Times New Roman"/>
          <w:b/>
          <w:sz w:val="24"/>
          <w:szCs w:val="24"/>
        </w:rPr>
      </w:pPr>
      <w:r w:rsidRPr="00C10DCD">
        <w:rPr>
          <w:rFonts w:ascii="Times New Roman" w:hAnsi="Times New Roman"/>
          <w:b/>
          <w:sz w:val="24"/>
          <w:szCs w:val="24"/>
        </w:rPr>
        <w:t>Rappeler l’objectif de la procédure de sauvegarde et indiquer si elle intervient avant ou après la date de cessation des paiements.</w:t>
      </w:r>
      <w:r w:rsidR="00022841">
        <w:rPr>
          <w:rFonts w:ascii="Times New Roman" w:hAnsi="Times New Roman"/>
          <w:b/>
          <w:sz w:val="24"/>
          <w:szCs w:val="24"/>
        </w:rPr>
        <w:t xml:space="preserve"> </w:t>
      </w:r>
    </w:p>
    <w:p w:rsidR="00B43FB9" w:rsidRPr="00022841" w:rsidRDefault="00B43FB9" w:rsidP="00B83E62">
      <w:pPr>
        <w:pStyle w:val="Paragraphedeliste"/>
        <w:ind w:left="0"/>
        <w:rPr>
          <w:rFonts w:ascii="Times New Roman" w:hAnsi="Times New Roman"/>
          <w:b/>
          <w:i/>
          <w:sz w:val="24"/>
          <w:szCs w:val="24"/>
        </w:rPr>
      </w:pPr>
    </w:p>
    <w:p w:rsidR="00C10DCD" w:rsidRPr="00C10DCD" w:rsidRDefault="00C10DCD" w:rsidP="00B83E62">
      <w:pPr>
        <w:pStyle w:val="Paragraphedeliste"/>
        <w:ind w:left="0"/>
        <w:jc w:val="both"/>
        <w:rPr>
          <w:rFonts w:ascii="Times New Roman" w:hAnsi="Times New Roman"/>
          <w:sz w:val="24"/>
          <w:szCs w:val="24"/>
        </w:rPr>
      </w:pPr>
      <w:r w:rsidRPr="00C10DCD">
        <w:rPr>
          <w:rFonts w:ascii="Times New Roman" w:hAnsi="Times New Roman"/>
          <w:sz w:val="24"/>
          <w:szCs w:val="24"/>
        </w:rPr>
        <w:t xml:space="preserve">La procédure de sauvegarde est une procédure ouverte sur demande d’un débiteur qui justifie de difficultés qu’il n’est pas en mesure de surmonter, de nature à le conduire à la cessation des paiements. Cette procédure est destinée à faciliter la réorganisation de l’entreprise afin de permettre la poursuite de l’activité économique, le maintien de l’emploi et l’apurement du passif </w:t>
      </w:r>
      <w:r w:rsidRPr="00240B4A">
        <w:rPr>
          <w:rFonts w:ascii="Times New Roman" w:hAnsi="Times New Roman"/>
          <w:i/>
          <w:sz w:val="24"/>
          <w:szCs w:val="24"/>
        </w:rPr>
        <w:t>(Code de commerce, art. L 620-1).</w:t>
      </w:r>
      <w:r w:rsidR="00022841">
        <w:rPr>
          <w:rFonts w:ascii="Times New Roman" w:hAnsi="Times New Roman"/>
          <w:i/>
          <w:sz w:val="24"/>
          <w:szCs w:val="24"/>
        </w:rPr>
        <w:t xml:space="preserve"> </w:t>
      </w:r>
    </w:p>
    <w:p w:rsidR="00C10DCD" w:rsidRPr="00B43FB9" w:rsidRDefault="00C10DCD" w:rsidP="00B83E62">
      <w:pPr>
        <w:pStyle w:val="Paragraphedeliste"/>
        <w:ind w:left="0"/>
        <w:jc w:val="both"/>
        <w:rPr>
          <w:rFonts w:ascii="Times New Roman" w:hAnsi="Times New Roman"/>
          <w:i/>
          <w:sz w:val="24"/>
          <w:szCs w:val="24"/>
        </w:rPr>
      </w:pPr>
      <w:r w:rsidRPr="00C10DCD">
        <w:rPr>
          <w:rFonts w:ascii="Times New Roman" w:hAnsi="Times New Roman"/>
          <w:sz w:val="24"/>
          <w:szCs w:val="24"/>
        </w:rPr>
        <w:lastRenderedPageBreak/>
        <w:t xml:space="preserve">La procédure de </w:t>
      </w:r>
      <w:r w:rsidRPr="00022841">
        <w:rPr>
          <w:rFonts w:ascii="Times New Roman" w:hAnsi="Times New Roman"/>
          <w:sz w:val="24"/>
          <w:szCs w:val="24"/>
          <w:u w:val="single"/>
        </w:rPr>
        <w:t>sauvegarde intervient avant la cessation des paiements</w:t>
      </w:r>
      <w:r w:rsidRPr="00C10DCD">
        <w:rPr>
          <w:rFonts w:ascii="Times New Roman" w:hAnsi="Times New Roman"/>
          <w:sz w:val="24"/>
          <w:szCs w:val="24"/>
        </w:rPr>
        <w:t xml:space="preserve"> alors que la procédure de redressement judiciaire intervient après. </w:t>
      </w:r>
    </w:p>
    <w:p w:rsidR="00C10DCD" w:rsidRPr="00513427" w:rsidRDefault="00C10DCD" w:rsidP="00513427">
      <w:pPr>
        <w:pStyle w:val="Paragraphedeliste"/>
        <w:numPr>
          <w:ilvl w:val="0"/>
          <w:numId w:val="6"/>
        </w:numPr>
        <w:jc w:val="both"/>
        <w:rPr>
          <w:rFonts w:ascii="Times New Roman" w:hAnsi="Times New Roman"/>
          <w:b/>
          <w:sz w:val="24"/>
          <w:szCs w:val="24"/>
        </w:rPr>
      </w:pPr>
      <w:r w:rsidRPr="00C10DCD">
        <w:rPr>
          <w:rFonts w:ascii="Times New Roman" w:hAnsi="Times New Roman"/>
          <w:b/>
          <w:sz w:val="24"/>
          <w:szCs w:val="24"/>
        </w:rPr>
        <w:t xml:space="preserve">Quel est le rôle du mandataire judiciaire dont il est question dans l’extrait du BODACC ? </w:t>
      </w:r>
    </w:p>
    <w:p w:rsidR="00B43FB9" w:rsidRPr="00022841" w:rsidRDefault="00B43FB9" w:rsidP="00B83E62">
      <w:pPr>
        <w:pStyle w:val="Paragraphedeliste"/>
        <w:ind w:left="0"/>
        <w:rPr>
          <w:rFonts w:ascii="Times New Roman" w:hAnsi="Times New Roman"/>
          <w:b/>
          <w:i/>
          <w:sz w:val="24"/>
          <w:szCs w:val="24"/>
        </w:rPr>
      </w:pPr>
    </w:p>
    <w:p w:rsidR="00C10DCD" w:rsidRPr="00022841" w:rsidRDefault="00C10DCD" w:rsidP="00B83E62">
      <w:pPr>
        <w:pStyle w:val="Paragraphedeliste"/>
        <w:ind w:left="0"/>
        <w:jc w:val="both"/>
        <w:rPr>
          <w:rFonts w:ascii="Times New Roman" w:hAnsi="Times New Roman"/>
          <w:i/>
          <w:sz w:val="24"/>
          <w:szCs w:val="24"/>
        </w:rPr>
      </w:pPr>
      <w:r w:rsidRPr="00C10DCD">
        <w:rPr>
          <w:rFonts w:ascii="Times New Roman" w:hAnsi="Times New Roman"/>
          <w:sz w:val="24"/>
          <w:szCs w:val="24"/>
        </w:rPr>
        <w:t xml:space="preserve">Le mandataire judiciaire a pour mission la défense des intérêts des créanciers.  Désigné par le tribunal, il a seul qualité pour agir au nom et dans l’intérêt collectif des créanciers </w:t>
      </w:r>
      <w:r w:rsidRPr="00240B4A">
        <w:rPr>
          <w:rFonts w:ascii="Times New Roman" w:hAnsi="Times New Roman"/>
          <w:i/>
          <w:sz w:val="24"/>
          <w:szCs w:val="24"/>
        </w:rPr>
        <w:t>(Code de commerce, art. L 622-20, al.1)</w:t>
      </w:r>
      <w:r w:rsidRPr="00C10DCD">
        <w:rPr>
          <w:rFonts w:ascii="Times New Roman" w:hAnsi="Times New Roman"/>
          <w:sz w:val="24"/>
          <w:szCs w:val="24"/>
        </w:rPr>
        <w:t>. Il doit, entre autres, exercer les actions en justice qui mettent en jeu l’intérêt collectif des créanciers.</w:t>
      </w:r>
    </w:p>
    <w:p w:rsidR="00C10DCD" w:rsidRPr="00C10DCD" w:rsidRDefault="00C10DCD" w:rsidP="00B83E62">
      <w:pPr>
        <w:pStyle w:val="Paragraphedeliste"/>
        <w:ind w:left="0"/>
        <w:jc w:val="both"/>
        <w:rPr>
          <w:rFonts w:ascii="Times New Roman" w:hAnsi="Times New Roman"/>
          <w:sz w:val="24"/>
          <w:szCs w:val="24"/>
        </w:rPr>
      </w:pPr>
    </w:p>
    <w:p w:rsidR="00C10DCD" w:rsidRDefault="00C10DCD" w:rsidP="00513427">
      <w:pPr>
        <w:pStyle w:val="Paragraphedeliste"/>
        <w:numPr>
          <w:ilvl w:val="0"/>
          <w:numId w:val="6"/>
        </w:numPr>
        <w:jc w:val="both"/>
        <w:rPr>
          <w:rFonts w:ascii="Times New Roman" w:hAnsi="Times New Roman"/>
          <w:b/>
          <w:sz w:val="24"/>
          <w:szCs w:val="24"/>
        </w:rPr>
      </w:pPr>
      <w:r w:rsidRPr="00C10DCD">
        <w:rPr>
          <w:rFonts w:ascii="Times New Roman" w:hAnsi="Times New Roman"/>
          <w:b/>
          <w:sz w:val="24"/>
          <w:szCs w:val="24"/>
        </w:rPr>
        <w:t>A qui est confiée la gestion de l’entreprise pendant la période de sauvegarde ?</w:t>
      </w:r>
      <w:r w:rsidR="00022841">
        <w:rPr>
          <w:rFonts w:ascii="Times New Roman" w:hAnsi="Times New Roman"/>
          <w:b/>
          <w:sz w:val="24"/>
          <w:szCs w:val="24"/>
        </w:rPr>
        <w:t xml:space="preserve"> </w:t>
      </w:r>
    </w:p>
    <w:p w:rsidR="00B43FB9" w:rsidRPr="00C10DCD" w:rsidRDefault="00B43FB9" w:rsidP="00B83E62">
      <w:pPr>
        <w:pStyle w:val="Paragraphedeliste"/>
        <w:ind w:left="0"/>
        <w:rPr>
          <w:rFonts w:ascii="Times New Roman" w:hAnsi="Times New Roman"/>
          <w:b/>
          <w:sz w:val="24"/>
          <w:szCs w:val="24"/>
        </w:rPr>
      </w:pPr>
    </w:p>
    <w:p w:rsidR="00C10DCD" w:rsidRPr="00C10DCD" w:rsidRDefault="00C10DCD" w:rsidP="00B83E62">
      <w:pPr>
        <w:pStyle w:val="Paragraphedeliste"/>
        <w:ind w:left="0"/>
        <w:jc w:val="both"/>
        <w:rPr>
          <w:rFonts w:ascii="Times New Roman" w:hAnsi="Times New Roman"/>
          <w:sz w:val="24"/>
          <w:szCs w:val="24"/>
        </w:rPr>
      </w:pPr>
      <w:r w:rsidRPr="00C10DCD">
        <w:rPr>
          <w:rFonts w:ascii="Times New Roman" w:hAnsi="Times New Roman"/>
          <w:sz w:val="24"/>
          <w:szCs w:val="24"/>
        </w:rPr>
        <w:t xml:space="preserve">Pendant la période d’observation, dans une procédure de sauvegarde, la gestion de l’entreprise reste confiée au débiteur et cela quand bien même le tribunal aurait nommé un administrateur </w:t>
      </w:r>
      <w:r w:rsidRPr="00240B4A">
        <w:rPr>
          <w:rFonts w:ascii="Times New Roman" w:hAnsi="Times New Roman"/>
          <w:i/>
          <w:sz w:val="24"/>
          <w:szCs w:val="24"/>
        </w:rPr>
        <w:t>(Code de commerce, art. L622-1).</w:t>
      </w:r>
      <w:r w:rsidR="00022841">
        <w:rPr>
          <w:rFonts w:ascii="Times New Roman" w:hAnsi="Times New Roman"/>
          <w:i/>
          <w:sz w:val="24"/>
          <w:szCs w:val="24"/>
        </w:rPr>
        <w:t xml:space="preserve"> </w:t>
      </w:r>
    </w:p>
    <w:p w:rsidR="00C10DCD" w:rsidRPr="00C10DCD" w:rsidRDefault="00C10DCD" w:rsidP="00B83E62">
      <w:pPr>
        <w:pStyle w:val="Paragraphedeliste"/>
        <w:ind w:left="0"/>
        <w:jc w:val="both"/>
        <w:rPr>
          <w:rFonts w:ascii="Times New Roman" w:hAnsi="Times New Roman"/>
          <w:sz w:val="24"/>
          <w:szCs w:val="24"/>
        </w:rPr>
      </w:pPr>
    </w:p>
    <w:p w:rsidR="00C10DCD" w:rsidRDefault="00C10DCD" w:rsidP="00513427">
      <w:pPr>
        <w:pStyle w:val="Paragraphedeliste"/>
        <w:numPr>
          <w:ilvl w:val="0"/>
          <w:numId w:val="6"/>
        </w:numPr>
        <w:jc w:val="both"/>
        <w:rPr>
          <w:rFonts w:ascii="Times New Roman" w:hAnsi="Times New Roman"/>
          <w:b/>
          <w:sz w:val="24"/>
          <w:szCs w:val="24"/>
        </w:rPr>
      </w:pPr>
      <w:r w:rsidRPr="00C10DCD">
        <w:rPr>
          <w:rFonts w:ascii="Times New Roman" w:hAnsi="Times New Roman"/>
          <w:b/>
          <w:sz w:val="24"/>
          <w:szCs w:val="24"/>
        </w:rPr>
        <w:t>L’extrait du BODACC proposé mentionne l</w:t>
      </w:r>
      <w:r w:rsidR="00A564D9">
        <w:rPr>
          <w:rFonts w:ascii="Times New Roman" w:hAnsi="Times New Roman"/>
          <w:b/>
          <w:sz w:val="24"/>
          <w:szCs w:val="24"/>
        </w:rPr>
        <w:t>es</w:t>
      </w:r>
      <w:r w:rsidRPr="00C10DCD">
        <w:rPr>
          <w:rFonts w:ascii="Times New Roman" w:hAnsi="Times New Roman"/>
          <w:b/>
          <w:sz w:val="24"/>
          <w:szCs w:val="24"/>
        </w:rPr>
        <w:t xml:space="preserve"> « déclaration</w:t>
      </w:r>
      <w:r w:rsidR="00A564D9">
        <w:rPr>
          <w:rFonts w:ascii="Times New Roman" w:hAnsi="Times New Roman"/>
          <w:b/>
          <w:sz w:val="24"/>
          <w:szCs w:val="24"/>
        </w:rPr>
        <w:t>s</w:t>
      </w:r>
      <w:r w:rsidRPr="00C10DCD">
        <w:rPr>
          <w:rFonts w:ascii="Times New Roman" w:hAnsi="Times New Roman"/>
          <w:b/>
          <w:sz w:val="24"/>
          <w:szCs w:val="24"/>
        </w:rPr>
        <w:t xml:space="preserve"> de créances ». Cette déclaration impose-t-elle aux salariés de déclarer les salaires qui resteraient dus au jour du jugement d’ouverture ? Si un fournisseur de la société Jean Vidal ne déclarait pas sa créance dans le délai imparti, quelle en serait la conséquence ?</w:t>
      </w:r>
    </w:p>
    <w:p w:rsidR="00B43FB9" w:rsidRPr="00022841" w:rsidRDefault="00B43FB9" w:rsidP="00B83E62">
      <w:pPr>
        <w:pStyle w:val="Paragraphedeliste"/>
        <w:ind w:left="0"/>
        <w:rPr>
          <w:rFonts w:ascii="Times New Roman" w:hAnsi="Times New Roman"/>
          <w:b/>
          <w:i/>
          <w:sz w:val="24"/>
          <w:szCs w:val="24"/>
        </w:rPr>
      </w:pPr>
    </w:p>
    <w:p w:rsidR="00C10DCD" w:rsidRPr="00240B4A" w:rsidRDefault="00C10DCD" w:rsidP="00B83E62">
      <w:pPr>
        <w:pStyle w:val="Paragraphedeliste"/>
        <w:ind w:left="0"/>
        <w:jc w:val="both"/>
        <w:rPr>
          <w:rFonts w:ascii="Times New Roman" w:hAnsi="Times New Roman"/>
          <w:i/>
          <w:sz w:val="24"/>
          <w:szCs w:val="24"/>
        </w:rPr>
      </w:pPr>
      <w:r w:rsidRPr="00C10DCD">
        <w:rPr>
          <w:rFonts w:ascii="Times New Roman" w:hAnsi="Times New Roman"/>
          <w:i/>
          <w:sz w:val="24"/>
          <w:szCs w:val="24"/>
          <w:u w:val="single"/>
        </w:rPr>
        <w:t>Les salariés</w:t>
      </w:r>
      <w:r w:rsidRPr="00C10DCD">
        <w:rPr>
          <w:rFonts w:ascii="Times New Roman" w:hAnsi="Times New Roman"/>
          <w:sz w:val="24"/>
          <w:szCs w:val="24"/>
        </w:rPr>
        <w:t xml:space="preserve"> ne sont pas visés par la procédure de déclaration de créances. C’est le mandataire judiciaire assisté du représentant des salariés qui devra établir le relevé des créances salariales antérieures au jugement d’ouverture de la procédure </w:t>
      </w:r>
      <w:r w:rsidRPr="00240B4A">
        <w:rPr>
          <w:rFonts w:ascii="Times New Roman" w:hAnsi="Times New Roman"/>
          <w:i/>
          <w:sz w:val="24"/>
          <w:szCs w:val="24"/>
        </w:rPr>
        <w:t>(Code de commerce, art.  L625-1).</w:t>
      </w:r>
    </w:p>
    <w:p w:rsidR="00C10DCD" w:rsidRPr="00C10DCD" w:rsidRDefault="00C10DCD" w:rsidP="00B83E62">
      <w:pPr>
        <w:pStyle w:val="Paragraphedeliste"/>
        <w:ind w:left="0"/>
        <w:jc w:val="both"/>
        <w:rPr>
          <w:rFonts w:ascii="Times New Roman" w:hAnsi="Times New Roman"/>
          <w:sz w:val="24"/>
          <w:szCs w:val="24"/>
        </w:rPr>
      </w:pPr>
    </w:p>
    <w:p w:rsidR="00C10DCD" w:rsidRPr="00022841" w:rsidRDefault="00C10DCD" w:rsidP="00B83E62">
      <w:pPr>
        <w:pStyle w:val="Paragraphedeliste"/>
        <w:ind w:left="0"/>
        <w:jc w:val="both"/>
        <w:rPr>
          <w:rFonts w:ascii="Times New Roman" w:hAnsi="Times New Roman"/>
          <w:i/>
          <w:sz w:val="24"/>
          <w:szCs w:val="24"/>
        </w:rPr>
      </w:pPr>
      <w:r w:rsidRPr="00C10DCD">
        <w:rPr>
          <w:rFonts w:ascii="Times New Roman" w:hAnsi="Times New Roman"/>
          <w:i/>
          <w:sz w:val="24"/>
          <w:szCs w:val="24"/>
          <w:u w:val="single"/>
        </w:rPr>
        <w:t>Situation du fournisseur qui n’a pas déclaré sa créance</w:t>
      </w:r>
      <w:r w:rsidRPr="00C10DCD">
        <w:rPr>
          <w:rFonts w:ascii="Times New Roman" w:hAnsi="Times New Roman"/>
          <w:sz w:val="24"/>
          <w:szCs w:val="24"/>
        </w:rPr>
        <w:t xml:space="preserve"> : en principe, le fournisseur qui n’a pas déclaré sa créance est frappé de forclusion. Il ne peut en être autrement que si le fournisseur établit que sa défaillance n’est pas de son fait où qu’elle est due à une omission volontaire du débiteur lors de l’établissement de la liste des créances. Dans ce cas, ils peuvent être relevés de la forclusion </w:t>
      </w:r>
      <w:r w:rsidRPr="00240B4A">
        <w:rPr>
          <w:rFonts w:ascii="Times New Roman" w:hAnsi="Times New Roman"/>
          <w:i/>
          <w:sz w:val="24"/>
          <w:szCs w:val="24"/>
        </w:rPr>
        <w:t>(Code de commerce, art.  L 622-26).</w:t>
      </w:r>
      <w:r w:rsidR="00B43FB9">
        <w:rPr>
          <w:rFonts w:ascii="Times New Roman" w:hAnsi="Times New Roman"/>
          <w:i/>
          <w:sz w:val="24"/>
          <w:szCs w:val="24"/>
        </w:rPr>
        <w:t xml:space="preserve"> </w:t>
      </w:r>
    </w:p>
    <w:p w:rsidR="00B83E62" w:rsidRDefault="00B83E62" w:rsidP="00B43FB9">
      <w:pPr>
        <w:jc w:val="both"/>
        <w:rPr>
          <w:rFonts w:ascii="Times New Roman" w:hAnsi="Times New Roman"/>
          <w:sz w:val="24"/>
          <w:szCs w:val="24"/>
        </w:rPr>
      </w:pPr>
    </w:p>
    <w:p w:rsidR="00B43FB9" w:rsidRPr="00B43FB9" w:rsidRDefault="00B43FB9" w:rsidP="00B43FB9">
      <w:pPr>
        <w:jc w:val="both"/>
        <w:rPr>
          <w:rFonts w:ascii="Times New Roman" w:hAnsi="Times New Roman"/>
          <w:sz w:val="24"/>
          <w:szCs w:val="24"/>
        </w:rPr>
      </w:pPr>
    </w:p>
    <w:p w:rsidR="00C10DCD" w:rsidRDefault="003857A0" w:rsidP="00C10DC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5 : DROIT DES S</w:t>
      </w:r>
      <w:r w:rsidR="00C10DCD">
        <w:rPr>
          <w:caps/>
          <w:position w:val="-48"/>
          <w:sz w:val="28"/>
          <w:szCs w:val="28"/>
        </w:rPr>
        <w:t>OCIETES ET DROIT FISCAL</w:t>
      </w:r>
    </w:p>
    <w:p w:rsidR="00C10DCD" w:rsidRPr="00C10DCD" w:rsidRDefault="00C10DCD" w:rsidP="00C10DCD">
      <w:pPr>
        <w:pStyle w:val="Paragraphedeliste"/>
        <w:jc w:val="both"/>
        <w:rPr>
          <w:rFonts w:ascii="Times New Roman" w:hAnsi="Times New Roman"/>
          <w:sz w:val="24"/>
          <w:szCs w:val="24"/>
        </w:rPr>
      </w:pPr>
    </w:p>
    <w:p w:rsidR="00C10DCD" w:rsidRPr="00513427" w:rsidRDefault="00C10DCD" w:rsidP="00513427">
      <w:pPr>
        <w:pStyle w:val="Paragraphedeliste"/>
        <w:numPr>
          <w:ilvl w:val="0"/>
          <w:numId w:val="7"/>
        </w:numPr>
        <w:jc w:val="both"/>
        <w:rPr>
          <w:rFonts w:ascii="Times New Roman" w:hAnsi="Times New Roman"/>
          <w:b/>
          <w:sz w:val="24"/>
          <w:szCs w:val="24"/>
        </w:rPr>
      </w:pPr>
      <w:r w:rsidRPr="00C10DCD">
        <w:rPr>
          <w:rFonts w:ascii="Times New Roman" w:hAnsi="Times New Roman"/>
          <w:b/>
          <w:sz w:val="24"/>
          <w:szCs w:val="24"/>
        </w:rPr>
        <w:t>Les parts de la SARL PIERREM sont cédées à la SA BERTRAND qui détient déjà 40% du capital de la société PIERREM. Les statuts de la SARL prévoient une clause d’agrément des cessions.  Madame Anne SOPHIE, qui dirige la société JB, estime néanmoins que la cession des parts de la SARL PIERREM à la  SA BERTRAND peut être réalisée librement, les clauses d’agrément figurant dans les statuts ne pouvant s’appliquer aux cessions entre associés. Que faut-il en penser ?</w:t>
      </w:r>
    </w:p>
    <w:p w:rsidR="00C10DCD" w:rsidRPr="00C10DCD" w:rsidRDefault="00C10DCD" w:rsidP="00C10DCD">
      <w:pPr>
        <w:jc w:val="both"/>
        <w:rPr>
          <w:rFonts w:ascii="Times New Roman" w:hAnsi="Times New Roman"/>
          <w:sz w:val="24"/>
          <w:szCs w:val="24"/>
        </w:rPr>
      </w:pPr>
      <w:r w:rsidRPr="00C10DCD">
        <w:rPr>
          <w:rFonts w:ascii="Times New Roman" w:hAnsi="Times New Roman"/>
          <w:sz w:val="24"/>
          <w:szCs w:val="24"/>
        </w:rPr>
        <w:t xml:space="preserve">Dans les SARL, la cession des parts sociales entre associés est libre. Toutefois, cette libre cessibilité peut être limitée par les statuts. </w:t>
      </w:r>
    </w:p>
    <w:p w:rsidR="00240B4A" w:rsidRPr="00C10DCD" w:rsidRDefault="00C10DCD" w:rsidP="00C10DCD">
      <w:pPr>
        <w:jc w:val="both"/>
        <w:rPr>
          <w:rFonts w:ascii="Times New Roman" w:hAnsi="Times New Roman"/>
          <w:sz w:val="24"/>
          <w:szCs w:val="24"/>
        </w:rPr>
      </w:pPr>
      <w:r w:rsidRPr="00C10DCD">
        <w:rPr>
          <w:rFonts w:ascii="Times New Roman" w:hAnsi="Times New Roman"/>
          <w:sz w:val="24"/>
          <w:szCs w:val="24"/>
        </w:rPr>
        <w:lastRenderedPageBreak/>
        <w:t xml:space="preserve">Madame Anne SOPHIE ne peut donc pas se dispenser de prendre connaissance de la clause d’agrément figurant dans les statuts. </w:t>
      </w:r>
    </w:p>
    <w:p w:rsidR="00C10DCD" w:rsidRPr="00513427" w:rsidRDefault="00C10DCD" w:rsidP="00513427">
      <w:pPr>
        <w:pStyle w:val="Paragraphedeliste"/>
        <w:numPr>
          <w:ilvl w:val="0"/>
          <w:numId w:val="7"/>
        </w:numPr>
        <w:jc w:val="both"/>
        <w:rPr>
          <w:rFonts w:ascii="Times New Roman" w:hAnsi="Times New Roman"/>
          <w:b/>
          <w:sz w:val="24"/>
          <w:szCs w:val="24"/>
        </w:rPr>
      </w:pPr>
      <w:r w:rsidRPr="00C10DCD">
        <w:rPr>
          <w:rFonts w:ascii="Times New Roman" w:hAnsi="Times New Roman"/>
          <w:b/>
          <w:sz w:val="24"/>
          <w:szCs w:val="24"/>
        </w:rPr>
        <w:t>Quel est le régime fiscal de la plus-value réalisée par la SA JB lors de la cession des titres MARTIN ?</w:t>
      </w:r>
    </w:p>
    <w:p w:rsidR="00C10DCD" w:rsidRPr="00022841" w:rsidRDefault="00C10DCD" w:rsidP="00C10DCD">
      <w:pPr>
        <w:jc w:val="both"/>
        <w:rPr>
          <w:rFonts w:ascii="Times New Roman" w:hAnsi="Times New Roman"/>
          <w:i/>
          <w:sz w:val="24"/>
          <w:szCs w:val="24"/>
        </w:rPr>
      </w:pPr>
      <w:r w:rsidRPr="00C10DCD">
        <w:rPr>
          <w:rFonts w:ascii="Times New Roman" w:hAnsi="Times New Roman"/>
          <w:sz w:val="24"/>
          <w:szCs w:val="24"/>
        </w:rPr>
        <w:t xml:space="preserve">La cession des titres MARTIN représente la cession de titres de participation détenus depuis au moins deux ans par une société soumise à l’impôt sur les sociétés. Dans ces conditions, la plus-value réalisée est exonérée sous déduction d’une quote-part de frais et charges égale à </w:t>
      </w:r>
      <w:r w:rsidR="00022841">
        <w:rPr>
          <w:rFonts w:ascii="Times New Roman" w:hAnsi="Times New Roman"/>
          <w:sz w:val="24"/>
          <w:szCs w:val="24"/>
        </w:rPr>
        <w:t xml:space="preserve"> </w:t>
      </w:r>
      <w:r w:rsidRPr="00C10DCD">
        <w:rPr>
          <w:rFonts w:ascii="Times New Roman" w:hAnsi="Times New Roman"/>
          <w:sz w:val="24"/>
          <w:szCs w:val="24"/>
        </w:rPr>
        <w:t>10 % du résultat net de cession.</w:t>
      </w:r>
    </w:p>
    <w:p w:rsidR="00C10DCD" w:rsidRPr="00C10DCD" w:rsidRDefault="00C10DCD" w:rsidP="00C10DCD">
      <w:pPr>
        <w:jc w:val="both"/>
        <w:rPr>
          <w:rFonts w:ascii="Times New Roman" w:hAnsi="Times New Roman"/>
          <w:sz w:val="24"/>
          <w:szCs w:val="24"/>
        </w:rPr>
      </w:pPr>
    </w:p>
    <w:p w:rsidR="00C10DCD" w:rsidRPr="00C10DCD" w:rsidRDefault="00C10DCD" w:rsidP="00513427">
      <w:pPr>
        <w:pStyle w:val="Paragraphedeliste"/>
        <w:numPr>
          <w:ilvl w:val="0"/>
          <w:numId w:val="7"/>
        </w:numPr>
        <w:jc w:val="both"/>
        <w:rPr>
          <w:rFonts w:ascii="Times New Roman" w:hAnsi="Times New Roman"/>
          <w:b/>
          <w:sz w:val="24"/>
          <w:szCs w:val="24"/>
        </w:rPr>
      </w:pPr>
      <w:r w:rsidRPr="00C10DCD">
        <w:rPr>
          <w:rFonts w:ascii="Times New Roman" w:hAnsi="Times New Roman"/>
          <w:b/>
          <w:sz w:val="24"/>
          <w:szCs w:val="24"/>
        </w:rPr>
        <w:t>Quel est le régime fiscal de la moins-value réalisée par la SA JB lors de la cession des titres PHILIPPE ?</w:t>
      </w:r>
    </w:p>
    <w:p w:rsidR="00C10DCD" w:rsidRDefault="00C10DCD" w:rsidP="00C10DCD">
      <w:pPr>
        <w:jc w:val="both"/>
        <w:rPr>
          <w:rFonts w:ascii="Times New Roman" w:hAnsi="Times New Roman"/>
          <w:i/>
          <w:sz w:val="24"/>
          <w:szCs w:val="24"/>
        </w:rPr>
      </w:pPr>
      <w:r w:rsidRPr="00C10DCD">
        <w:rPr>
          <w:rFonts w:ascii="Times New Roman" w:hAnsi="Times New Roman"/>
          <w:sz w:val="24"/>
          <w:szCs w:val="24"/>
        </w:rPr>
        <w:t>La cession des titres PHILIPPE représente également la cession de titres de participation par une société soumise à l’IS mais détenus depuis moins de deux ans.  La moins-value constatée sur ces titres constitue ainsi une charge déductible du résultat imposable au taux de droit commun.</w:t>
      </w:r>
    </w:p>
    <w:p w:rsidR="00A66040" w:rsidRDefault="00A66040">
      <w:pPr>
        <w:rPr>
          <w:rFonts w:ascii="Times New Roman" w:hAnsi="Times New Roman"/>
          <w:i/>
          <w:sz w:val="24"/>
          <w:szCs w:val="24"/>
        </w:rPr>
      </w:pPr>
    </w:p>
    <w:sectPr w:rsidR="00A66040" w:rsidSect="00A3142D">
      <w:headerReference w:type="default" r:id="rId8"/>
      <w:footerReference w:type="default" r:id="rId9"/>
      <w:pgSz w:w="11906" w:h="16838"/>
      <w:pgMar w:top="907" w:right="680" w:bottom="42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81" w:rsidRDefault="000D1681" w:rsidP="005F6294">
      <w:pPr>
        <w:spacing w:after="0" w:line="240" w:lineRule="auto"/>
      </w:pPr>
      <w:r>
        <w:separator/>
      </w:r>
    </w:p>
  </w:endnote>
  <w:endnote w:type="continuationSeparator" w:id="0">
    <w:p w:rsidR="000D1681" w:rsidRDefault="000D1681" w:rsidP="005F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4F1" w:rsidRDefault="007454F1" w:rsidP="007454F1">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1A40B1">
      <w:rPr>
        <w:rStyle w:val="Numrodepage"/>
        <w:noProof/>
      </w:rPr>
      <w:t>1</w:t>
    </w:r>
    <w:r>
      <w:rPr>
        <w:rStyle w:val="Numrodepage"/>
      </w:rPr>
      <w:fldChar w:fldCharType="end"/>
    </w:r>
  </w:p>
  <w:p w:rsidR="005F6294" w:rsidRPr="007454F1" w:rsidRDefault="007454F1" w:rsidP="007454F1">
    <w:pPr>
      <w:pStyle w:val="Pieddepage"/>
      <w:tabs>
        <w:tab w:val="clear" w:pos="9072"/>
        <w:tab w:val="right" w:pos="9781"/>
      </w:tabs>
      <w:ind w:right="360"/>
      <w:rPr>
        <w:sz w:val="20"/>
        <w:szCs w:val="20"/>
      </w:rPr>
    </w:pPr>
    <w:r w:rsidRPr="00A111B8">
      <w:rPr>
        <w:sz w:val="20"/>
        <w:szCs w:val="20"/>
      </w:rPr>
      <w:t>©Comptazine – Reproduction interdite – DSCG Gestion Juridique, Fiscale et Sociale 201</w:t>
    </w:r>
    <w:r>
      <w:rPr>
        <w:sz w:val="20"/>
        <w:szCs w:val="20"/>
      </w:rPr>
      <w:t>2</w:t>
    </w:r>
    <w:r w:rsidRPr="00A111B8">
      <w:rPr>
        <w:sz w:val="20"/>
        <w:szCs w:val="20"/>
      </w:rPr>
      <w:tab/>
    </w:r>
    <w:r w:rsidRPr="00A111B8">
      <w:rPr>
        <w:rStyle w:val="Numrodepage"/>
        <w:sz w:val="20"/>
        <w:szCs w:val="20"/>
      </w:rPr>
      <w:fldChar w:fldCharType="begin"/>
    </w:r>
    <w:r w:rsidRPr="00A111B8">
      <w:rPr>
        <w:rStyle w:val="Numrodepage"/>
        <w:sz w:val="20"/>
        <w:szCs w:val="20"/>
      </w:rPr>
      <w:instrText xml:space="preserve"> PAGE </w:instrText>
    </w:r>
    <w:r w:rsidRPr="00A111B8">
      <w:rPr>
        <w:rStyle w:val="Numrodepage"/>
        <w:sz w:val="20"/>
        <w:szCs w:val="20"/>
      </w:rPr>
      <w:fldChar w:fldCharType="separate"/>
    </w:r>
    <w:r w:rsidR="001A40B1">
      <w:rPr>
        <w:rStyle w:val="Numrodepage"/>
        <w:noProof/>
        <w:sz w:val="20"/>
        <w:szCs w:val="20"/>
      </w:rPr>
      <w:t>1</w:t>
    </w:r>
    <w:r w:rsidRPr="00A111B8">
      <w:rPr>
        <w:rStyle w:val="Numrodepage"/>
        <w:sz w:val="20"/>
        <w:szCs w:val="20"/>
      </w:rPr>
      <w:fldChar w:fldCharType="end"/>
    </w:r>
    <w:r w:rsidRPr="00A111B8">
      <w:rPr>
        <w:rStyle w:val="Numrodepage"/>
        <w:sz w:val="20"/>
        <w:szCs w:val="20"/>
      </w:rPr>
      <w:t>/</w:t>
    </w:r>
    <w:r w:rsidRPr="00A111B8">
      <w:rPr>
        <w:rStyle w:val="Numrodepage"/>
        <w:sz w:val="20"/>
        <w:szCs w:val="20"/>
      </w:rPr>
      <w:fldChar w:fldCharType="begin"/>
    </w:r>
    <w:r w:rsidRPr="00A111B8">
      <w:rPr>
        <w:rStyle w:val="Numrodepage"/>
        <w:sz w:val="20"/>
        <w:szCs w:val="20"/>
      </w:rPr>
      <w:instrText xml:space="preserve"> NUMPAGES </w:instrText>
    </w:r>
    <w:r w:rsidRPr="00A111B8">
      <w:rPr>
        <w:rStyle w:val="Numrodepage"/>
        <w:sz w:val="20"/>
        <w:szCs w:val="20"/>
      </w:rPr>
      <w:fldChar w:fldCharType="separate"/>
    </w:r>
    <w:r w:rsidR="001A40B1">
      <w:rPr>
        <w:rStyle w:val="Numrodepage"/>
        <w:noProof/>
        <w:sz w:val="20"/>
        <w:szCs w:val="20"/>
      </w:rPr>
      <w:t>7</w:t>
    </w:r>
    <w:r w:rsidRPr="00A111B8">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81" w:rsidRDefault="000D1681" w:rsidP="005F6294">
      <w:pPr>
        <w:spacing w:after="0" w:line="240" w:lineRule="auto"/>
      </w:pPr>
      <w:r>
        <w:separator/>
      </w:r>
    </w:p>
  </w:footnote>
  <w:footnote w:type="continuationSeparator" w:id="0">
    <w:p w:rsidR="000D1681" w:rsidRDefault="000D1681" w:rsidP="005F6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4F1" w:rsidRDefault="00E46E80" w:rsidP="007454F1">
    <w:pPr>
      <w:pStyle w:val="En-tte"/>
      <w:ind w:left="3252" w:right="849" w:firstLine="3828"/>
      <w:rPr>
        <w:rStyle w:val="Lienhypertexte"/>
        <w:rFonts w:cs="Calibri"/>
        <w:color w:val="E36C0A"/>
        <w:sz w:val="18"/>
      </w:rPr>
    </w:pPr>
    <w:r>
      <w:rPr>
        <w:noProof/>
        <w:lang w:eastAsia="fr-FR"/>
      </w:rPr>
      <w:drawing>
        <wp:anchor distT="0" distB="0" distL="114300" distR="114300" simplePos="0" relativeHeight="251659264" behindDoc="1" locked="0" layoutInCell="1" allowOverlap="1">
          <wp:simplePos x="0" y="0"/>
          <wp:positionH relativeFrom="margin">
            <wp:posOffset>5659755</wp:posOffset>
          </wp:positionH>
          <wp:positionV relativeFrom="margin">
            <wp:posOffset>-442595</wp:posOffset>
          </wp:positionV>
          <wp:extent cx="381000" cy="381000"/>
          <wp:effectExtent l="0" t="0" r="0" b="0"/>
          <wp:wrapNone/>
          <wp:docPr id="3" name="Image 1"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7454F1">
        <w:rPr>
          <w:rStyle w:val="Lienhypertexte"/>
          <w:rFonts w:cs="Calibri"/>
          <w:color w:val="E36C0A"/>
          <w:sz w:val="18"/>
        </w:rPr>
        <w:t>www.comptazine.fr</w:t>
      </w:r>
    </w:hyperlink>
  </w:p>
  <w:p w:rsidR="007454F1" w:rsidRDefault="007454F1" w:rsidP="007454F1">
    <w:pPr>
      <w:pStyle w:val="En-tte"/>
      <w:ind w:left="3252" w:right="849" w:firstLine="382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p w:rsidR="007454F1" w:rsidRPr="007454F1" w:rsidRDefault="007454F1" w:rsidP="007454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A7C"/>
    <w:multiLevelType w:val="hybridMultilevel"/>
    <w:tmpl w:val="0AC8DD1C"/>
    <w:lvl w:ilvl="0" w:tplc="F4C23FCC">
      <w:start w:val="201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3F731BC"/>
    <w:multiLevelType w:val="hybridMultilevel"/>
    <w:tmpl w:val="012E86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6DE0900"/>
    <w:multiLevelType w:val="hybridMultilevel"/>
    <w:tmpl w:val="CB561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741B6D"/>
    <w:multiLevelType w:val="hybridMultilevel"/>
    <w:tmpl w:val="012E86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7006607"/>
    <w:multiLevelType w:val="hybridMultilevel"/>
    <w:tmpl w:val="F8381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C87E88"/>
    <w:multiLevelType w:val="hybridMultilevel"/>
    <w:tmpl w:val="F8381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275D68"/>
    <w:multiLevelType w:val="hybridMultilevel"/>
    <w:tmpl w:val="012E86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CD"/>
    <w:rsid w:val="00022841"/>
    <w:rsid w:val="00041161"/>
    <w:rsid w:val="000D1681"/>
    <w:rsid w:val="001A40B1"/>
    <w:rsid w:val="00240B4A"/>
    <w:rsid w:val="0027567A"/>
    <w:rsid w:val="003857A0"/>
    <w:rsid w:val="003B0BC8"/>
    <w:rsid w:val="003B4036"/>
    <w:rsid w:val="004A0733"/>
    <w:rsid w:val="00513427"/>
    <w:rsid w:val="00532D3E"/>
    <w:rsid w:val="005F2354"/>
    <w:rsid w:val="005F6294"/>
    <w:rsid w:val="006A7F69"/>
    <w:rsid w:val="00721238"/>
    <w:rsid w:val="007454F1"/>
    <w:rsid w:val="007A4EBF"/>
    <w:rsid w:val="007D1317"/>
    <w:rsid w:val="008275AA"/>
    <w:rsid w:val="00841980"/>
    <w:rsid w:val="009E7E86"/>
    <w:rsid w:val="009F0773"/>
    <w:rsid w:val="00A3142D"/>
    <w:rsid w:val="00A415D1"/>
    <w:rsid w:val="00A564D9"/>
    <w:rsid w:val="00A66040"/>
    <w:rsid w:val="00A70014"/>
    <w:rsid w:val="00AD3ACA"/>
    <w:rsid w:val="00B25859"/>
    <w:rsid w:val="00B3429A"/>
    <w:rsid w:val="00B36F4B"/>
    <w:rsid w:val="00B43FB9"/>
    <w:rsid w:val="00B61519"/>
    <w:rsid w:val="00B83E62"/>
    <w:rsid w:val="00BF0AAC"/>
    <w:rsid w:val="00BF3E55"/>
    <w:rsid w:val="00C10DCD"/>
    <w:rsid w:val="00D4775E"/>
    <w:rsid w:val="00DA44F9"/>
    <w:rsid w:val="00DF3C9E"/>
    <w:rsid w:val="00E46E80"/>
    <w:rsid w:val="00E9280A"/>
    <w:rsid w:val="00E95B95"/>
    <w:rsid w:val="00EA11D5"/>
    <w:rsid w:val="00F727B7"/>
    <w:rsid w:val="00FA7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CD"/>
    <w:pPr>
      <w:spacing w:after="200" w:line="276" w:lineRule="auto"/>
    </w:pPr>
    <w:rPr>
      <w:sz w:val="22"/>
      <w:szCs w:val="22"/>
      <w:lang w:eastAsia="en-US"/>
    </w:rPr>
  </w:style>
  <w:style w:type="paragraph" w:styleId="Titre1">
    <w:name w:val="heading 1"/>
    <w:basedOn w:val="Normal"/>
    <w:next w:val="Normal"/>
    <w:link w:val="Titre1Car"/>
    <w:qFormat/>
    <w:rsid w:val="00C10DCD"/>
    <w:pPr>
      <w:keepNext/>
      <w:spacing w:after="0" w:line="240" w:lineRule="auto"/>
      <w:jc w:val="both"/>
      <w:outlineLvl w:val="0"/>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5F6294"/>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DCD"/>
    <w:pPr>
      <w:ind w:left="720"/>
      <w:contextualSpacing/>
    </w:pPr>
  </w:style>
  <w:style w:type="character" w:customStyle="1" w:styleId="Titre1Car">
    <w:name w:val="Titre 1 Car"/>
    <w:link w:val="Titre1"/>
    <w:rsid w:val="00C10DCD"/>
    <w:rPr>
      <w:rFonts w:ascii="Times New Roman" w:eastAsia="Times New Roman" w:hAnsi="Times New Roman" w:cs="Times New Roman"/>
      <w:b/>
      <w:bCs/>
      <w:sz w:val="36"/>
      <w:szCs w:val="36"/>
      <w:lang w:eastAsia="fr-FR"/>
    </w:rPr>
  </w:style>
  <w:style w:type="character" w:customStyle="1" w:styleId="Titre3Car">
    <w:name w:val="Titre 3 Car"/>
    <w:link w:val="Titre3"/>
    <w:uiPriority w:val="9"/>
    <w:semiHidden/>
    <w:rsid w:val="005F6294"/>
    <w:rPr>
      <w:rFonts w:ascii="Cambria" w:eastAsia="Times New Roman" w:hAnsi="Cambria" w:cs="Times New Roman"/>
      <w:b/>
      <w:bCs/>
      <w:color w:val="4F81BD"/>
    </w:rPr>
  </w:style>
  <w:style w:type="paragraph" w:styleId="Titre">
    <w:name w:val="Title"/>
    <w:basedOn w:val="Normal"/>
    <w:link w:val="TitreCar"/>
    <w:qFormat/>
    <w:rsid w:val="005F6294"/>
    <w:pPr>
      <w:widowControl w:val="0"/>
      <w:overflowPunct w:val="0"/>
      <w:autoSpaceDE w:val="0"/>
      <w:autoSpaceDN w:val="0"/>
      <w:adjustRightInd w:val="0"/>
      <w:spacing w:after="0" w:line="240" w:lineRule="auto"/>
      <w:jc w:val="center"/>
    </w:pPr>
    <w:rPr>
      <w:rFonts w:ascii="Times New Roman" w:eastAsia="Times New Roman" w:hAnsi="Times New Roman"/>
      <w:noProof/>
      <w:sz w:val="28"/>
      <w:szCs w:val="28"/>
      <w:lang w:eastAsia="fr-FR"/>
    </w:rPr>
  </w:style>
  <w:style w:type="character" w:customStyle="1" w:styleId="TitreCar">
    <w:name w:val="Titre Car"/>
    <w:link w:val="Titre"/>
    <w:rsid w:val="005F6294"/>
    <w:rPr>
      <w:rFonts w:ascii="Times New Roman" w:eastAsia="Times New Roman" w:hAnsi="Times New Roman" w:cs="Times New Roman"/>
      <w:noProof/>
      <w:sz w:val="28"/>
      <w:szCs w:val="28"/>
      <w:lang w:eastAsia="fr-FR"/>
    </w:rPr>
  </w:style>
  <w:style w:type="paragraph" w:styleId="En-tte">
    <w:name w:val="header"/>
    <w:basedOn w:val="Normal"/>
    <w:link w:val="En-tteCar"/>
    <w:unhideWhenUsed/>
    <w:rsid w:val="005F6294"/>
    <w:pPr>
      <w:tabs>
        <w:tab w:val="center" w:pos="4536"/>
        <w:tab w:val="right" w:pos="9072"/>
      </w:tabs>
      <w:spacing w:after="0" w:line="240" w:lineRule="auto"/>
    </w:pPr>
  </w:style>
  <w:style w:type="character" w:customStyle="1" w:styleId="En-tteCar">
    <w:name w:val="En-tête Car"/>
    <w:basedOn w:val="Policepardfaut"/>
    <w:link w:val="En-tte"/>
    <w:rsid w:val="005F6294"/>
  </w:style>
  <w:style w:type="paragraph" w:styleId="Pieddepage">
    <w:name w:val="footer"/>
    <w:basedOn w:val="Normal"/>
    <w:link w:val="PieddepageCar"/>
    <w:uiPriority w:val="99"/>
    <w:unhideWhenUsed/>
    <w:rsid w:val="005F62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6294"/>
  </w:style>
  <w:style w:type="table" w:styleId="Grilledutableau">
    <w:name w:val="Table Grid"/>
    <w:basedOn w:val="TableauNormal"/>
    <w:uiPriority w:val="59"/>
    <w:rsid w:val="00A6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F727B7"/>
    <w:rPr>
      <w:color w:val="0000FF"/>
      <w:u w:val="single"/>
    </w:rPr>
  </w:style>
  <w:style w:type="character" w:styleId="Numrodepage">
    <w:name w:val="page number"/>
    <w:uiPriority w:val="99"/>
    <w:semiHidden/>
    <w:rsid w:val="007454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CD"/>
    <w:pPr>
      <w:spacing w:after="200" w:line="276" w:lineRule="auto"/>
    </w:pPr>
    <w:rPr>
      <w:sz w:val="22"/>
      <w:szCs w:val="22"/>
      <w:lang w:eastAsia="en-US"/>
    </w:rPr>
  </w:style>
  <w:style w:type="paragraph" w:styleId="Titre1">
    <w:name w:val="heading 1"/>
    <w:basedOn w:val="Normal"/>
    <w:next w:val="Normal"/>
    <w:link w:val="Titre1Car"/>
    <w:qFormat/>
    <w:rsid w:val="00C10DCD"/>
    <w:pPr>
      <w:keepNext/>
      <w:spacing w:after="0" w:line="240" w:lineRule="auto"/>
      <w:jc w:val="both"/>
      <w:outlineLvl w:val="0"/>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5F6294"/>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DCD"/>
    <w:pPr>
      <w:ind w:left="720"/>
      <w:contextualSpacing/>
    </w:pPr>
  </w:style>
  <w:style w:type="character" w:customStyle="1" w:styleId="Titre1Car">
    <w:name w:val="Titre 1 Car"/>
    <w:link w:val="Titre1"/>
    <w:rsid w:val="00C10DCD"/>
    <w:rPr>
      <w:rFonts w:ascii="Times New Roman" w:eastAsia="Times New Roman" w:hAnsi="Times New Roman" w:cs="Times New Roman"/>
      <w:b/>
      <w:bCs/>
      <w:sz w:val="36"/>
      <w:szCs w:val="36"/>
      <w:lang w:eastAsia="fr-FR"/>
    </w:rPr>
  </w:style>
  <w:style w:type="character" w:customStyle="1" w:styleId="Titre3Car">
    <w:name w:val="Titre 3 Car"/>
    <w:link w:val="Titre3"/>
    <w:uiPriority w:val="9"/>
    <w:semiHidden/>
    <w:rsid w:val="005F6294"/>
    <w:rPr>
      <w:rFonts w:ascii="Cambria" w:eastAsia="Times New Roman" w:hAnsi="Cambria" w:cs="Times New Roman"/>
      <w:b/>
      <w:bCs/>
      <w:color w:val="4F81BD"/>
    </w:rPr>
  </w:style>
  <w:style w:type="paragraph" w:styleId="Titre">
    <w:name w:val="Title"/>
    <w:basedOn w:val="Normal"/>
    <w:link w:val="TitreCar"/>
    <w:qFormat/>
    <w:rsid w:val="005F6294"/>
    <w:pPr>
      <w:widowControl w:val="0"/>
      <w:overflowPunct w:val="0"/>
      <w:autoSpaceDE w:val="0"/>
      <w:autoSpaceDN w:val="0"/>
      <w:adjustRightInd w:val="0"/>
      <w:spacing w:after="0" w:line="240" w:lineRule="auto"/>
      <w:jc w:val="center"/>
    </w:pPr>
    <w:rPr>
      <w:rFonts w:ascii="Times New Roman" w:eastAsia="Times New Roman" w:hAnsi="Times New Roman"/>
      <w:noProof/>
      <w:sz w:val="28"/>
      <w:szCs w:val="28"/>
      <w:lang w:eastAsia="fr-FR"/>
    </w:rPr>
  </w:style>
  <w:style w:type="character" w:customStyle="1" w:styleId="TitreCar">
    <w:name w:val="Titre Car"/>
    <w:link w:val="Titre"/>
    <w:rsid w:val="005F6294"/>
    <w:rPr>
      <w:rFonts w:ascii="Times New Roman" w:eastAsia="Times New Roman" w:hAnsi="Times New Roman" w:cs="Times New Roman"/>
      <w:noProof/>
      <w:sz w:val="28"/>
      <w:szCs w:val="28"/>
      <w:lang w:eastAsia="fr-FR"/>
    </w:rPr>
  </w:style>
  <w:style w:type="paragraph" w:styleId="En-tte">
    <w:name w:val="header"/>
    <w:basedOn w:val="Normal"/>
    <w:link w:val="En-tteCar"/>
    <w:unhideWhenUsed/>
    <w:rsid w:val="005F6294"/>
    <w:pPr>
      <w:tabs>
        <w:tab w:val="center" w:pos="4536"/>
        <w:tab w:val="right" w:pos="9072"/>
      </w:tabs>
      <w:spacing w:after="0" w:line="240" w:lineRule="auto"/>
    </w:pPr>
  </w:style>
  <w:style w:type="character" w:customStyle="1" w:styleId="En-tteCar">
    <w:name w:val="En-tête Car"/>
    <w:basedOn w:val="Policepardfaut"/>
    <w:link w:val="En-tte"/>
    <w:rsid w:val="005F6294"/>
  </w:style>
  <w:style w:type="paragraph" w:styleId="Pieddepage">
    <w:name w:val="footer"/>
    <w:basedOn w:val="Normal"/>
    <w:link w:val="PieddepageCar"/>
    <w:uiPriority w:val="99"/>
    <w:unhideWhenUsed/>
    <w:rsid w:val="005F62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6294"/>
  </w:style>
  <w:style w:type="table" w:styleId="Grilledutableau">
    <w:name w:val="Table Grid"/>
    <w:basedOn w:val="TableauNormal"/>
    <w:uiPriority w:val="59"/>
    <w:rsid w:val="00A6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F727B7"/>
    <w:rPr>
      <w:color w:val="0000FF"/>
      <w:u w:val="single"/>
    </w:rPr>
  </w:style>
  <w:style w:type="character" w:styleId="Numrodepage">
    <w:name w:val="page number"/>
    <w:uiPriority w:val="99"/>
    <w:semiHidden/>
    <w:rsid w:val="007454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82984">
      <w:bodyDiv w:val="1"/>
      <w:marLeft w:val="0"/>
      <w:marRight w:val="0"/>
      <w:marTop w:val="0"/>
      <w:marBottom w:val="0"/>
      <w:divBdr>
        <w:top w:val="none" w:sz="0" w:space="0" w:color="auto"/>
        <w:left w:val="none" w:sz="0" w:space="0" w:color="auto"/>
        <w:bottom w:val="none" w:sz="0" w:space="0" w:color="auto"/>
        <w:right w:val="none" w:sz="0" w:space="0" w:color="auto"/>
      </w:divBdr>
    </w:div>
    <w:div w:id="16102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14755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17403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2014-04-05T17:15:00Z</cp:lastPrinted>
  <dcterms:created xsi:type="dcterms:W3CDTF">2014-04-05T17:15:00Z</dcterms:created>
  <dcterms:modified xsi:type="dcterms:W3CDTF">2014-04-05T17:15:00Z</dcterms:modified>
</cp:coreProperties>
</file>