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94" w:rsidRPr="004D033B" w:rsidRDefault="00BC7C42" w:rsidP="005F6294">
      <w:pPr>
        <w:rPr>
          <w:rFonts w:ascii="Times New Roman" w:eastAsia="Times" w:hAnsi="Times New Roman"/>
          <w:b/>
          <w:sz w:val="20"/>
          <w:szCs w:val="20"/>
        </w:rPr>
      </w:pPr>
      <w:r>
        <w:rPr>
          <w:rFonts w:ascii="Times New Roman" w:hAnsi="Times New Roman"/>
          <w:b/>
          <w:noProof/>
          <w:sz w:val="20"/>
          <w:szCs w:val="20"/>
          <w:lang w:eastAsia="fr-FR"/>
        </w:rPr>
        <mc:AlternateContent>
          <mc:Choice Requires="wpg">
            <w:drawing>
              <wp:anchor distT="0" distB="0" distL="114300" distR="114300" simplePos="0" relativeHeight="251657728" behindDoc="0" locked="0" layoutInCell="1" allowOverlap="1">
                <wp:simplePos x="0" y="0"/>
                <wp:positionH relativeFrom="column">
                  <wp:posOffset>-51435</wp:posOffset>
                </wp:positionH>
                <wp:positionV relativeFrom="paragraph">
                  <wp:posOffset>149860</wp:posOffset>
                </wp:positionV>
                <wp:extent cx="1429385" cy="723900"/>
                <wp:effectExtent l="11430" t="12700" r="0" b="6350"/>
                <wp:wrapNone/>
                <wp:docPr id="2"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9385" cy="723900"/>
                          <a:chOff x="1605" y="1319"/>
                          <a:chExt cx="2251" cy="1140"/>
                        </a:xfrm>
                      </wpg:grpSpPr>
                      <wps:wsp>
                        <wps:cNvPr id="3" name="Text Box 3"/>
                        <wps:cNvSpPr txBox="1">
                          <a:spLocks noChangeArrowheads="1"/>
                        </wps:cNvSpPr>
                        <wps:spPr bwMode="auto">
                          <a:xfrm>
                            <a:off x="1786" y="1543"/>
                            <a:ext cx="20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869" w:rsidRDefault="000B4869" w:rsidP="005F6294">
                              <w:pPr>
                                <w:rPr>
                                  <w:sz w:val="40"/>
                                </w:rPr>
                              </w:pPr>
                              <w:r w:rsidRPr="004D033B">
                                <w:rPr>
                                  <w:rFonts w:ascii="Times New Roman" w:hAnsi="Times New Roman"/>
                                  <w:sz w:val="40"/>
                                </w:rPr>
                                <w:t>DSCG</w:t>
                              </w:r>
                            </w:p>
                          </w:txbxContent>
                        </wps:txbx>
                        <wps:bodyPr rot="0" vert="horz" wrap="square" lIns="91440" tIns="45720" rIns="91440" bIns="45720" anchor="t" anchorCtr="0" upright="1">
                          <a:noAutofit/>
                        </wps:bodyPr>
                      </wps:wsp>
                      <wps:wsp>
                        <wps:cNvPr id="4" name="AutoShape 4"/>
                        <wps:cNvSpPr>
                          <a:spLocks noChangeArrowheads="1"/>
                        </wps:cNvSpPr>
                        <wps:spPr bwMode="auto">
                          <a:xfrm>
                            <a:off x="1605" y="1319"/>
                            <a:ext cx="1860" cy="114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4.05pt;margin-top:11.8pt;width:112.55pt;height:57pt;z-index:251657728" coordorigin="1605,1319" coordsize="225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">
                <v:shapetype id="_x0000_t202" coordsize="21600,21600" o:spt="202" path="m,l,21600r21600,l21600,xe">
                  <v:stroke joinstyle="miter"/>
                  <v:path gradientshapeok="t" o:connecttype="rect"/>
                </v:shapetype>
                <v:shape id="Text Box 3" o:spid="_x0000_s1027" type="#_x0000_t202" style="position:absolute;left:1786;top:1543;width:207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B4869" w:rsidRDefault="000B4869" w:rsidP="005F6294">
                        <w:pPr>
                          <w:rPr>
                            <w:sz w:val="40"/>
                          </w:rPr>
                        </w:pPr>
                        <w:r w:rsidRPr="004D033B">
                          <w:rPr>
                            <w:rFonts w:ascii="Times New Roman" w:hAnsi="Times New Roman"/>
                            <w:sz w:val="40"/>
                          </w:rPr>
                          <w:t>DSCG</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8" type="#_x0000_t65" style="position:absolute;left:1605;top:1319;width:186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kMEA&#10;AADaAAAADwAAAGRycy9kb3ducmV2LnhtbESPT4vCMBTE7wt+h/AEb2uqiLtUo6gou3jxL3h9JM+2&#10;2ryUJmr99kZY2OMwM79hxtPGluJOtS8cK+h1ExDE2pmCMwXHw+rzG4QPyAZLx6TgSR6mk9bHGFPj&#10;Hryj+z5kIkLYp6ggD6FKpfQ6J4u+6yri6J1dbTFEWWfS1PiIcFvKfpIMpcWC40KOFS1y0tf9zSpw&#10;l/BlNrvtabhd6vmPznB9xLVSnXYzG4EI1IT/8F/71ygYwPtKv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VPpDBAAAA2gAAAA8AAAAAAAAAAAAAAAAAmAIAAGRycy9kb3du&#10;cmV2LnhtbFBLBQYAAAAABAAEAPUAAACGAwAAAAA=&#10;" filled="f"/>
              </v:group>
            </w:pict>
          </mc:Fallback>
        </mc:AlternateContent>
      </w:r>
      <w:r w:rsidR="005C2218">
        <w:rPr>
          <w:rFonts w:ascii="Times New Roman" w:eastAsia="Times" w:hAnsi="Times New Roman"/>
          <w:b/>
          <w:sz w:val="20"/>
          <w:szCs w:val="20"/>
        </w:rPr>
        <w:t xml:space="preserve">      </w:t>
      </w:r>
    </w:p>
    <w:p w:rsidR="005F6294" w:rsidRPr="004D033B" w:rsidRDefault="005F6294" w:rsidP="005F6294">
      <w:pPr>
        <w:rPr>
          <w:rFonts w:ascii="Times New Roman" w:eastAsia="Times" w:hAnsi="Times New Roman"/>
          <w:sz w:val="24"/>
          <w:szCs w:val="20"/>
        </w:rPr>
      </w:pPr>
    </w:p>
    <w:p w:rsidR="005F6294" w:rsidRPr="004D033B" w:rsidRDefault="005F6294" w:rsidP="005F6294">
      <w:pPr>
        <w:rPr>
          <w:rFonts w:ascii="Times New Roman" w:hAnsi="Times New Roman"/>
        </w:rPr>
      </w:pPr>
    </w:p>
    <w:p w:rsidR="005F6294" w:rsidRPr="00A41E9B" w:rsidRDefault="005F6294" w:rsidP="004D033B">
      <w:pPr>
        <w:spacing w:after="0" w:line="240" w:lineRule="auto"/>
        <w:jc w:val="center"/>
        <w:rPr>
          <w:rFonts w:ascii="Times New Roman" w:hAnsi="Times New Roman"/>
          <w:sz w:val="28"/>
          <w:szCs w:val="28"/>
        </w:rPr>
      </w:pPr>
    </w:p>
    <w:p w:rsidR="004D033B" w:rsidRPr="00A41E9B" w:rsidRDefault="004D033B" w:rsidP="004D033B">
      <w:pPr>
        <w:spacing w:after="0" w:line="240" w:lineRule="auto"/>
        <w:jc w:val="center"/>
        <w:rPr>
          <w:rFonts w:ascii="Times New Roman" w:hAnsi="Times New Roman"/>
          <w:sz w:val="48"/>
          <w:szCs w:val="48"/>
        </w:rPr>
      </w:pPr>
    </w:p>
    <w:p w:rsidR="004D033B" w:rsidRPr="00A41E9B" w:rsidRDefault="004D033B" w:rsidP="004D033B">
      <w:pPr>
        <w:spacing w:after="0" w:line="240" w:lineRule="auto"/>
        <w:jc w:val="center"/>
        <w:rPr>
          <w:rFonts w:ascii="Times New Roman" w:hAnsi="Times New Roman"/>
          <w:sz w:val="48"/>
          <w:szCs w:val="48"/>
        </w:rPr>
      </w:pPr>
    </w:p>
    <w:p w:rsidR="005F6294" w:rsidRDefault="005F6294" w:rsidP="004D033B">
      <w:pPr>
        <w:pStyle w:val="Titre"/>
        <w:rPr>
          <w:b/>
          <w:sz w:val="36"/>
          <w:szCs w:val="36"/>
        </w:rPr>
      </w:pPr>
      <w:r w:rsidRPr="004D033B">
        <w:rPr>
          <w:b/>
          <w:sz w:val="36"/>
          <w:szCs w:val="36"/>
        </w:rPr>
        <w:t>SESSION 201</w:t>
      </w:r>
      <w:r w:rsidR="00A141AA" w:rsidRPr="004D033B">
        <w:rPr>
          <w:b/>
          <w:sz w:val="36"/>
          <w:szCs w:val="36"/>
        </w:rPr>
        <w:t>3</w:t>
      </w:r>
    </w:p>
    <w:p w:rsidR="004D033B" w:rsidRDefault="004D033B" w:rsidP="004D033B">
      <w:pPr>
        <w:pStyle w:val="Titre"/>
        <w:rPr>
          <w:b/>
          <w:bCs/>
          <w:caps/>
          <w:sz w:val="48"/>
          <w:szCs w:val="48"/>
        </w:rPr>
      </w:pPr>
    </w:p>
    <w:p w:rsidR="00A41E9B" w:rsidRPr="00A41E9B" w:rsidRDefault="00A41E9B" w:rsidP="004D033B">
      <w:pPr>
        <w:pStyle w:val="Titre"/>
        <w:rPr>
          <w:b/>
          <w:bCs/>
          <w:caps/>
          <w:sz w:val="48"/>
          <w:szCs w:val="48"/>
        </w:rPr>
      </w:pPr>
    </w:p>
    <w:p w:rsidR="005F6294" w:rsidRPr="00C4139C" w:rsidRDefault="005F6294" w:rsidP="004D033B">
      <w:pPr>
        <w:pStyle w:val="Titre3"/>
        <w:spacing w:before="0" w:line="240" w:lineRule="auto"/>
        <w:jc w:val="center"/>
        <w:rPr>
          <w:rFonts w:ascii="Times New Roman" w:hAnsi="Times New Roman"/>
          <w:color w:val="auto"/>
          <w:sz w:val="32"/>
          <w:szCs w:val="32"/>
        </w:rPr>
      </w:pPr>
      <w:r w:rsidRPr="00C4139C">
        <w:rPr>
          <w:rFonts w:ascii="Times New Roman" w:hAnsi="Times New Roman"/>
          <w:color w:val="auto"/>
          <w:sz w:val="32"/>
          <w:szCs w:val="32"/>
        </w:rPr>
        <w:t>UE 1 - GESTION JURIDIQUE, FISCALE ET SOCIALE</w:t>
      </w:r>
    </w:p>
    <w:p w:rsidR="005F6294" w:rsidRDefault="005F6294" w:rsidP="00A41E9B">
      <w:pPr>
        <w:spacing w:after="0" w:line="240" w:lineRule="auto"/>
        <w:jc w:val="center"/>
        <w:rPr>
          <w:rFonts w:ascii="Times New Roman" w:hAnsi="Times New Roman"/>
          <w:sz w:val="32"/>
          <w:szCs w:val="32"/>
        </w:rPr>
      </w:pPr>
    </w:p>
    <w:p w:rsidR="007106BE" w:rsidRDefault="007106BE" w:rsidP="00A41E9B">
      <w:pPr>
        <w:spacing w:after="0" w:line="240" w:lineRule="auto"/>
        <w:jc w:val="center"/>
        <w:rPr>
          <w:rFonts w:ascii="Times New Roman" w:hAnsi="Times New Roman"/>
          <w:sz w:val="32"/>
          <w:szCs w:val="32"/>
        </w:rPr>
      </w:pPr>
    </w:p>
    <w:p w:rsidR="007106BE" w:rsidRPr="00A41E9B" w:rsidRDefault="007106BE" w:rsidP="00A41E9B">
      <w:pPr>
        <w:spacing w:after="0" w:line="240" w:lineRule="auto"/>
        <w:jc w:val="center"/>
        <w:rPr>
          <w:rFonts w:ascii="Times New Roman" w:hAnsi="Times New Roman"/>
          <w:sz w:val="48"/>
          <w:szCs w:val="48"/>
        </w:rPr>
      </w:pPr>
    </w:p>
    <w:p w:rsidR="00C4139C" w:rsidRDefault="00C4139C" w:rsidP="007106B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rPr>
      </w:pPr>
    </w:p>
    <w:p w:rsidR="005F6294" w:rsidRDefault="007106BE" w:rsidP="007106B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rPr>
      </w:pPr>
      <w:r w:rsidRPr="00C4139C">
        <w:rPr>
          <w:rFonts w:ascii="Times New Roman" w:hAnsi="Times New Roman"/>
          <w:sz w:val="32"/>
          <w:szCs w:val="32"/>
        </w:rPr>
        <w:t>Éléments indicatifs de corrigé</w:t>
      </w:r>
    </w:p>
    <w:p w:rsidR="00C4139C" w:rsidRPr="00C4139C" w:rsidRDefault="00C4139C" w:rsidP="007106B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rPr>
      </w:pPr>
    </w:p>
    <w:p w:rsidR="005F6294" w:rsidRPr="00A41E9B" w:rsidRDefault="005F6294" w:rsidP="00A41E9B">
      <w:pPr>
        <w:spacing w:after="0" w:line="240" w:lineRule="auto"/>
        <w:jc w:val="center"/>
        <w:rPr>
          <w:rFonts w:ascii="Times New Roman" w:hAnsi="Times New Roman"/>
          <w:sz w:val="48"/>
          <w:szCs w:val="48"/>
        </w:rPr>
      </w:pPr>
    </w:p>
    <w:p w:rsidR="00535059" w:rsidRPr="004D033B" w:rsidRDefault="006E5E81" w:rsidP="00F908D7">
      <w:pPr>
        <w:spacing w:after="0" w:line="240" w:lineRule="auto"/>
        <w:rPr>
          <w:rFonts w:ascii="Times New Roman" w:hAnsi="Times New Roman"/>
          <w:color w:val="000000"/>
          <w:spacing w:val="-7"/>
          <w:sz w:val="24"/>
          <w:szCs w:val="24"/>
        </w:rPr>
      </w:pPr>
      <w:r w:rsidRPr="004D033B">
        <w:rPr>
          <w:rFonts w:ascii="Times New Roman" w:hAnsi="Times New Roman"/>
          <w:color w:val="000000"/>
          <w:spacing w:val="-7"/>
          <w:sz w:val="24"/>
          <w:szCs w:val="24"/>
        </w:rPr>
        <w:br w:type="page"/>
      </w: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r w:rsidRPr="004D033B">
        <w:rPr>
          <w:rFonts w:ascii="Times New Roman" w:hAnsi="Times New Roman"/>
          <w:b/>
          <w:sz w:val="24"/>
          <w:szCs w:val="24"/>
        </w:rPr>
        <w:t>DOSSIER 1</w:t>
      </w:r>
      <w:r w:rsidR="0001407C">
        <w:rPr>
          <w:rFonts w:ascii="Times New Roman" w:hAnsi="Times New Roman"/>
          <w:b/>
          <w:sz w:val="24"/>
          <w:szCs w:val="24"/>
        </w:rPr>
        <w:t xml:space="preserve"> – GROUPE DE SOCIÉTÉS</w:t>
      </w: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535059" w:rsidRPr="004D033B" w:rsidRDefault="00535059" w:rsidP="004D033B">
      <w:pPr>
        <w:spacing w:after="0" w:line="240" w:lineRule="auto"/>
        <w:jc w:val="both"/>
        <w:rPr>
          <w:rFonts w:ascii="Times New Roman" w:hAnsi="Times New Roman"/>
          <w:b/>
          <w:sz w:val="24"/>
          <w:szCs w:val="24"/>
        </w:rPr>
      </w:pPr>
    </w:p>
    <w:p w:rsidR="0083454A" w:rsidRDefault="008E2ECA" w:rsidP="0048781C">
      <w:pPr>
        <w:spacing w:after="0" w:line="240" w:lineRule="auto"/>
        <w:ind w:left="34"/>
        <w:jc w:val="both"/>
        <w:rPr>
          <w:rFonts w:ascii="Times New Roman" w:hAnsi="Times New Roman"/>
          <w:b/>
          <w:sz w:val="24"/>
          <w:szCs w:val="24"/>
        </w:rPr>
      </w:pPr>
      <w:r>
        <w:rPr>
          <w:rFonts w:ascii="Times New Roman" w:hAnsi="Times New Roman"/>
          <w:b/>
          <w:sz w:val="24"/>
          <w:szCs w:val="24"/>
        </w:rPr>
        <w:t>1</w:t>
      </w:r>
      <w:r w:rsidRPr="004D033B">
        <w:rPr>
          <w:rFonts w:ascii="Times New Roman" w:hAnsi="Times New Roman"/>
          <w:b/>
          <w:sz w:val="24"/>
          <w:szCs w:val="24"/>
        </w:rPr>
        <w:t xml:space="preserve"> – </w:t>
      </w:r>
      <w:r w:rsidR="00BC172E" w:rsidRPr="008E2ECA">
        <w:rPr>
          <w:rFonts w:ascii="Times New Roman" w:hAnsi="Times New Roman"/>
          <w:b/>
          <w:sz w:val="24"/>
          <w:szCs w:val="24"/>
        </w:rPr>
        <w:t>Les dirigeants de la société DUJARDIN souhaiteraient placer le groupe sous le régime de l’intégration fiscale avec la société DUJARDIN comme société tête de groupe. Dans ces conditions, après avoir rappelé les conditions qui permettent à une société de faire partie d’un groupe fiscalement intégré, indiquer, en justifiant votre position, les sociétés du groupe DUJARDIN qui peuvent potentiellement être comprises dans le périmètre d’intégration.</w:t>
      </w:r>
    </w:p>
    <w:p w:rsidR="007728DE" w:rsidRPr="008E2ECA" w:rsidRDefault="007728DE" w:rsidP="00B33C57">
      <w:pPr>
        <w:spacing w:after="120" w:line="240" w:lineRule="auto"/>
        <w:ind w:left="34"/>
        <w:jc w:val="both"/>
        <w:rPr>
          <w:rFonts w:ascii="Times New Roman" w:hAnsi="Times New Roman"/>
          <w:b/>
          <w:sz w:val="24"/>
          <w:szCs w:val="24"/>
        </w:rPr>
      </w:pPr>
    </w:p>
    <w:p w:rsidR="00535059" w:rsidRPr="004D033B" w:rsidRDefault="00535059" w:rsidP="00344EAB">
      <w:pPr>
        <w:spacing w:after="0" w:line="240" w:lineRule="auto"/>
        <w:jc w:val="both"/>
        <w:rPr>
          <w:rFonts w:ascii="Times New Roman" w:hAnsi="Times New Roman"/>
          <w:sz w:val="24"/>
          <w:szCs w:val="24"/>
        </w:rPr>
      </w:pPr>
      <w:r w:rsidRPr="004D033B">
        <w:rPr>
          <w:rFonts w:ascii="Times New Roman" w:hAnsi="Times New Roman"/>
          <w:sz w:val="24"/>
          <w:szCs w:val="24"/>
        </w:rPr>
        <w:t>Pour pouvoir faire partie d’un groupe fiscalement intégré, une société :</w:t>
      </w:r>
    </w:p>
    <w:p w:rsidR="00535059" w:rsidRPr="004D033B" w:rsidRDefault="008F6BBA" w:rsidP="00344EAB">
      <w:pPr>
        <w:pStyle w:val="Paragraphedeliste"/>
        <w:numPr>
          <w:ilvl w:val="0"/>
          <w:numId w:val="5"/>
        </w:numPr>
        <w:spacing w:after="0" w:line="240" w:lineRule="auto"/>
        <w:jc w:val="both"/>
        <w:rPr>
          <w:rFonts w:ascii="Times New Roman" w:hAnsi="Times New Roman"/>
          <w:sz w:val="24"/>
          <w:szCs w:val="24"/>
        </w:rPr>
      </w:pPr>
      <w:r w:rsidRPr="004D033B">
        <w:rPr>
          <w:rFonts w:ascii="Times New Roman" w:hAnsi="Times New Roman"/>
          <w:sz w:val="24"/>
          <w:szCs w:val="24"/>
        </w:rPr>
        <w:t>d</w:t>
      </w:r>
      <w:r w:rsidR="00535059" w:rsidRPr="004D033B">
        <w:rPr>
          <w:rFonts w:ascii="Times New Roman" w:hAnsi="Times New Roman"/>
          <w:sz w:val="24"/>
          <w:szCs w:val="24"/>
        </w:rPr>
        <w:t xml:space="preserve">oit être soumise de plein droit ou sur option à l’impôt sur les sociétés ; </w:t>
      </w:r>
    </w:p>
    <w:p w:rsidR="00535059" w:rsidRPr="004D033B" w:rsidRDefault="008F6BBA" w:rsidP="00344EAB">
      <w:pPr>
        <w:pStyle w:val="Paragraphedeliste"/>
        <w:numPr>
          <w:ilvl w:val="0"/>
          <w:numId w:val="5"/>
        </w:numPr>
        <w:spacing w:after="0" w:line="240" w:lineRule="auto"/>
        <w:jc w:val="both"/>
        <w:rPr>
          <w:rFonts w:ascii="Times New Roman" w:hAnsi="Times New Roman"/>
          <w:sz w:val="24"/>
          <w:szCs w:val="24"/>
        </w:rPr>
      </w:pPr>
      <w:r w:rsidRPr="004D033B">
        <w:rPr>
          <w:rFonts w:ascii="Times New Roman" w:hAnsi="Times New Roman"/>
          <w:sz w:val="24"/>
          <w:szCs w:val="24"/>
        </w:rPr>
        <w:t>d</w:t>
      </w:r>
      <w:r w:rsidR="00535059" w:rsidRPr="004D033B">
        <w:rPr>
          <w:rFonts w:ascii="Times New Roman" w:hAnsi="Times New Roman"/>
          <w:sz w:val="24"/>
          <w:szCs w:val="24"/>
        </w:rPr>
        <w:t xml:space="preserve">oit clôturer ses exercices à la même date que les autres sociétés du groupe ; </w:t>
      </w:r>
    </w:p>
    <w:p w:rsidR="00535059" w:rsidRPr="004D033B" w:rsidRDefault="008F6BBA" w:rsidP="00344EAB">
      <w:pPr>
        <w:pStyle w:val="Paragraphedeliste"/>
        <w:numPr>
          <w:ilvl w:val="0"/>
          <w:numId w:val="5"/>
        </w:numPr>
        <w:spacing w:after="0" w:line="240" w:lineRule="auto"/>
        <w:jc w:val="both"/>
        <w:rPr>
          <w:rFonts w:ascii="Times New Roman" w:hAnsi="Times New Roman"/>
          <w:sz w:val="24"/>
          <w:szCs w:val="24"/>
        </w:rPr>
      </w:pPr>
      <w:r w:rsidRPr="004D033B">
        <w:rPr>
          <w:rFonts w:ascii="Times New Roman" w:hAnsi="Times New Roman"/>
          <w:sz w:val="24"/>
          <w:szCs w:val="24"/>
        </w:rPr>
        <w:t>d</w:t>
      </w:r>
      <w:r w:rsidR="00535059" w:rsidRPr="004D033B">
        <w:rPr>
          <w:rFonts w:ascii="Times New Roman" w:hAnsi="Times New Roman"/>
          <w:sz w:val="24"/>
          <w:szCs w:val="24"/>
        </w:rPr>
        <w:t>oit être détenue directement ou indirectement à au moins 95 % par les autres sociétés du groupe (on rappelle que pour l’appréciation des détentions indirectes dans les sociétés du groupe, les sociétés détenues à 95 % ou plus sont présumées détenues à 100 %) ;</w:t>
      </w:r>
    </w:p>
    <w:p w:rsidR="00535059" w:rsidRDefault="008F6BBA" w:rsidP="00344EAB">
      <w:pPr>
        <w:pStyle w:val="Paragraphedeliste"/>
        <w:numPr>
          <w:ilvl w:val="0"/>
          <w:numId w:val="5"/>
        </w:numPr>
        <w:spacing w:after="0" w:line="240" w:lineRule="auto"/>
        <w:jc w:val="both"/>
        <w:rPr>
          <w:rFonts w:ascii="Times New Roman" w:hAnsi="Times New Roman"/>
          <w:sz w:val="24"/>
          <w:szCs w:val="24"/>
        </w:rPr>
      </w:pPr>
      <w:r w:rsidRPr="004D033B">
        <w:rPr>
          <w:rFonts w:ascii="Times New Roman" w:hAnsi="Times New Roman"/>
          <w:sz w:val="24"/>
          <w:szCs w:val="24"/>
        </w:rPr>
        <w:t>d</w:t>
      </w:r>
      <w:r w:rsidR="00535059" w:rsidRPr="004D033B">
        <w:rPr>
          <w:rFonts w:ascii="Times New Roman" w:hAnsi="Times New Roman"/>
          <w:sz w:val="24"/>
          <w:szCs w:val="24"/>
        </w:rPr>
        <w:t>oit avoir formellement manifesté son accord  pour faire partie du groupe fiscalement intégré.</w:t>
      </w:r>
    </w:p>
    <w:p w:rsidR="007525AC" w:rsidRPr="004D033B" w:rsidRDefault="007525AC" w:rsidP="007728DE">
      <w:pPr>
        <w:pStyle w:val="Paragraphedeliste"/>
        <w:spacing w:after="0" w:line="240" w:lineRule="auto"/>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7919"/>
      </w:tblGrid>
      <w:tr w:rsidR="00535059" w:rsidRPr="00D8636B" w:rsidTr="00D8636B">
        <w:trPr>
          <w:jc w:val="center"/>
        </w:trPr>
        <w:tc>
          <w:tcPr>
            <w:tcW w:w="982" w:type="pct"/>
          </w:tcPr>
          <w:p w:rsidR="00535059" w:rsidRPr="00D8636B" w:rsidRDefault="00EE2309" w:rsidP="00D8636B">
            <w:pPr>
              <w:spacing w:after="0" w:line="240" w:lineRule="auto"/>
              <w:jc w:val="both"/>
              <w:rPr>
                <w:rFonts w:ascii="Times New Roman" w:hAnsi="Times New Roman"/>
                <w:sz w:val="24"/>
                <w:szCs w:val="24"/>
              </w:rPr>
            </w:pPr>
            <w:r w:rsidRPr="00D8636B">
              <w:rPr>
                <w:rFonts w:ascii="Times New Roman" w:hAnsi="Times New Roman"/>
                <w:sz w:val="24"/>
                <w:szCs w:val="24"/>
              </w:rPr>
              <w:t>Société Dujardin</w:t>
            </w:r>
          </w:p>
        </w:tc>
        <w:tc>
          <w:tcPr>
            <w:tcW w:w="4018" w:type="pct"/>
          </w:tcPr>
          <w:p w:rsidR="00535059"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Société tête de groupe, fait naturellement partie du groupe.</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A</w:t>
            </w:r>
          </w:p>
        </w:tc>
        <w:tc>
          <w:tcPr>
            <w:tcW w:w="4018" w:type="pct"/>
          </w:tcPr>
          <w:p w:rsidR="00344EAB"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Détenue directeme</w:t>
            </w:r>
            <w:r w:rsidR="00344EAB" w:rsidRPr="00D8636B">
              <w:rPr>
                <w:rFonts w:ascii="Times New Roman" w:hAnsi="Times New Roman"/>
                <w:sz w:val="24"/>
                <w:szCs w:val="24"/>
              </w:rPr>
              <w:t>nt à 96 % par la société mère.</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A p</w:t>
            </w:r>
            <w:r w:rsidR="00535059" w:rsidRPr="00D8636B">
              <w:rPr>
                <w:rFonts w:ascii="Times New Roman" w:hAnsi="Times New Roman"/>
                <w:sz w:val="24"/>
                <w:szCs w:val="24"/>
              </w:rPr>
              <w:t>eut être intégrée</w:t>
            </w:r>
            <w:r w:rsidR="00344EAB"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B</w:t>
            </w:r>
          </w:p>
        </w:tc>
        <w:tc>
          <w:tcPr>
            <w:tcW w:w="4018" w:type="pct"/>
          </w:tcPr>
          <w:p w:rsidR="00344EAB"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Détenue directement à 80 % par la société mère et indirectement par la société A à hauteur de 17 %, soit présumée déten</w:t>
            </w:r>
            <w:r w:rsidR="00344EAB" w:rsidRPr="00D8636B">
              <w:rPr>
                <w:rFonts w:ascii="Times New Roman" w:hAnsi="Times New Roman"/>
                <w:sz w:val="24"/>
                <w:szCs w:val="24"/>
              </w:rPr>
              <w:t>ue à 97 % par la société mère.</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B p</w:t>
            </w:r>
            <w:r w:rsidR="00535059" w:rsidRPr="00D8636B">
              <w:rPr>
                <w:rFonts w:ascii="Times New Roman" w:hAnsi="Times New Roman"/>
                <w:sz w:val="24"/>
                <w:szCs w:val="24"/>
              </w:rPr>
              <w:t xml:space="preserve">eut être </w:t>
            </w:r>
            <w:proofErr w:type="gramStart"/>
            <w:r w:rsidR="00535059" w:rsidRPr="00D8636B">
              <w:rPr>
                <w:rFonts w:ascii="Times New Roman" w:hAnsi="Times New Roman"/>
                <w:sz w:val="24"/>
                <w:szCs w:val="24"/>
              </w:rPr>
              <w:t>intégrée</w:t>
            </w:r>
            <w:proofErr w:type="gramEnd"/>
            <w:r w:rsidR="00535059"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C</w:t>
            </w:r>
          </w:p>
        </w:tc>
        <w:tc>
          <w:tcPr>
            <w:tcW w:w="4018" w:type="pct"/>
          </w:tcPr>
          <w:p w:rsidR="00344EAB"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 xml:space="preserve">Détenue directement à 98 % par la société mère – la société C revêt la forme de société </w:t>
            </w:r>
            <w:r w:rsidR="00A1107F" w:rsidRPr="00D8636B">
              <w:rPr>
                <w:rFonts w:ascii="Times New Roman" w:hAnsi="Times New Roman"/>
                <w:sz w:val="24"/>
                <w:szCs w:val="24"/>
              </w:rPr>
              <w:t>en nom collectif mais</w:t>
            </w:r>
            <w:r w:rsidRPr="00D8636B">
              <w:rPr>
                <w:rFonts w:ascii="Times New Roman" w:hAnsi="Times New Roman"/>
                <w:sz w:val="24"/>
                <w:szCs w:val="24"/>
              </w:rPr>
              <w:t xml:space="preserve"> a opté pour l’impôt sur les sociétés. Elle peut donc être prise en compte. </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C p</w:t>
            </w:r>
            <w:r w:rsidR="00535059" w:rsidRPr="00D8636B">
              <w:rPr>
                <w:rFonts w:ascii="Times New Roman" w:hAnsi="Times New Roman"/>
                <w:sz w:val="24"/>
                <w:szCs w:val="24"/>
              </w:rPr>
              <w:t xml:space="preserve">eut être </w:t>
            </w:r>
            <w:proofErr w:type="gramStart"/>
            <w:r w:rsidR="00535059" w:rsidRPr="00D8636B">
              <w:rPr>
                <w:rFonts w:ascii="Times New Roman" w:hAnsi="Times New Roman"/>
                <w:sz w:val="24"/>
                <w:szCs w:val="24"/>
              </w:rPr>
              <w:t>intégrée</w:t>
            </w:r>
            <w:proofErr w:type="gramEnd"/>
            <w:r w:rsidR="008344E4"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D</w:t>
            </w:r>
          </w:p>
        </w:tc>
        <w:tc>
          <w:tcPr>
            <w:tcW w:w="4018" w:type="pct"/>
          </w:tcPr>
          <w:p w:rsidR="003B2417"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Détenue à 80 % indirectement par la société mère – Taux</w:t>
            </w:r>
            <w:r w:rsidR="00A1107F" w:rsidRPr="00D8636B">
              <w:rPr>
                <w:rFonts w:ascii="Times New Roman" w:hAnsi="Times New Roman"/>
                <w:sz w:val="24"/>
                <w:szCs w:val="24"/>
              </w:rPr>
              <w:t xml:space="preserve"> de détention inférieur à 95 %</w:t>
            </w:r>
            <w:r w:rsidR="003B2417" w:rsidRPr="00D8636B">
              <w:rPr>
                <w:rFonts w:ascii="Times New Roman" w:hAnsi="Times New Roman"/>
                <w:sz w:val="24"/>
                <w:szCs w:val="24"/>
              </w:rPr>
              <w:t>.</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D n</w:t>
            </w:r>
            <w:r w:rsidR="00535059" w:rsidRPr="00D8636B">
              <w:rPr>
                <w:rFonts w:ascii="Times New Roman" w:hAnsi="Times New Roman"/>
                <w:sz w:val="24"/>
                <w:szCs w:val="24"/>
              </w:rPr>
              <w:t xml:space="preserve">e peut être </w:t>
            </w:r>
            <w:proofErr w:type="gramStart"/>
            <w:r w:rsidR="00535059" w:rsidRPr="00D8636B">
              <w:rPr>
                <w:rFonts w:ascii="Times New Roman" w:hAnsi="Times New Roman"/>
                <w:sz w:val="24"/>
                <w:szCs w:val="24"/>
              </w:rPr>
              <w:t>intégrée</w:t>
            </w:r>
            <w:proofErr w:type="gramEnd"/>
            <w:r w:rsidR="00535059"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E</w:t>
            </w:r>
          </w:p>
        </w:tc>
        <w:tc>
          <w:tcPr>
            <w:tcW w:w="4018" w:type="pct"/>
          </w:tcPr>
          <w:p w:rsidR="003502B1"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 xml:space="preserve">Présumée détenue indirectement par la société mère par le biais des filiales B et C qui détiennent E à 60 % + 35 % = 95 %. </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E p</w:t>
            </w:r>
            <w:r w:rsidR="00535059" w:rsidRPr="00D8636B">
              <w:rPr>
                <w:rFonts w:ascii="Times New Roman" w:hAnsi="Times New Roman"/>
                <w:sz w:val="24"/>
                <w:szCs w:val="24"/>
              </w:rPr>
              <w:t xml:space="preserve">eut être </w:t>
            </w:r>
            <w:proofErr w:type="gramStart"/>
            <w:r w:rsidR="00535059" w:rsidRPr="00D8636B">
              <w:rPr>
                <w:rFonts w:ascii="Times New Roman" w:hAnsi="Times New Roman"/>
                <w:sz w:val="24"/>
                <w:szCs w:val="24"/>
              </w:rPr>
              <w:t>intégrée</w:t>
            </w:r>
            <w:proofErr w:type="gramEnd"/>
            <w:r w:rsidR="00535059"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F</w:t>
            </w:r>
          </w:p>
        </w:tc>
        <w:tc>
          <w:tcPr>
            <w:tcW w:w="4018" w:type="pct"/>
          </w:tcPr>
          <w:p w:rsidR="003B2417"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 xml:space="preserve">F est </w:t>
            </w:r>
            <w:proofErr w:type="gramStart"/>
            <w:r w:rsidRPr="00D8636B">
              <w:rPr>
                <w:rFonts w:ascii="Times New Roman" w:hAnsi="Times New Roman"/>
                <w:sz w:val="24"/>
                <w:szCs w:val="24"/>
              </w:rPr>
              <w:t>détenue</w:t>
            </w:r>
            <w:proofErr w:type="gramEnd"/>
            <w:r w:rsidRPr="00D8636B">
              <w:rPr>
                <w:rFonts w:ascii="Times New Roman" w:hAnsi="Times New Roman"/>
                <w:sz w:val="24"/>
                <w:szCs w:val="24"/>
              </w:rPr>
              <w:t xml:space="preserve"> à 80 % par la</w:t>
            </w:r>
            <w:r w:rsidR="003B2417" w:rsidRPr="00D8636B">
              <w:rPr>
                <w:rFonts w:ascii="Times New Roman" w:hAnsi="Times New Roman"/>
                <w:sz w:val="24"/>
                <w:szCs w:val="24"/>
              </w:rPr>
              <w:t xml:space="preserve"> société D qui ne fait</w:t>
            </w:r>
            <w:r w:rsidRPr="00D8636B">
              <w:rPr>
                <w:rFonts w:ascii="Times New Roman" w:hAnsi="Times New Roman"/>
                <w:sz w:val="24"/>
                <w:szCs w:val="24"/>
              </w:rPr>
              <w:t xml:space="preserve"> pas partie du groupe intégré. </w:t>
            </w:r>
          </w:p>
          <w:p w:rsidR="00535059" w:rsidRPr="00D8636B" w:rsidRDefault="00B314CE" w:rsidP="00D8636B">
            <w:pPr>
              <w:spacing w:after="0" w:line="240" w:lineRule="auto"/>
              <w:jc w:val="both"/>
              <w:rPr>
                <w:rFonts w:ascii="Times New Roman" w:hAnsi="Times New Roman"/>
                <w:sz w:val="24"/>
                <w:szCs w:val="24"/>
              </w:rPr>
            </w:pPr>
            <w:r w:rsidRPr="00D8636B">
              <w:rPr>
                <w:rFonts w:ascii="Times New Roman" w:hAnsi="Times New Roman"/>
                <w:sz w:val="24"/>
                <w:szCs w:val="24"/>
              </w:rPr>
              <w:t>F n</w:t>
            </w:r>
            <w:r w:rsidR="00535059" w:rsidRPr="00D8636B">
              <w:rPr>
                <w:rFonts w:ascii="Times New Roman" w:hAnsi="Times New Roman"/>
                <w:sz w:val="24"/>
                <w:szCs w:val="24"/>
              </w:rPr>
              <w:t xml:space="preserve">e peut être </w:t>
            </w:r>
            <w:proofErr w:type="gramStart"/>
            <w:r w:rsidR="00535059" w:rsidRPr="00D8636B">
              <w:rPr>
                <w:rFonts w:ascii="Times New Roman" w:hAnsi="Times New Roman"/>
                <w:sz w:val="24"/>
                <w:szCs w:val="24"/>
              </w:rPr>
              <w:t>intégrée</w:t>
            </w:r>
            <w:proofErr w:type="gramEnd"/>
            <w:r w:rsidR="00535059"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G</w:t>
            </w:r>
          </w:p>
        </w:tc>
        <w:tc>
          <w:tcPr>
            <w:tcW w:w="4018" w:type="pct"/>
          </w:tcPr>
          <w:p w:rsidR="005406D5"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Pour l’appréciation du taux de détention indirecte dans le capital de la société G, on ne peut retenir que les participations de B et de E, la société D ne faisant pas partie du groupe fiscalement intégré. Or les participations de B et de E ne représentent que 85 % + 5%</w:t>
            </w:r>
            <w:r w:rsidR="00B314CE" w:rsidRPr="00D8636B">
              <w:rPr>
                <w:rFonts w:ascii="Times New Roman" w:hAnsi="Times New Roman"/>
                <w:sz w:val="24"/>
                <w:szCs w:val="24"/>
              </w:rPr>
              <w:t xml:space="preserve"> </w:t>
            </w:r>
            <w:r w:rsidRPr="00D8636B">
              <w:rPr>
                <w:rFonts w:ascii="Times New Roman" w:hAnsi="Times New Roman"/>
                <w:sz w:val="24"/>
                <w:szCs w:val="24"/>
              </w:rPr>
              <w:t xml:space="preserve">= 90 %, soit moins de 95 %. </w:t>
            </w:r>
          </w:p>
          <w:p w:rsidR="00535059"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 xml:space="preserve">G ne peut être </w:t>
            </w:r>
            <w:proofErr w:type="gramStart"/>
            <w:r w:rsidRPr="00D8636B">
              <w:rPr>
                <w:rFonts w:ascii="Times New Roman" w:hAnsi="Times New Roman"/>
                <w:sz w:val="24"/>
                <w:szCs w:val="24"/>
              </w:rPr>
              <w:t>intégrée</w:t>
            </w:r>
            <w:proofErr w:type="gramEnd"/>
            <w:r w:rsidRPr="00D8636B">
              <w:rPr>
                <w:rFonts w:ascii="Times New Roman" w:hAnsi="Times New Roman"/>
                <w:sz w:val="24"/>
                <w:szCs w:val="24"/>
              </w:rPr>
              <w:t>.</w:t>
            </w:r>
          </w:p>
        </w:tc>
      </w:tr>
      <w:tr w:rsidR="00535059" w:rsidRPr="00D8636B" w:rsidTr="00110EA2">
        <w:trPr>
          <w:jc w:val="center"/>
        </w:trPr>
        <w:tc>
          <w:tcPr>
            <w:tcW w:w="982" w:type="pct"/>
            <w:vAlign w:val="center"/>
          </w:tcPr>
          <w:p w:rsidR="00535059" w:rsidRPr="00D8636B" w:rsidRDefault="00535059" w:rsidP="00110EA2">
            <w:pPr>
              <w:spacing w:after="0" w:line="240" w:lineRule="auto"/>
              <w:rPr>
                <w:rFonts w:ascii="Times New Roman" w:hAnsi="Times New Roman"/>
                <w:sz w:val="24"/>
                <w:szCs w:val="24"/>
              </w:rPr>
            </w:pPr>
            <w:r w:rsidRPr="00D8636B">
              <w:rPr>
                <w:rFonts w:ascii="Times New Roman" w:hAnsi="Times New Roman"/>
                <w:sz w:val="24"/>
                <w:szCs w:val="24"/>
              </w:rPr>
              <w:t>Société H</w:t>
            </w:r>
          </w:p>
        </w:tc>
        <w:tc>
          <w:tcPr>
            <w:tcW w:w="4018" w:type="pct"/>
          </w:tcPr>
          <w:p w:rsidR="003B2417" w:rsidRPr="00D8636B" w:rsidRDefault="00535059" w:rsidP="00D8636B">
            <w:pPr>
              <w:spacing w:after="0" w:line="240" w:lineRule="auto"/>
              <w:jc w:val="both"/>
              <w:rPr>
                <w:rFonts w:ascii="Times New Roman" w:hAnsi="Times New Roman"/>
                <w:sz w:val="24"/>
                <w:szCs w:val="24"/>
              </w:rPr>
            </w:pPr>
            <w:r w:rsidRPr="00D8636B">
              <w:rPr>
                <w:rFonts w:ascii="Times New Roman" w:hAnsi="Times New Roman"/>
                <w:sz w:val="24"/>
                <w:szCs w:val="24"/>
              </w:rPr>
              <w:t>La société H est détenue intégralement par la société E qui fait parti</w:t>
            </w:r>
            <w:r w:rsidR="00B33C57" w:rsidRPr="00D8636B">
              <w:rPr>
                <w:rFonts w:ascii="Times New Roman" w:hAnsi="Times New Roman"/>
                <w:sz w:val="24"/>
                <w:szCs w:val="24"/>
              </w:rPr>
              <w:t xml:space="preserve">e du groupe intégré. </w:t>
            </w:r>
          </w:p>
          <w:p w:rsidR="00535059" w:rsidRPr="00D8636B" w:rsidRDefault="00B33C57" w:rsidP="00D8636B">
            <w:pPr>
              <w:spacing w:after="0" w:line="240" w:lineRule="auto"/>
              <w:jc w:val="both"/>
              <w:rPr>
                <w:rFonts w:ascii="Times New Roman" w:hAnsi="Times New Roman"/>
                <w:sz w:val="24"/>
                <w:szCs w:val="24"/>
              </w:rPr>
            </w:pPr>
            <w:r w:rsidRPr="00D8636B">
              <w:rPr>
                <w:rFonts w:ascii="Times New Roman" w:hAnsi="Times New Roman"/>
                <w:sz w:val="24"/>
                <w:szCs w:val="24"/>
              </w:rPr>
              <w:t>H peut être</w:t>
            </w:r>
            <w:r w:rsidR="00535059" w:rsidRPr="00D8636B">
              <w:rPr>
                <w:rFonts w:ascii="Times New Roman" w:hAnsi="Times New Roman"/>
                <w:sz w:val="24"/>
                <w:szCs w:val="24"/>
              </w:rPr>
              <w:t xml:space="preserve"> </w:t>
            </w:r>
            <w:proofErr w:type="gramStart"/>
            <w:r w:rsidR="00535059" w:rsidRPr="00D8636B">
              <w:rPr>
                <w:rFonts w:ascii="Times New Roman" w:hAnsi="Times New Roman"/>
                <w:sz w:val="24"/>
                <w:szCs w:val="24"/>
              </w:rPr>
              <w:t>intégrée</w:t>
            </w:r>
            <w:proofErr w:type="gramEnd"/>
            <w:r w:rsidR="00535059" w:rsidRPr="00D8636B">
              <w:rPr>
                <w:rFonts w:ascii="Times New Roman" w:hAnsi="Times New Roman"/>
                <w:sz w:val="24"/>
                <w:szCs w:val="24"/>
              </w:rPr>
              <w:t>.</w:t>
            </w:r>
          </w:p>
        </w:tc>
      </w:tr>
    </w:tbl>
    <w:p w:rsidR="00535059" w:rsidRPr="004D033B" w:rsidRDefault="00535059" w:rsidP="0083454A">
      <w:pPr>
        <w:spacing w:after="0" w:line="240" w:lineRule="auto"/>
        <w:jc w:val="both"/>
        <w:rPr>
          <w:rFonts w:ascii="Times New Roman" w:hAnsi="Times New Roman"/>
          <w:sz w:val="24"/>
          <w:szCs w:val="24"/>
        </w:rPr>
      </w:pPr>
    </w:p>
    <w:p w:rsidR="00535059" w:rsidRDefault="00535059" w:rsidP="005406D5">
      <w:pPr>
        <w:spacing w:after="0" w:line="240" w:lineRule="auto"/>
        <w:jc w:val="both"/>
        <w:rPr>
          <w:rFonts w:ascii="Times New Roman" w:hAnsi="Times New Roman"/>
          <w:i/>
          <w:sz w:val="24"/>
          <w:szCs w:val="24"/>
        </w:rPr>
      </w:pPr>
      <w:r w:rsidRPr="004D033B">
        <w:rPr>
          <w:rFonts w:ascii="Times New Roman" w:hAnsi="Times New Roman"/>
          <w:sz w:val="24"/>
          <w:szCs w:val="24"/>
        </w:rPr>
        <w:t>Finalement, les sociétés A, B, C, E et H peuvent faire partie d’un groupe fiscalement intégré ayant la SA DUJARDIN comme société tête de groupe. (La société DUJARDIN n’est pas tenue d’intégrer toutes les sociétés intégrables)</w:t>
      </w:r>
      <w:r w:rsidR="008D711B">
        <w:rPr>
          <w:rFonts w:ascii="Times New Roman" w:hAnsi="Times New Roman"/>
          <w:sz w:val="24"/>
          <w:szCs w:val="24"/>
        </w:rPr>
        <w:t>.</w:t>
      </w:r>
      <w:r w:rsidR="00792D88">
        <w:rPr>
          <w:rFonts w:ascii="Times New Roman" w:hAnsi="Times New Roman"/>
          <w:sz w:val="24"/>
          <w:szCs w:val="24"/>
        </w:rPr>
        <w:t xml:space="preserve"> </w:t>
      </w:r>
    </w:p>
    <w:p w:rsidR="005406D5" w:rsidRPr="004D033B" w:rsidRDefault="005406D5" w:rsidP="005406D5">
      <w:pPr>
        <w:spacing w:after="0" w:line="240" w:lineRule="auto"/>
        <w:jc w:val="both"/>
        <w:rPr>
          <w:rFonts w:ascii="Times New Roman" w:hAnsi="Times New Roman"/>
          <w:sz w:val="24"/>
          <w:szCs w:val="24"/>
        </w:rPr>
      </w:pPr>
    </w:p>
    <w:p w:rsidR="00535059" w:rsidRDefault="00535059" w:rsidP="0048781C">
      <w:pPr>
        <w:spacing w:after="0" w:line="240" w:lineRule="auto"/>
        <w:jc w:val="both"/>
        <w:rPr>
          <w:rFonts w:ascii="Times New Roman" w:hAnsi="Times New Roman"/>
          <w:b/>
          <w:i/>
          <w:sz w:val="24"/>
          <w:szCs w:val="24"/>
        </w:rPr>
      </w:pPr>
      <w:r w:rsidRPr="004D033B">
        <w:rPr>
          <w:rFonts w:ascii="Times New Roman" w:hAnsi="Times New Roman"/>
          <w:b/>
          <w:sz w:val="24"/>
          <w:szCs w:val="24"/>
        </w:rPr>
        <w:lastRenderedPageBreak/>
        <w:t>2 – La société A est devenue structurellement déficitaire et a accumulé sur les derniers exercices un important report déficitaire. Jem LACOMPTA, le responsable comptable</w:t>
      </w:r>
      <w:r w:rsidR="00887E47" w:rsidRPr="004D033B">
        <w:rPr>
          <w:rFonts w:ascii="Times New Roman" w:hAnsi="Times New Roman"/>
          <w:b/>
          <w:sz w:val="24"/>
          <w:szCs w:val="24"/>
        </w:rPr>
        <w:t>,</w:t>
      </w:r>
      <w:r w:rsidRPr="004D033B">
        <w:rPr>
          <w:rFonts w:ascii="Times New Roman" w:hAnsi="Times New Roman"/>
          <w:b/>
          <w:sz w:val="24"/>
          <w:szCs w:val="24"/>
        </w:rPr>
        <w:t xml:space="preserve"> considère pour sa part que l’intégration fiscale serait pour cette société un bon moyen d’apurer le report déficitaire accumulé et d’assainir un peu la situation. Que faut-il en penser ?</w:t>
      </w:r>
    </w:p>
    <w:p w:rsidR="0048781C" w:rsidRPr="004D033B" w:rsidRDefault="0048781C" w:rsidP="0048781C">
      <w:pPr>
        <w:spacing w:after="0" w:line="240" w:lineRule="auto"/>
        <w:jc w:val="both"/>
        <w:rPr>
          <w:rFonts w:ascii="Times New Roman" w:hAnsi="Times New Roman"/>
          <w:b/>
          <w:sz w:val="24"/>
          <w:szCs w:val="24"/>
        </w:rPr>
      </w:pPr>
    </w:p>
    <w:p w:rsidR="00535059"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L’entrée d’une filiale dans un groupe fiscalement intégré n’autorise pas cette filiale à imputer le report déficitaire accumulé antérieurement à l’entrée dans le groupe sur le résultat fiscal du groupe. Le report déficitaire antérieur à l’entrée dans le périmètre d’intégration ne peut s’imputer que sur les résultats bénéficiaires ultérieurs de la filiale. M. LACOMPTA a donc tort.</w:t>
      </w:r>
    </w:p>
    <w:p w:rsidR="0048781C" w:rsidRDefault="0048781C" w:rsidP="0048781C">
      <w:pPr>
        <w:spacing w:after="0" w:line="240" w:lineRule="auto"/>
        <w:jc w:val="both"/>
        <w:rPr>
          <w:rFonts w:ascii="Times New Roman" w:hAnsi="Times New Roman"/>
          <w:sz w:val="24"/>
          <w:szCs w:val="24"/>
        </w:rPr>
      </w:pPr>
    </w:p>
    <w:p w:rsidR="000B4869" w:rsidRDefault="000B4869" w:rsidP="0048781C">
      <w:pPr>
        <w:spacing w:after="0" w:line="240" w:lineRule="auto"/>
        <w:jc w:val="both"/>
        <w:rPr>
          <w:rFonts w:ascii="Times New Roman" w:hAnsi="Times New Roman"/>
          <w:sz w:val="24"/>
          <w:szCs w:val="24"/>
        </w:rPr>
      </w:pPr>
    </w:p>
    <w:p w:rsidR="0048781C" w:rsidRPr="004D033B" w:rsidRDefault="0048781C" w:rsidP="0048781C">
      <w:pPr>
        <w:spacing w:after="0" w:line="240" w:lineRule="auto"/>
        <w:jc w:val="both"/>
        <w:rPr>
          <w:rFonts w:ascii="Times New Roman" w:hAnsi="Times New Roman"/>
          <w:sz w:val="24"/>
          <w:szCs w:val="24"/>
        </w:rPr>
      </w:pPr>
    </w:p>
    <w:p w:rsidR="00887E47" w:rsidRDefault="004D033B" w:rsidP="0048781C">
      <w:pPr>
        <w:spacing w:after="0" w:line="240" w:lineRule="auto"/>
        <w:jc w:val="both"/>
        <w:rPr>
          <w:rFonts w:ascii="Times New Roman" w:hAnsi="Times New Roman"/>
          <w:b/>
          <w:i/>
          <w:sz w:val="24"/>
          <w:szCs w:val="24"/>
        </w:rPr>
      </w:pPr>
      <w:r>
        <w:rPr>
          <w:rFonts w:ascii="Times New Roman" w:hAnsi="Times New Roman"/>
          <w:b/>
          <w:sz w:val="24"/>
          <w:szCs w:val="24"/>
        </w:rPr>
        <w:t xml:space="preserve">3 – </w:t>
      </w:r>
      <w:r w:rsidR="00887E47" w:rsidRPr="004D033B">
        <w:rPr>
          <w:rFonts w:ascii="Times New Roman" w:hAnsi="Times New Roman"/>
          <w:b/>
          <w:sz w:val="24"/>
          <w:szCs w:val="24"/>
        </w:rPr>
        <w:t xml:space="preserve">La société F connaît actuellement des difficultés, sa situation nette étant </w:t>
      </w:r>
      <w:r w:rsidR="00450518">
        <w:rPr>
          <w:rFonts w:ascii="Times New Roman" w:hAnsi="Times New Roman"/>
          <w:b/>
          <w:sz w:val="24"/>
          <w:szCs w:val="24"/>
        </w:rPr>
        <w:t xml:space="preserve">négative </w:t>
      </w:r>
      <w:r w:rsidR="00887E47" w:rsidRPr="004D033B">
        <w:rPr>
          <w:rFonts w:ascii="Times New Roman" w:hAnsi="Times New Roman"/>
          <w:b/>
          <w:sz w:val="24"/>
          <w:szCs w:val="24"/>
        </w:rPr>
        <w:t>d’environ 500 000 €. La société D, avec laquelle la société F n’entretient aucune relation commerciale, envisage pour aider sa filiale, d’abandonner la créance en compte courant qu’elle détient sur cette dernière, d’un montant de 800 000 €. Indiquer le régime fiscal de l’aide ainsi consentie en vous plaçant au niveau de la société D puis au niveau de la société F.</w:t>
      </w:r>
    </w:p>
    <w:p w:rsidR="0048781C" w:rsidRDefault="0048781C" w:rsidP="0048781C">
      <w:pPr>
        <w:spacing w:after="0" w:line="240" w:lineRule="auto"/>
        <w:jc w:val="both"/>
        <w:rPr>
          <w:rFonts w:ascii="Times New Roman" w:hAnsi="Times New Roman"/>
          <w:b/>
          <w:sz w:val="24"/>
          <w:szCs w:val="24"/>
        </w:rPr>
      </w:pPr>
    </w:p>
    <w:p w:rsidR="000B4869" w:rsidRPr="004D033B" w:rsidRDefault="000B4869" w:rsidP="0048781C">
      <w:pPr>
        <w:spacing w:after="0" w:line="240" w:lineRule="auto"/>
        <w:jc w:val="both"/>
        <w:rPr>
          <w:rFonts w:ascii="Times New Roman" w:hAnsi="Times New Roman"/>
          <w:b/>
          <w:sz w:val="24"/>
          <w:szCs w:val="24"/>
        </w:rPr>
      </w:pPr>
    </w:p>
    <w:p w:rsidR="00535059" w:rsidRPr="004D033B"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L’abandon d’une créance en compte courant constitue un abandon de créance à caractère financier compte tenu de l’absence de toute relation commerciale entre la société D et la société F. Au plan fiscal, les abandons de créance à caractère financier ne sont pas déductibles pour la société qui consent l’abandon sauf dans le cas particulier des abandons de créance à caractère financier consentis dans le cadre d’une procédure d’entreprise en difficulté. En l’absence d’une telle procédure, l’abandon n’est pas déductible chez la société D.</w:t>
      </w:r>
    </w:p>
    <w:p w:rsidR="00450518" w:rsidRDefault="00450518" w:rsidP="0048781C">
      <w:pPr>
        <w:spacing w:after="0" w:line="240" w:lineRule="auto"/>
        <w:jc w:val="both"/>
        <w:rPr>
          <w:rFonts w:ascii="Times New Roman" w:hAnsi="Times New Roman"/>
          <w:sz w:val="24"/>
          <w:szCs w:val="24"/>
        </w:rPr>
      </w:pPr>
    </w:p>
    <w:p w:rsidR="00535059" w:rsidRDefault="00535059" w:rsidP="0048781C">
      <w:pPr>
        <w:spacing w:after="0" w:line="240" w:lineRule="auto"/>
        <w:jc w:val="both"/>
        <w:rPr>
          <w:rFonts w:ascii="Times New Roman" w:hAnsi="Times New Roman"/>
          <w:i/>
          <w:sz w:val="24"/>
          <w:szCs w:val="24"/>
        </w:rPr>
      </w:pPr>
      <w:r w:rsidRPr="004D033B">
        <w:rPr>
          <w:rFonts w:ascii="Times New Roman" w:hAnsi="Times New Roman"/>
          <w:sz w:val="24"/>
          <w:szCs w:val="24"/>
        </w:rPr>
        <w:t>En revanche, l’abandon de créance entraîne chez la société bénéficiaire</w:t>
      </w:r>
      <w:r w:rsidR="00792D88">
        <w:rPr>
          <w:rFonts w:ascii="Times New Roman" w:hAnsi="Times New Roman"/>
          <w:sz w:val="24"/>
          <w:szCs w:val="24"/>
        </w:rPr>
        <w:t xml:space="preserve"> (la société F)</w:t>
      </w:r>
      <w:r w:rsidRPr="004D033B">
        <w:rPr>
          <w:rFonts w:ascii="Times New Roman" w:hAnsi="Times New Roman"/>
          <w:sz w:val="24"/>
          <w:szCs w:val="24"/>
        </w:rPr>
        <w:t xml:space="preserve"> une augmentation de l’actif net qui constitue un produit imposable pour la filiale bénéficiaire de l’abandon</w:t>
      </w:r>
      <w:r w:rsidR="00450518" w:rsidRPr="00450518">
        <w:rPr>
          <w:rFonts w:ascii="Times New Roman" w:hAnsi="Times New Roman"/>
          <w:sz w:val="24"/>
          <w:szCs w:val="24"/>
        </w:rPr>
        <w:t>.</w:t>
      </w:r>
    </w:p>
    <w:p w:rsidR="00450518" w:rsidRDefault="00450518" w:rsidP="0048781C">
      <w:pPr>
        <w:spacing w:after="0" w:line="240" w:lineRule="auto"/>
        <w:jc w:val="both"/>
        <w:rPr>
          <w:rFonts w:ascii="Times New Roman" w:hAnsi="Times New Roman"/>
          <w:sz w:val="24"/>
          <w:szCs w:val="24"/>
        </w:rPr>
      </w:pPr>
    </w:p>
    <w:p w:rsidR="000B4869" w:rsidRDefault="000B4869" w:rsidP="0048781C">
      <w:pPr>
        <w:spacing w:after="0" w:line="240" w:lineRule="auto"/>
        <w:jc w:val="both"/>
        <w:rPr>
          <w:rFonts w:ascii="Times New Roman" w:hAnsi="Times New Roman"/>
          <w:sz w:val="24"/>
          <w:szCs w:val="24"/>
        </w:rPr>
      </w:pPr>
    </w:p>
    <w:p w:rsidR="000B4869" w:rsidRPr="004D033B" w:rsidRDefault="000B4869" w:rsidP="0048781C">
      <w:pPr>
        <w:spacing w:after="0" w:line="240" w:lineRule="auto"/>
        <w:jc w:val="both"/>
        <w:rPr>
          <w:rFonts w:ascii="Times New Roman" w:hAnsi="Times New Roman"/>
          <w:sz w:val="24"/>
          <w:szCs w:val="24"/>
        </w:rPr>
      </w:pPr>
    </w:p>
    <w:p w:rsidR="00535059" w:rsidRDefault="00535059" w:rsidP="0048781C">
      <w:pPr>
        <w:spacing w:after="0" w:line="240" w:lineRule="auto"/>
        <w:jc w:val="both"/>
        <w:rPr>
          <w:rFonts w:ascii="Times New Roman" w:hAnsi="Times New Roman"/>
          <w:b/>
          <w:sz w:val="24"/>
          <w:szCs w:val="24"/>
        </w:rPr>
      </w:pPr>
      <w:r w:rsidRPr="004D033B">
        <w:rPr>
          <w:rFonts w:ascii="Times New Roman" w:hAnsi="Times New Roman"/>
          <w:b/>
          <w:sz w:val="24"/>
          <w:szCs w:val="24"/>
        </w:rPr>
        <w:t>4 – L’activité des sociétés E et H étant légèrement différente de l’activité des autres sociétés du groupe, certains membres de la famille DUJARDIN souhaiteraient (si toutefois cela est possible) que les sociétés E et H ne soient pas comprises dans le périmètre d’intégration mais que l’on constitue un groupe fiscalement intégré distinct du premier et ne comprenant que les deux sociétés E et H, la société E étant tête de groupe et la société H unique filiale intégrée. Cette solution est-elle envisageable ? Pourquoi ?</w:t>
      </w:r>
    </w:p>
    <w:p w:rsidR="000B4869" w:rsidRDefault="000B4869" w:rsidP="0048781C">
      <w:pPr>
        <w:spacing w:after="0" w:line="240" w:lineRule="auto"/>
        <w:jc w:val="both"/>
        <w:rPr>
          <w:rFonts w:ascii="Times New Roman" w:hAnsi="Times New Roman"/>
          <w:b/>
          <w:sz w:val="24"/>
          <w:szCs w:val="24"/>
        </w:rPr>
      </w:pPr>
    </w:p>
    <w:p w:rsidR="00450518" w:rsidRPr="00792D88" w:rsidRDefault="00450518" w:rsidP="0048781C">
      <w:pPr>
        <w:spacing w:after="0" w:line="240" w:lineRule="auto"/>
        <w:jc w:val="both"/>
        <w:rPr>
          <w:rFonts w:ascii="Times New Roman" w:hAnsi="Times New Roman"/>
          <w:b/>
          <w:i/>
          <w:sz w:val="24"/>
          <w:szCs w:val="24"/>
        </w:rPr>
      </w:pPr>
    </w:p>
    <w:p w:rsidR="00535059" w:rsidRPr="004D033B" w:rsidRDefault="00535059" w:rsidP="0048781C">
      <w:pPr>
        <w:pStyle w:val="Paragraphedeliste"/>
        <w:numPr>
          <w:ilvl w:val="0"/>
          <w:numId w:val="5"/>
        </w:numPr>
        <w:spacing w:after="0" w:line="240" w:lineRule="auto"/>
        <w:ind w:left="714" w:hanging="357"/>
        <w:jc w:val="both"/>
        <w:rPr>
          <w:rFonts w:ascii="Times New Roman" w:hAnsi="Times New Roman"/>
          <w:sz w:val="24"/>
          <w:szCs w:val="24"/>
        </w:rPr>
      </w:pPr>
      <w:r w:rsidRPr="004D033B">
        <w:rPr>
          <w:rFonts w:ascii="Times New Roman" w:hAnsi="Times New Roman"/>
          <w:sz w:val="24"/>
          <w:szCs w:val="24"/>
        </w:rPr>
        <w:t>Les sociétés E et H remplissent les conditions pour appartenir au groupe fiscalement intégré de la société DUJARDIN. Toutefois, il est tout à fait possible de ne retenir dans le périmètre d’intégration qu’une partie des sociétés qui remplissent les conditions permettant d’appartenir au groupe. Le périmètre d’intégration est librement déterminé. Les sociétés E et H peuvent donc être laissées en dehors du périmètre d’intégration de la société DUJARDIN.</w:t>
      </w:r>
    </w:p>
    <w:p w:rsidR="00535059" w:rsidRDefault="00535059" w:rsidP="0048781C">
      <w:pPr>
        <w:pStyle w:val="Paragraphedeliste"/>
        <w:spacing w:after="0" w:line="240" w:lineRule="auto"/>
        <w:jc w:val="both"/>
        <w:rPr>
          <w:rFonts w:ascii="Times New Roman" w:hAnsi="Times New Roman"/>
          <w:sz w:val="24"/>
          <w:szCs w:val="24"/>
        </w:rPr>
      </w:pPr>
    </w:p>
    <w:p w:rsidR="000B4869" w:rsidRDefault="000B4869" w:rsidP="0048781C">
      <w:pPr>
        <w:pStyle w:val="Paragraphedeliste"/>
        <w:spacing w:after="0" w:line="240" w:lineRule="auto"/>
        <w:jc w:val="both"/>
        <w:rPr>
          <w:rFonts w:ascii="Times New Roman" w:hAnsi="Times New Roman"/>
          <w:sz w:val="24"/>
          <w:szCs w:val="24"/>
        </w:rPr>
      </w:pPr>
    </w:p>
    <w:p w:rsidR="000B4869" w:rsidRDefault="000B4869" w:rsidP="0048781C">
      <w:pPr>
        <w:pStyle w:val="Paragraphedeliste"/>
        <w:spacing w:after="0" w:line="240" w:lineRule="auto"/>
        <w:jc w:val="both"/>
        <w:rPr>
          <w:rFonts w:ascii="Times New Roman" w:hAnsi="Times New Roman"/>
          <w:sz w:val="24"/>
          <w:szCs w:val="24"/>
        </w:rPr>
      </w:pPr>
    </w:p>
    <w:p w:rsidR="000B4869" w:rsidRDefault="000B4869" w:rsidP="0048781C">
      <w:pPr>
        <w:pStyle w:val="Paragraphedeliste"/>
        <w:spacing w:after="0" w:line="240" w:lineRule="auto"/>
        <w:jc w:val="both"/>
        <w:rPr>
          <w:rFonts w:ascii="Times New Roman" w:hAnsi="Times New Roman"/>
          <w:sz w:val="24"/>
          <w:szCs w:val="24"/>
        </w:rPr>
      </w:pPr>
    </w:p>
    <w:p w:rsidR="000B4869" w:rsidRDefault="000B4869" w:rsidP="0048781C">
      <w:pPr>
        <w:pStyle w:val="Paragraphedeliste"/>
        <w:spacing w:after="0" w:line="240" w:lineRule="auto"/>
        <w:jc w:val="both"/>
        <w:rPr>
          <w:rFonts w:ascii="Times New Roman" w:hAnsi="Times New Roman"/>
          <w:sz w:val="24"/>
          <w:szCs w:val="24"/>
        </w:rPr>
      </w:pPr>
    </w:p>
    <w:p w:rsidR="000B4869" w:rsidRPr="004D033B" w:rsidRDefault="000B4869" w:rsidP="0048781C">
      <w:pPr>
        <w:pStyle w:val="Paragraphedeliste"/>
        <w:spacing w:after="0" w:line="240" w:lineRule="auto"/>
        <w:jc w:val="both"/>
        <w:rPr>
          <w:rFonts w:ascii="Times New Roman" w:hAnsi="Times New Roman"/>
          <w:sz w:val="24"/>
          <w:szCs w:val="24"/>
        </w:rPr>
      </w:pPr>
    </w:p>
    <w:p w:rsidR="00535059" w:rsidRPr="004D033B" w:rsidRDefault="00535059" w:rsidP="0048781C">
      <w:pPr>
        <w:pStyle w:val="Paragraphedeliste"/>
        <w:numPr>
          <w:ilvl w:val="0"/>
          <w:numId w:val="5"/>
        </w:numPr>
        <w:spacing w:after="0" w:line="240" w:lineRule="auto"/>
        <w:ind w:left="714" w:hanging="357"/>
        <w:jc w:val="both"/>
        <w:rPr>
          <w:rFonts w:ascii="Times New Roman" w:hAnsi="Times New Roman"/>
          <w:sz w:val="24"/>
          <w:szCs w:val="24"/>
        </w:rPr>
      </w:pPr>
      <w:r w:rsidRPr="004D033B">
        <w:rPr>
          <w:rFonts w:ascii="Times New Roman" w:hAnsi="Times New Roman"/>
          <w:sz w:val="24"/>
          <w:szCs w:val="24"/>
        </w:rPr>
        <w:lastRenderedPageBreak/>
        <w:t>Pour les sociétés E et H, il est possible de constituer un groupe fiscal avec uniquement ces deux sociétés. Il faut simplement vérifier que la société E remplit bien les conditions lui permettant de devenir tête de groupe. Outre les conditions déjà rappelées et déjà vérifiées (sociétés soumises à l’IS et clôturant leurs exercices à la même date), le régime d’intégration fiscale prévoit que le capital de la société tête de groupe ne doit pas être détenu, directement ou indirectement, à 95 % au moins par une autre personne morale soumise à l’impôt sur les sociétés dans les conditions de droit commun. Or, ici, la société E est considérée comme détenue indirectement par la société DUJARDIN à hauteur de (80</w:t>
      </w:r>
      <w:r w:rsidR="0070714D" w:rsidRPr="004D033B">
        <w:rPr>
          <w:rFonts w:ascii="Times New Roman" w:hAnsi="Times New Roman"/>
          <w:sz w:val="24"/>
          <w:szCs w:val="24"/>
        </w:rPr>
        <w:t xml:space="preserve"> % x 60 %) + (98 % x 35 %) = 82,</w:t>
      </w:r>
      <w:r w:rsidRPr="004D033B">
        <w:rPr>
          <w:rFonts w:ascii="Times New Roman" w:hAnsi="Times New Roman"/>
          <w:sz w:val="24"/>
          <w:szCs w:val="24"/>
        </w:rPr>
        <w:t>3 %. La détention étant inférieure à 95 %, il est possible de constituer un groupe fiscalement intégré entre la société E et la société H.</w:t>
      </w:r>
    </w:p>
    <w:p w:rsidR="00535059" w:rsidRPr="002C34BB" w:rsidRDefault="00535059" w:rsidP="0048781C">
      <w:pPr>
        <w:spacing w:after="0" w:line="240" w:lineRule="auto"/>
        <w:jc w:val="both"/>
        <w:rPr>
          <w:rFonts w:ascii="Times New Roman" w:hAnsi="Times New Roman"/>
          <w:b/>
          <w:color w:val="FF0000"/>
          <w:sz w:val="24"/>
          <w:szCs w:val="24"/>
        </w:rPr>
      </w:pPr>
    </w:p>
    <w:p w:rsidR="000B4869" w:rsidRPr="004D033B" w:rsidRDefault="000B4869" w:rsidP="0048781C">
      <w:pPr>
        <w:spacing w:after="0" w:line="240" w:lineRule="auto"/>
        <w:jc w:val="both"/>
        <w:rPr>
          <w:rFonts w:ascii="Times New Roman" w:hAnsi="Times New Roman"/>
          <w:b/>
          <w:sz w:val="24"/>
          <w:szCs w:val="24"/>
        </w:rPr>
      </w:pPr>
    </w:p>
    <w:p w:rsidR="00887E47" w:rsidRDefault="00B35C5F" w:rsidP="0048781C">
      <w:pPr>
        <w:spacing w:after="0" w:line="240" w:lineRule="auto"/>
        <w:jc w:val="both"/>
        <w:rPr>
          <w:rFonts w:ascii="Times New Roman" w:hAnsi="Times New Roman"/>
          <w:sz w:val="24"/>
          <w:szCs w:val="24"/>
        </w:rPr>
      </w:pPr>
      <w:r>
        <w:rPr>
          <w:rFonts w:ascii="Times New Roman" w:hAnsi="Times New Roman"/>
          <w:b/>
          <w:sz w:val="24"/>
          <w:szCs w:val="24"/>
        </w:rPr>
        <w:t>5</w:t>
      </w:r>
      <w:r w:rsidRPr="004D033B">
        <w:rPr>
          <w:rFonts w:ascii="Times New Roman" w:hAnsi="Times New Roman"/>
          <w:b/>
          <w:sz w:val="24"/>
          <w:szCs w:val="24"/>
        </w:rPr>
        <w:t xml:space="preserve"> – </w:t>
      </w:r>
      <w:r w:rsidR="00887E47" w:rsidRPr="004D033B">
        <w:rPr>
          <w:rFonts w:ascii="Times New Roman" w:hAnsi="Times New Roman"/>
          <w:b/>
          <w:sz w:val="24"/>
          <w:szCs w:val="24"/>
        </w:rPr>
        <w:t>Finalement, la famille DUJARDIN estime qu’il serait souhaitable de procéder à la mise en place du régime d’intégration fiscale pour l’ensemble du groupe DUJARDIN en deux temps, les sociétés E et H renonçant à constituer un groupe fiscal autonome mais rejoignant le groupe dans deux ans. Est-ce possible </w:t>
      </w:r>
      <w:r w:rsidR="00887E47" w:rsidRPr="004D033B">
        <w:rPr>
          <w:rFonts w:ascii="Times New Roman" w:hAnsi="Times New Roman"/>
          <w:sz w:val="24"/>
          <w:szCs w:val="24"/>
        </w:rPr>
        <w:t>?</w:t>
      </w:r>
    </w:p>
    <w:p w:rsidR="008B7C62" w:rsidRPr="004D033B" w:rsidRDefault="008B7C62" w:rsidP="0048781C">
      <w:pPr>
        <w:spacing w:after="0" w:line="240" w:lineRule="auto"/>
        <w:jc w:val="both"/>
        <w:rPr>
          <w:rFonts w:ascii="Times New Roman" w:hAnsi="Times New Roman"/>
          <w:sz w:val="24"/>
          <w:szCs w:val="24"/>
        </w:rPr>
      </w:pPr>
    </w:p>
    <w:p w:rsidR="00535059" w:rsidRPr="004D033B"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 xml:space="preserve">Le schéma envisagé est tout à fait possible dans la mesure où le périmètre d’intégration fiscale d’un groupe est modifiable tous les ans par la société tête de groupe qui peut décider de faire rentrer ou faire sortir une ou plusieurs filiales du groupe. </w:t>
      </w:r>
    </w:p>
    <w:p w:rsidR="00535059" w:rsidRPr="004D033B"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La société DUJARDIN peut donc décider de modifier le périmètre d’intégration du groupe dans deux ans et de faire entrer les sociétés E et H.</w:t>
      </w:r>
    </w:p>
    <w:p w:rsidR="00535059" w:rsidRDefault="00535059" w:rsidP="0048781C">
      <w:pPr>
        <w:spacing w:after="0" w:line="240" w:lineRule="auto"/>
        <w:jc w:val="both"/>
        <w:rPr>
          <w:rFonts w:ascii="Times New Roman" w:hAnsi="Times New Roman"/>
          <w:b/>
          <w:sz w:val="24"/>
          <w:szCs w:val="24"/>
        </w:rPr>
      </w:pPr>
    </w:p>
    <w:p w:rsidR="002C06BE" w:rsidRPr="004D033B" w:rsidRDefault="002C06BE" w:rsidP="0048781C">
      <w:pPr>
        <w:spacing w:after="0" w:line="240" w:lineRule="auto"/>
        <w:jc w:val="both"/>
        <w:rPr>
          <w:rFonts w:ascii="Times New Roman" w:hAnsi="Times New Roman"/>
          <w:b/>
          <w:sz w:val="24"/>
          <w:szCs w:val="24"/>
        </w:rPr>
      </w:pPr>
    </w:p>
    <w:p w:rsidR="00535059" w:rsidRPr="004D033B" w:rsidRDefault="00B35C5F" w:rsidP="0048781C">
      <w:pPr>
        <w:spacing w:after="0" w:line="240" w:lineRule="auto"/>
        <w:jc w:val="both"/>
        <w:rPr>
          <w:rFonts w:ascii="Times New Roman" w:hAnsi="Times New Roman"/>
          <w:b/>
          <w:sz w:val="24"/>
          <w:szCs w:val="24"/>
        </w:rPr>
      </w:pPr>
      <w:r>
        <w:rPr>
          <w:rFonts w:ascii="Times New Roman" w:hAnsi="Times New Roman"/>
          <w:b/>
          <w:sz w:val="24"/>
          <w:szCs w:val="24"/>
        </w:rPr>
        <w:t>6</w:t>
      </w:r>
      <w:r w:rsidRPr="004D033B">
        <w:rPr>
          <w:rFonts w:ascii="Times New Roman" w:hAnsi="Times New Roman"/>
          <w:b/>
          <w:sz w:val="24"/>
          <w:szCs w:val="24"/>
        </w:rPr>
        <w:t xml:space="preserve"> – </w:t>
      </w:r>
      <w:r w:rsidR="00535059" w:rsidRPr="004D033B">
        <w:rPr>
          <w:rFonts w:ascii="Times New Roman" w:hAnsi="Times New Roman"/>
          <w:b/>
          <w:sz w:val="24"/>
          <w:szCs w:val="24"/>
        </w:rPr>
        <w:t>La société D avait acquis en octobre 2011 des titres (actions) d’une société I qui représentent 25 % du capital de cette société. Elle a décidé de revendre cette participation en septembre 2013 à la société F par un acte signé le 20 septembre. Elle a constaté à cette occasion une moins-value de cession de 240 000 €. Préciser le régime fiscal de cette cession :</w:t>
      </w:r>
    </w:p>
    <w:p w:rsidR="00535059" w:rsidRPr="004D033B" w:rsidRDefault="00571180" w:rsidP="0048781C">
      <w:pPr>
        <w:pStyle w:val="Paragraphedeliste"/>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a</w:t>
      </w:r>
      <w:r w:rsidR="00535059" w:rsidRPr="004D033B">
        <w:rPr>
          <w:rFonts w:ascii="Times New Roman" w:hAnsi="Times New Roman"/>
          <w:b/>
          <w:sz w:val="24"/>
          <w:szCs w:val="24"/>
        </w:rPr>
        <w:t>u reg</w:t>
      </w:r>
      <w:r w:rsidR="001B54F2">
        <w:rPr>
          <w:rFonts w:ascii="Times New Roman" w:hAnsi="Times New Roman"/>
          <w:b/>
          <w:sz w:val="24"/>
          <w:szCs w:val="24"/>
        </w:rPr>
        <w:t>ard des droits d’enregistrement.</w:t>
      </w:r>
    </w:p>
    <w:p w:rsidR="00535059" w:rsidRDefault="00571180" w:rsidP="0048781C">
      <w:pPr>
        <w:pStyle w:val="Paragraphedeliste"/>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a</w:t>
      </w:r>
      <w:r w:rsidR="00535059" w:rsidRPr="004D033B">
        <w:rPr>
          <w:rFonts w:ascii="Times New Roman" w:hAnsi="Times New Roman"/>
          <w:b/>
          <w:sz w:val="24"/>
          <w:szCs w:val="24"/>
        </w:rPr>
        <w:t>u regard des plus-values et moins-values de cession.</w:t>
      </w:r>
    </w:p>
    <w:p w:rsidR="009426FF" w:rsidRPr="004D033B" w:rsidRDefault="009426FF" w:rsidP="0048781C">
      <w:pPr>
        <w:pStyle w:val="Paragraphedeliste"/>
        <w:spacing w:after="0" w:line="240" w:lineRule="auto"/>
        <w:jc w:val="both"/>
        <w:rPr>
          <w:rFonts w:ascii="Times New Roman" w:hAnsi="Times New Roman"/>
          <w:b/>
          <w:sz w:val="24"/>
          <w:szCs w:val="24"/>
        </w:rPr>
      </w:pPr>
    </w:p>
    <w:p w:rsidR="00535059" w:rsidRPr="009426FF" w:rsidRDefault="00535059" w:rsidP="0048781C">
      <w:pPr>
        <w:pStyle w:val="Paragraphedeliste"/>
        <w:numPr>
          <w:ilvl w:val="0"/>
          <w:numId w:val="7"/>
        </w:numPr>
        <w:spacing w:after="0" w:line="240" w:lineRule="auto"/>
        <w:jc w:val="both"/>
        <w:rPr>
          <w:rFonts w:ascii="Times New Roman" w:hAnsi="Times New Roman"/>
          <w:i/>
          <w:sz w:val="24"/>
          <w:szCs w:val="24"/>
        </w:rPr>
      </w:pPr>
      <w:r w:rsidRPr="009426FF">
        <w:rPr>
          <w:rFonts w:ascii="Times New Roman" w:hAnsi="Times New Roman"/>
          <w:i/>
          <w:sz w:val="24"/>
          <w:szCs w:val="24"/>
        </w:rPr>
        <w:t>Au regard des droit</w:t>
      </w:r>
      <w:r w:rsidR="001B54F2" w:rsidRPr="009426FF">
        <w:rPr>
          <w:rFonts w:ascii="Times New Roman" w:hAnsi="Times New Roman"/>
          <w:i/>
          <w:sz w:val="24"/>
          <w:szCs w:val="24"/>
        </w:rPr>
        <w:t>s d’enregistrement.</w:t>
      </w:r>
    </w:p>
    <w:p w:rsidR="00535059" w:rsidRPr="004D033B"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 xml:space="preserve">La cession d’actions constatée dans un acte est passible des droits d’enregistrement au taux de </w:t>
      </w:r>
      <w:r w:rsidR="00B63CB4">
        <w:rPr>
          <w:rFonts w:ascii="Times New Roman" w:hAnsi="Times New Roman"/>
          <w:sz w:val="24"/>
          <w:szCs w:val="24"/>
        </w:rPr>
        <w:t xml:space="preserve">     </w:t>
      </w:r>
      <w:r w:rsidRPr="004D033B">
        <w:rPr>
          <w:rFonts w:ascii="Times New Roman" w:hAnsi="Times New Roman"/>
          <w:sz w:val="24"/>
          <w:szCs w:val="24"/>
        </w:rPr>
        <w:t>0.1</w:t>
      </w:r>
      <w:r w:rsidR="001B54F2">
        <w:rPr>
          <w:rFonts w:ascii="Times New Roman" w:hAnsi="Times New Roman"/>
          <w:sz w:val="24"/>
          <w:szCs w:val="24"/>
        </w:rPr>
        <w:t xml:space="preserve"> </w:t>
      </w:r>
      <w:r w:rsidRPr="004D033B">
        <w:rPr>
          <w:rFonts w:ascii="Times New Roman" w:hAnsi="Times New Roman"/>
          <w:sz w:val="24"/>
          <w:szCs w:val="24"/>
        </w:rPr>
        <w:t>% à la charge de l’acquéreur, ici la société F.</w:t>
      </w:r>
    </w:p>
    <w:p w:rsidR="008F6BBA" w:rsidRPr="004D033B" w:rsidRDefault="008F6BBA" w:rsidP="0048781C">
      <w:pPr>
        <w:spacing w:after="0" w:line="240" w:lineRule="auto"/>
        <w:jc w:val="both"/>
        <w:rPr>
          <w:rFonts w:ascii="Times New Roman" w:hAnsi="Times New Roman"/>
          <w:sz w:val="24"/>
          <w:szCs w:val="24"/>
        </w:rPr>
      </w:pPr>
    </w:p>
    <w:p w:rsidR="00535059" w:rsidRPr="004D033B" w:rsidRDefault="00535059" w:rsidP="0048781C">
      <w:pPr>
        <w:pStyle w:val="Paragraphedeliste"/>
        <w:numPr>
          <w:ilvl w:val="0"/>
          <w:numId w:val="7"/>
        </w:numPr>
        <w:spacing w:after="0" w:line="240" w:lineRule="auto"/>
        <w:jc w:val="both"/>
        <w:rPr>
          <w:rFonts w:ascii="Times New Roman" w:hAnsi="Times New Roman"/>
          <w:i/>
          <w:sz w:val="24"/>
          <w:szCs w:val="24"/>
        </w:rPr>
      </w:pPr>
      <w:r w:rsidRPr="004D033B">
        <w:rPr>
          <w:rFonts w:ascii="Times New Roman" w:hAnsi="Times New Roman"/>
          <w:i/>
          <w:sz w:val="24"/>
          <w:szCs w:val="24"/>
        </w:rPr>
        <w:t>Au regard des plus-values et moins-values de cession</w:t>
      </w:r>
      <w:r w:rsidR="00707FC0">
        <w:rPr>
          <w:rFonts w:ascii="Times New Roman" w:hAnsi="Times New Roman"/>
          <w:i/>
          <w:sz w:val="24"/>
          <w:szCs w:val="24"/>
        </w:rPr>
        <w:t> :</w:t>
      </w:r>
    </w:p>
    <w:p w:rsidR="00707FC0"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Il s’agit de la cession de titres de participation détenus depuis moins de deux ans entre sociétés liées (la société D détient 80 % de la société F). Dans ce cas de figure, la moins-value constatée à l’occasion de la cession n’est pas admise en déduction, mais placée en « suspens » ou en « report obligatoire »</w:t>
      </w:r>
      <w:r w:rsidR="00707FC0">
        <w:rPr>
          <w:rFonts w:ascii="Times New Roman" w:hAnsi="Times New Roman"/>
          <w:sz w:val="24"/>
          <w:szCs w:val="24"/>
        </w:rPr>
        <w:t xml:space="preserve">. </w:t>
      </w:r>
    </w:p>
    <w:p w:rsidR="00535059" w:rsidRPr="004D033B" w:rsidRDefault="00535059" w:rsidP="0048781C">
      <w:pPr>
        <w:spacing w:after="0" w:line="240" w:lineRule="auto"/>
        <w:jc w:val="both"/>
        <w:rPr>
          <w:rFonts w:ascii="Times New Roman" w:hAnsi="Times New Roman"/>
          <w:sz w:val="24"/>
          <w:szCs w:val="24"/>
        </w:rPr>
      </w:pPr>
      <w:r w:rsidRPr="004D033B">
        <w:rPr>
          <w:rFonts w:ascii="Times New Roman" w:hAnsi="Times New Roman"/>
          <w:sz w:val="24"/>
          <w:szCs w:val="24"/>
        </w:rPr>
        <w:t xml:space="preserve">Le report prendra fin : </w:t>
      </w:r>
    </w:p>
    <w:p w:rsidR="00535059" w:rsidRPr="004D033B" w:rsidRDefault="00535059" w:rsidP="0048781C">
      <w:pPr>
        <w:pStyle w:val="Paragraphedeliste"/>
        <w:numPr>
          <w:ilvl w:val="0"/>
          <w:numId w:val="6"/>
        </w:numPr>
        <w:spacing w:after="0" w:line="240" w:lineRule="auto"/>
        <w:jc w:val="both"/>
        <w:rPr>
          <w:rFonts w:ascii="Times New Roman" w:hAnsi="Times New Roman"/>
          <w:sz w:val="24"/>
          <w:szCs w:val="24"/>
        </w:rPr>
      </w:pPr>
      <w:r w:rsidRPr="004D033B">
        <w:rPr>
          <w:rFonts w:ascii="Times New Roman" w:hAnsi="Times New Roman"/>
          <w:sz w:val="24"/>
          <w:szCs w:val="24"/>
        </w:rPr>
        <w:t>à l’expiration du délai de deux ans après l’acquisition des titres par D et dans ce cas de figure, la moins-value aura la nature de moins-value à long terme non déductible.</w:t>
      </w:r>
    </w:p>
    <w:p w:rsidR="00535059" w:rsidRPr="004D033B" w:rsidRDefault="008F6BBA" w:rsidP="0048781C">
      <w:pPr>
        <w:pStyle w:val="Paragraphedeliste"/>
        <w:numPr>
          <w:ilvl w:val="0"/>
          <w:numId w:val="6"/>
        </w:numPr>
        <w:spacing w:after="0" w:line="240" w:lineRule="auto"/>
        <w:jc w:val="both"/>
        <w:rPr>
          <w:rFonts w:ascii="Times New Roman" w:hAnsi="Times New Roman"/>
          <w:sz w:val="24"/>
          <w:szCs w:val="24"/>
        </w:rPr>
      </w:pPr>
      <w:r w:rsidRPr="004D033B">
        <w:rPr>
          <w:rFonts w:ascii="Times New Roman" w:hAnsi="Times New Roman"/>
          <w:sz w:val="24"/>
          <w:szCs w:val="24"/>
        </w:rPr>
        <w:t>à</w:t>
      </w:r>
      <w:r w:rsidR="00535059" w:rsidRPr="004D033B">
        <w:rPr>
          <w:rFonts w:ascii="Times New Roman" w:hAnsi="Times New Roman"/>
          <w:sz w:val="24"/>
          <w:szCs w:val="24"/>
        </w:rPr>
        <w:t xml:space="preserve"> la date à laquelle les liens de dépendance entre la société cédante (D) et la société cessionnaire (F) cesseront. Si les liens de dépendance cessent d’exister, la moins-value sera alors déductible du résultat de la société D comme une moins-value à court terme.</w:t>
      </w:r>
      <w:r w:rsidR="00535059" w:rsidRPr="004D033B">
        <w:rPr>
          <w:rFonts w:ascii="Times New Roman" w:hAnsi="Times New Roman"/>
          <w:b/>
          <w:sz w:val="24"/>
          <w:szCs w:val="24"/>
        </w:rPr>
        <w:br w:type="page"/>
      </w: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r w:rsidRPr="004D033B">
        <w:rPr>
          <w:rFonts w:ascii="Times New Roman" w:hAnsi="Times New Roman"/>
          <w:b/>
          <w:sz w:val="24"/>
          <w:szCs w:val="24"/>
        </w:rPr>
        <w:t>DOSSIER 2</w:t>
      </w:r>
      <w:r w:rsidR="0001407C">
        <w:rPr>
          <w:rFonts w:ascii="Times New Roman" w:hAnsi="Times New Roman"/>
          <w:b/>
          <w:sz w:val="24"/>
          <w:szCs w:val="24"/>
        </w:rPr>
        <w:t xml:space="preserve"> – CONSEIL D’ADMINISTRATION</w:t>
      </w: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535059" w:rsidRPr="004D033B" w:rsidRDefault="00535059" w:rsidP="004D033B">
      <w:pPr>
        <w:spacing w:after="0" w:line="240" w:lineRule="auto"/>
        <w:rPr>
          <w:rFonts w:ascii="Times New Roman" w:hAnsi="Times New Roman"/>
          <w:b/>
          <w:sz w:val="24"/>
          <w:szCs w:val="24"/>
        </w:rPr>
      </w:pPr>
    </w:p>
    <w:p w:rsidR="00535059" w:rsidRPr="004D033B" w:rsidRDefault="00535059" w:rsidP="004D033B">
      <w:pPr>
        <w:spacing w:after="0" w:line="240" w:lineRule="auto"/>
        <w:jc w:val="both"/>
        <w:rPr>
          <w:rFonts w:ascii="Times New Roman" w:hAnsi="Times New Roman"/>
          <w:b/>
          <w:sz w:val="24"/>
          <w:szCs w:val="24"/>
        </w:rPr>
      </w:pPr>
      <w:r w:rsidRPr="004D033B">
        <w:rPr>
          <w:rFonts w:ascii="Times New Roman" w:hAnsi="Times New Roman"/>
          <w:b/>
          <w:sz w:val="24"/>
          <w:szCs w:val="24"/>
        </w:rPr>
        <w:t>Identifier les erreurs contenues dans ce projet de courrier en justifiant à chaque fois votre position.</w:t>
      </w:r>
    </w:p>
    <w:p w:rsidR="00535059" w:rsidRPr="004D033B" w:rsidRDefault="00535059" w:rsidP="004D033B">
      <w:pPr>
        <w:spacing w:after="0" w:line="240" w:lineRule="auto"/>
        <w:jc w:val="both"/>
        <w:rPr>
          <w:rFonts w:ascii="Times New Roman" w:hAnsi="Times New Roman"/>
          <w:i/>
          <w:sz w:val="24"/>
          <w:szCs w:val="24"/>
        </w:rPr>
      </w:pPr>
    </w:p>
    <w:p w:rsidR="00535059" w:rsidRPr="004D033B" w:rsidRDefault="00535059" w:rsidP="00535059">
      <w:pPr>
        <w:spacing w:line="240" w:lineRule="auto"/>
        <w:jc w:val="both"/>
        <w:rPr>
          <w:rFonts w:ascii="Times New Roman" w:hAnsi="Times New Roman"/>
          <w:i/>
          <w:sz w:val="24"/>
          <w:szCs w:val="24"/>
        </w:rPr>
      </w:pPr>
      <w:r w:rsidRPr="004D033B">
        <w:rPr>
          <w:rFonts w:ascii="Times New Roman" w:hAnsi="Times New Roman"/>
          <w:i/>
          <w:sz w:val="24"/>
          <w:szCs w:val="24"/>
        </w:rPr>
        <w:t>« Je suis en mesure de vous confirmer que compte tenu de l’opération de fusion que vous allez réaliser, votre société est autorisée à dépasser le nombre maximum d’administrateurs fixé par la loi pour une société anonyme. Vous pourrez en effet avoir après fusion jusqu’à 24 administrateurs mais à la condition de redescendre dans un délai de trois ans dans la limite de 18 administrateurs prévue par le texte »</w:t>
      </w:r>
      <w:r w:rsidR="001B54F2">
        <w:rPr>
          <w:rFonts w:ascii="Times New Roman" w:hAnsi="Times New Roman"/>
          <w:i/>
          <w:sz w:val="24"/>
          <w:szCs w:val="24"/>
        </w:rPr>
        <w:t>.</w:t>
      </w:r>
    </w:p>
    <w:p w:rsidR="00535059" w:rsidRPr="004D033B" w:rsidRDefault="00535059" w:rsidP="00535059">
      <w:pPr>
        <w:pStyle w:val="Paragraphedeliste"/>
        <w:numPr>
          <w:ilvl w:val="0"/>
          <w:numId w:val="7"/>
        </w:numPr>
        <w:spacing w:line="240" w:lineRule="auto"/>
        <w:jc w:val="both"/>
        <w:rPr>
          <w:rFonts w:ascii="Times New Roman" w:hAnsi="Times New Roman"/>
          <w:i/>
          <w:sz w:val="24"/>
          <w:szCs w:val="24"/>
        </w:rPr>
      </w:pPr>
      <w:r w:rsidRPr="004D033B">
        <w:rPr>
          <w:rFonts w:ascii="Times New Roman" w:hAnsi="Times New Roman"/>
          <w:sz w:val="24"/>
          <w:szCs w:val="24"/>
        </w:rPr>
        <w:t>Cette affirmation est inexacte</w:t>
      </w:r>
      <w:r w:rsidRPr="004D033B">
        <w:rPr>
          <w:rFonts w:ascii="Times New Roman" w:hAnsi="Times New Roman"/>
          <w:i/>
          <w:sz w:val="24"/>
          <w:szCs w:val="24"/>
        </w:rPr>
        <w:t xml:space="preserve">. </w:t>
      </w:r>
      <w:r w:rsidRPr="004D033B">
        <w:rPr>
          <w:rFonts w:ascii="Times New Roman" w:hAnsi="Times New Roman"/>
          <w:sz w:val="24"/>
          <w:szCs w:val="24"/>
        </w:rPr>
        <w:t>Le dépassement du</w:t>
      </w:r>
      <w:r w:rsidRPr="004D033B">
        <w:rPr>
          <w:rFonts w:ascii="Times New Roman" w:hAnsi="Times New Roman"/>
          <w:i/>
          <w:sz w:val="24"/>
          <w:szCs w:val="24"/>
        </w:rPr>
        <w:t xml:space="preserve"> </w:t>
      </w:r>
      <w:r w:rsidRPr="004D033B">
        <w:rPr>
          <w:rFonts w:ascii="Times New Roman" w:hAnsi="Times New Roman"/>
          <w:sz w:val="24"/>
          <w:szCs w:val="24"/>
        </w:rPr>
        <w:t>nombre d’administrateurs au-delà du plafond légal est autorisé en cas de fusion entre deux sociétés dotées d’un conseil d’administration. Ici, la société absorbée étant une SARL, l’article L 225-95 du code de commerce ne trouve pas à s’appliquer. La société reste tenue par le plafond de 18 administrateurs.</w:t>
      </w:r>
    </w:p>
    <w:p w:rsidR="00535059" w:rsidRPr="004D033B" w:rsidRDefault="00535059" w:rsidP="00535059">
      <w:pPr>
        <w:spacing w:line="240" w:lineRule="auto"/>
        <w:jc w:val="both"/>
        <w:rPr>
          <w:rFonts w:ascii="Times New Roman" w:hAnsi="Times New Roman"/>
          <w:i/>
          <w:sz w:val="24"/>
          <w:szCs w:val="24"/>
        </w:rPr>
      </w:pPr>
      <w:r w:rsidRPr="004D033B">
        <w:rPr>
          <w:rFonts w:ascii="Times New Roman" w:hAnsi="Times New Roman"/>
          <w:i/>
          <w:sz w:val="24"/>
          <w:szCs w:val="24"/>
        </w:rPr>
        <w:t xml:space="preserve">« Je me permets par ailleurs d’attirer votre attention sur le fait que de nouvelles dispositions font obligation  aux sociétés telles que la vôtre de respecter des obligations de mixité et d’assurer la présence dans le conseil d’un pourcentage minimum d’hommes et de femmes ». </w:t>
      </w:r>
    </w:p>
    <w:p w:rsidR="00535059" w:rsidRPr="004D033B" w:rsidRDefault="00535059" w:rsidP="00535059">
      <w:pPr>
        <w:pStyle w:val="Paragraphedeliste"/>
        <w:numPr>
          <w:ilvl w:val="0"/>
          <w:numId w:val="7"/>
        </w:numPr>
        <w:spacing w:line="240" w:lineRule="auto"/>
        <w:jc w:val="both"/>
        <w:rPr>
          <w:rFonts w:ascii="Times New Roman" w:hAnsi="Times New Roman"/>
          <w:i/>
          <w:sz w:val="24"/>
          <w:szCs w:val="24"/>
        </w:rPr>
      </w:pPr>
      <w:r w:rsidRPr="004D033B">
        <w:rPr>
          <w:rFonts w:ascii="Times New Roman" w:hAnsi="Times New Roman"/>
          <w:sz w:val="24"/>
          <w:szCs w:val="24"/>
        </w:rPr>
        <w:t xml:space="preserve">Cette affirmation est inexacte dans le cas de la société PIERRE DE L’ILE. En effet, </w:t>
      </w:r>
      <w:r w:rsidR="00087CC9" w:rsidRPr="004D033B">
        <w:rPr>
          <w:rFonts w:ascii="Times New Roman" w:hAnsi="Times New Roman"/>
          <w:sz w:val="24"/>
          <w:szCs w:val="24"/>
        </w:rPr>
        <w:t xml:space="preserve">l’article L 225-17 du Code de commerce prévoit que </w:t>
      </w:r>
      <w:r w:rsidR="00B44EE5">
        <w:rPr>
          <w:rFonts w:ascii="Times New Roman" w:hAnsi="Times New Roman"/>
          <w:sz w:val="24"/>
          <w:szCs w:val="24"/>
        </w:rPr>
        <w:t>« </w:t>
      </w:r>
      <w:r w:rsidR="00087CC9" w:rsidRPr="004D033B">
        <w:rPr>
          <w:rFonts w:ascii="Times New Roman" w:hAnsi="Times New Roman"/>
          <w:sz w:val="24"/>
          <w:szCs w:val="24"/>
        </w:rPr>
        <w:t>le conseil d’administration est composé en recherchant une représentation équilibrée des femmes et des hommes</w:t>
      </w:r>
      <w:r w:rsidR="00B44EE5">
        <w:rPr>
          <w:rFonts w:ascii="Times New Roman" w:hAnsi="Times New Roman"/>
          <w:sz w:val="24"/>
          <w:szCs w:val="24"/>
        </w:rPr>
        <w:t> »</w:t>
      </w:r>
      <w:r w:rsidR="00087CC9" w:rsidRPr="004D033B">
        <w:rPr>
          <w:rFonts w:ascii="Times New Roman" w:hAnsi="Times New Roman"/>
          <w:sz w:val="24"/>
          <w:szCs w:val="24"/>
        </w:rPr>
        <w:t>. Le texte ne fixe aucun pourcentage.</w:t>
      </w:r>
    </w:p>
    <w:p w:rsidR="00535059" w:rsidRPr="004D033B" w:rsidRDefault="00535059" w:rsidP="00535059">
      <w:pPr>
        <w:spacing w:line="240" w:lineRule="auto"/>
        <w:jc w:val="both"/>
        <w:rPr>
          <w:rFonts w:ascii="Times New Roman" w:hAnsi="Times New Roman"/>
          <w:i/>
          <w:sz w:val="24"/>
          <w:szCs w:val="24"/>
        </w:rPr>
      </w:pPr>
      <w:r w:rsidRPr="004D033B">
        <w:rPr>
          <w:rFonts w:ascii="Times New Roman" w:hAnsi="Times New Roman"/>
          <w:i/>
          <w:sz w:val="24"/>
          <w:szCs w:val="24"/>
        </w:rPr>
        <w:t xml:space="preserve"> « Vous avez la possibilité de procéder, après la démission ou le non renouvellement de certains mandats, à la désignation d’administrateurs choisis parmi les salariés de la société. Le nombre d’administrateurs salariés ne peut toutefois excéder le tiers des administrateurs en fonction. La seule condition est que le contrat de travail du salarié totalise une antériorité de deux ans ». </w:t>
      </w:r>
    </w:p>
    <w:p w:rsidR="00535059" w:rsidRPr="004D033B" w:rsidRDefault="00535059" w:rsidP="00535059">
      <w:pPr>
        <w:pStyle w:val="Paragraphedeliste"/>
        <w:numPr>
          <w:ilvl w:val="0"/>
          <w:numId w:val="7"/>
        </w:numPr>
        <w:spacing w:line="240" w:lineRule="auto"/>
        <w:jc w:val="both"/>
        <w:rPr>
          <w:rFonts w:ascii="Times New Roman" w:hAnsi="Times New Roman"/>
          <w:i/>
          <w:sz w:val="24"/>
          <w:szCs w:val="24"/>
        </w:rPr>
      </w:pPr>
      <w:r w:rsidRPr="004D033B">
        <w:rPr>
          <w:rFonts w:ascii="Times New Roman" w:hAnsi="Times New Roman"/>
          <w:sz w:val="24"/>
          <w:szCs w:val="24"/>
        </w:rPr>
        <w:t xml:space="preserve">La dernière partie de cette affirmation est inexacte. La condition d’antériorité du contrat de travail de deux ans n’existe pas (n’existe plus en réalité). Il faut simplement que le contrat de travail soit antérieur à la nomination en qualité d’administrateur </w:t>
      </w:r>
      <w:r w:rsidR="00941C87" w:rsidRPr="004D033B">
        <w:rPr>
          <w:rFonts w:ascii="Times New Roman" w:hAnsi="Times New Roman"/>
          <w:sz w:val="24"/>
          <w:szCs w:val="24"/>
        </w:rPr>
        <w:t>et que ce contrat corresponde à un emploi effectif (Code de commerce, art. L 225-22).</w:t>
      </w:r>
    </w:p>
    <w:p w:rsidR="00535059" w:rsidRPr="004D033B" w:rsidRDefault="00535059" w:rsidP="00535059">
      <w:pPr>
        <w:spacing w:line="240" w:lineRule="auto"/>
        <w:jc w:val="both"/>
        <w:rPr>
          <w:rFonts w:ascii="Times New Roman" w:hAnsi="Times New Roman"/>
          <w:i/>
          <w:sz w:val="24"/>
          <w:szCs w:val="24"/>
        </w:rPr>
      </w:pPr>
      <w:r w:rsidRPr="004D033B">
        <w:rPr>
          <w:rFonts w:ascii="Times New Roman" w:hAnsi="Times New Roman"/>
          <w:i/>
          <w:sz w:val="24"/>
          <w:szCs w:val="24"/>
        </w:rPr>
        <w:t>« Réciproquement, sur cette même question, vous évoquez la situation de M. MARTIN</w:t>
      </w:r>
      <w:r w:rsidR="00941C87" w:rsidRPr="004D033B">
        <w:rPr>
          <w:rFonts w:ascii="Times New Roman" w:hAnsi="Times New Roman"/>
          <w:i/>
          <w:sz w:val="24"/>
          <w:szCs w:val="24"/>
        </w:rPr>
        <w:t>,</w:t>
      </w:r>
      <w:r w:rsidRPr="004D033B">
        <w:rPr>
          <w:rFonts w:ascii="Times New Roman" w:hAnsi="Times New Roman"/>
          <w:i/>
          <w:sz w:val="24"/>
          <w:szCs w:val="24"/>
        </w:rPr>
        <w:t xml:space="preserve"> administrateur en place qui accepterait de reprendre la direction du Bureau des Méthodes pour trois ans et deviendrait donc titulaire d’un contrat de travail. Rien ne s’y oppose en effet dès l’instant où la proportion du tiers reste respectée ».</w:t>
      </w:r>
    </w:p>
    <w:p w:rsidR="00535059" w:rsidRPr="004D033B" w:rsidRDefault="00B44EE5" w:rsidP="00535059">
      <w:pPr>
        <w:pStyle w:val="Paragraphedeliste"/>
        <w:numPr>
          <w:ilvl w:val="0"/>
          <w:numId w:val="7"/>
        </w:numPr>
        <w:spacing w:line="240" w:lineRule="auto"/>
        <w:jc w:val="both"/>
        <w:rPr>
          <w:rFonts w:ascii="Times New Roman" w:hAnsi="Times New Roman"/>
          <w:i/>
          <w:sz w:val="24"/>
          <w:szCs w:val="24"/>
        </w:rPr>
      </w:pPr>
      <w:r>
        <w:rPr>
          <w:rFonts w:ascii="Times New Roman" w:hAnsi="Times New Roman"/>
          <w:sz w:val="24"/>
          <w:szCs w:val="24"/>
        </w:rPr>
        <w:t>Deux cas doivent être envisagés : Si la société peut être qualifiée de PME au regard des critères de l’article L 225-21-1</w:t>
      </w:r>
      <w:r w:rsidR="002B19F8">
        <w:rPr>
          <w:rFonts w:ascii="Times New Roman" w:hAnsi="Times New Roman"/>
          <w:sz w:val="24"/>
          <w:szCs w:val="24"/>
        </w:rPr>
        <w:t xml:space="preserve"> (critères du droit européen : effectif &lt; 250 salariés et total du bilan &lt; 43 millions € ou chiffre d’affaires &lt; 50 millions</w:t>
      </w:r>
      <w:r w:rsidR="00B55ABE">
        <w:rPr>
          <w:rFonts w:ascii="Times New Roman" w:hAnsi="Times New Roman"/>
          <w:sz w:val="24"/>
          <w:szCs w:val="24"/>
        </w:rPr>
        <w:t xml:space="preserve"> €</w:t>
      </w:r>
      <w:r w:rsidR="002B19F8">
        <w:rPr>
          <w:rFonts w:ascii="Times New Roman" w:hAnsi="Times New Roman"/>
          <w:sz w:val="24"/>
          <w:szCs w:val="24"/>
        </w:rPr>
        <w:t>)</w:t>
      </w:r>
      <w:r>
        <w:rPr>
          <w:rFonts w:ascii="Times New Roman" w:hAnsi="Times New Roman"/>
          <w:sz w:val="24"/>
          <w:szCs w:val="24"/>
        </w:rPr>
        <w:t xml:space="preserve">, la nomination d’administrateurs parmi les salariés est possible (depuis la loi du 22 mars 2012). A l’inverse, </w:t>
      </w:r>
      <w:r w:rsidR="002B19F8">
        <w:rPr>
          <w:rFonts w:ascii="Times New Roman" w:hAnsi="Times New Roman"/>
          <w:sz w:val="24"/>
          <w:szCs w:val="24"/>
        </w:rPr>
        <w:t>pour les autres sociétés,</w:t>
      </w:r>
      <w:r w:rsidR="00024A10">
        <w:rPr>
          <w:rFonts w:ascii="Times New Roman" w:hAnsi="Times New Roman"/>
          <w:sz w:val="24"/>
          <w:szCs w:val="24"/>
        </w:rPr>
        <w:t xml:space="preserve"> i</w:t>
      </w:r>
      <w:r w:rsidR="00535059" w:rsidRPr="004D033B">
        <w:rPr>
          <w:rFonts w:ascii="Times New Roman" w:hAnsi="Times New Roman"/>
          <w:sz w:val="24"/>
          <w:szCs w:val="24"/>
        </w:rPr>
        <w:t xml:space="preserve">l n’est pas possible à un administrateur en fonction de devenir titulaire d’un contrat de travail. </w:t>
      </w:r>
      <w:r w:rsidR="002B19F8">
        <w:rPr>
          <w:rFonts w:ascii="Times New Roman" w:hAnsi="Times New Roman"/>
          <w:sz w:val="24"/>
          <w:szCs w:val="24"/>
        </w:rPr>
        <w:t xml:space="preserve"> </w:t>
      </w:r>
      <w:r w:rsidR="00024A10">
        <w:rPr>
          <w:rFonts w:ascii="Times New Roman" w:hAnsi="Times New Roman"/>
          <w:sz w:val="24"/>
          <w:szCs w:val="24"/>
        </w:rPr>
        <w:t>En conclusion, l</w:t>
      </w:r>
      <w:r w:rsidR="005D2E4F">
        <w:rPr>
          <w:rFonts w:ascii="Times New Roman" w:hAnsi="Times New Roman"/>
          <w:sz w:val="24"/>
          <w:szCs w:val="24"/>
        </w:rPr>
        <w:t>a mention « </w:t>
      </w:r>
      <w:r w:rsidR="005D2E4F" w:rsidRPr="005D2E4F">
        <w:rPr>
          <w:rFonts w:ascii="Times New Roman" w:hAnsi="Times New Roman"/>
          <w:i/>
          <w:sz w:val="24"/>
          <w:szCs w:val="24"/>
        </w:rPr>
        <w:t>Rien ne s’y oppose</w:t>
      </w:r>
      <w:r w:rsidR="005D2E4F">
        <w:rPr>
          <w:rFonts w:ascii="Times New Roman" w:hAnsi="Times New Roman"/>
          <w:sz w:val="24"/>
          <w:szCs w:val="24"/>
        </w:rPr>
        <w:t xml:space="preserve"> </w:t>
      </w:r>
      <w:r w:rsidR="005D2E4F" w:rsidRPr="005D2E4F">
        <w:rPr>
          <w:rFonts w:ascii="Times New Roman" w:hAnsi="Times New Roman"/>
          <w:i/>
          <w:sz w:val="24"/>
          <w:szCs w:val="24"/>
        </w:rPr>
        <w:t>en effet</w:t>
      </w:r>
      <w:r w:rsidR="005D2E4F">
        <w:rPr>
          <w:rFonts w:ascii="Times New Roman" w:hAnsi="Times New Roman"/>
          <w:sz w:val="24"/>
          <w:szCs w:val="24"/>
        </w:rPr>
        <w:t> » n’est pas correcte, dans la mesure où une autre condition s’ajoute, savoir si la société est effectivement une PME.</w:t>
      </w:r>
    </w:p>
    <w:p w:rsidR="00535059" w:rsidRPr="004D033B" w:rsidRDefault="00535059" w:rsidP="00535059">
      <w:pPr>
        <w:spacing w:line="240" w:lineRule="auto"/>
        <w:jc w:val="both"/>
        <w:rPr>
          <w:rFonts w:ascii="Times New Roman" w:hAnsi="Times New Roman"/>
          <w:i/>
          <w:sz w:val="24"/>
          <w:szCs w:val="24"/>
        </w:rPr>
      </w:pPr>
      <w:r w:rsidRPr="004D033B">
        <w:rPr>
          <w:rFonts w:ascii="Times New Roman" w:hAnsi="Times New Roman"/>
          <w:i/>
          <w:sz w:val="24"/>
          <w:szCs w:val="24"/>
        </w:rPr>
        <w:lastRenderedPageBreak/>
        <w:t xml:space="preserve">« En revanche, vous ne pouvez pas imposer aux administrateurs de détenir un nombre minimum d’actions. Cela serait par ailleurs gênant pour les administrateurs les plus anciens dont la présence au conseil est indiscutable ». </w:t>
      </w:r>
    </w:p>
    <w:p w:rsidR="00535059" w:rsidRPr="004D033B" w:rsidRDefault="00535059" w:rsidP="00C153E7">
      <w:pPr>
        <w:pStyle w:val="Paragraphedeliste"/>
        <w:numPr>
          <w:ilvl w:val="0"/>
          <w:numId w:val="7"/>
        </w:numPr>
        <w:spacing w:after="0" w:line="240" w:lineRule="auto"/>
        <w:jc w:val="both"/>
        <w:rPr>
          <w:rFonts w:ascii="Times New Roman" w:hAnsi="Times New Roman"/>
          <w:i/>
          <w:sz w:val="24"/>
          <w:szCs w:val="24"/>
        </w:rPr>
      </w:pPr>
      <w:r w:rsidRPr="004D033B">
        <w:rPr>
          <w:rFonts w:ascii="Times New Roman" w:hAnsi="Times New Roman"/>
          <w:sz w:val="24"/>
          <w:szCs w:val="24"/>
        </w:rPr>
        <w:t>Cette affirmation est inexacte. Aux t</w:t>
      </w:r>
      <w:r w:rsidR="00941C87" w:rsidRPr="004D033B">
        <w:rPr>
          <w:rFonts w:ascii="Times New Roman" w:hAnsi="Times New Roman"/>
          <w:sz w:val="24"/>
          <w:szCs w:val="24"/>
        </w:rPr>
        <w:t>ermes de l’article L 225-25 du C</w:t>
      </w:r>
      <w:r w:rsidRPr="004D033B">
        <w:rPr>
          <w:rFonts w:ascii="Times New Roman" w:hAnsi="Times New Roman"/>
          <w:sz w:val="24"/>
          <w:szCs w:val="24"/>
        </w:rPr>
        <w:t>ode de commerce, les statuts peuvent imposer que chaque administrateur soit propriétaire d’un nombre d’actions qu’ils déterminent.</w:t>
      </w:r>
    </w:p>
    <w:p w:rsidR="00535059" w:rsidRDefault="00535059" w:rsidP="00C153E7">
      <w:pPr>
        <w:spacing w:after="0" w:line="240" w:lineRule="auto"/>
        <w:jc w:val="both"/>
        <w:rPr>
          <w:rFonts w:ascii="Times New Roman" w:hAnsi="Times New Roman"/>
          <w:i/>
          <w:sz w:val="24"/>
          <w:szCs w:val="24"/>
        </w:rPr>
      </w:pPr>
    </w:p>
    <w:p w:rsidR="00C153E7" w:rsidRPr="004D033B" w:rsidRDefault="00C153E7" w:rsidP="00C153E7">
      <w:pPr>
        <w:spacing w:after="0" w:line="240" w:lineRule="auto"/>
        <w:jc w:val="both"/>
        <w:rPr>
          <w:rFonts w:ascii="Times New Roman" w:hAnsi="Times New Roman"/>
          <w:i/>
          <w:sz w:val="24"/>
          <w:szCs w:val="24"/>
        </w:rPr>
      </w:pP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r w:rsidRPr="004D033B">
        <w:rPr>
          <w:rFonts w:ascii="Times New Roman" w:hAnsi="Times New Roman"/>
          <w:b/>
          <w:sz w:val="24"/>
          <w:szCs w:val="24"/>
        </w:rPr>
        <w:t>DOSSIER 3</w:t>
      </w:r>
      <w:r w:rsidR="0001407C">
        <w:rPr>
          <w:rFonts w:ascii="Times New Roman" w:hAnsi="Times New Roman"/>
          <w:b/>
          <w:sz w:val="24"/>
          <w:szCs w:val="24"/>
        </w:rPr>
        <w:t xml:space="preserve"> – LOCATION-GÉRANCE</w:t>
      </w:r>
    </w:p>
    <w:p w:rsidR="00535059" w:rsidRPr="004D033B" w:rsidRDefault="00535059"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C153E7" w:rsidRDefault="00C153E7" w:rsidP="00C153E7">
      <w:pPr>
        <w:widowControl w:val="0"/>
        <w:overflowPunct w:val="0"/>
        <w:autoSpaceDE w:val="0"/>
        <w:autoSpaceDN w:val="0"/>
        <w:adjustRightInd w:val="0"/>
        <w:spacing w:after="0" w:line="240" w:lineRule="auto"/>
        <w:jc w:val="both"/>
        <w:rPr>
          <w:rFonts w:ascii="Times New Roman" w:hAnsi="Times New Roman"/>
          <w:b/>
          <w:sz w:val="24"/>
          <w:szCs w:val="24"/>
        </w:rPr>
      </w:pPr>
    </w:p>
    <w:p w:rsidR="00B733F1" w:rsidRPr="00C153E7" w:rsidRDefault="00B733F1" w:rsidP="00C153E7">
      <w:pPr>
        <w:widowControl w:val="0"/>
        <w:overflowPunct w:val="0"/>
        <w:autoSpaceDE w:val="0"/>
        <w:autoSpaceDN w:val="0"/>
        <w:adjustRightInd w:val="0"/>
        <w:spacing w:after="0" w:line="240" w:lineRule="auto"/>
        <w:jc w:val="both"/>
        <w:rPr>
          <w:rFonts w:ascii="Times New Roman" w:hAnsi="Times New Roman"/>
          <w:b/>
          <w:sz w:val="24"/>
          <w:szCs w:val="24"/>
        </w:rPr>
      </w:pPr>
    </w:p>
    <w:p w:rsidR="00535059" w:rsidRPr="00EA5A92" w:rsidRDefault="00535059" w:rsidP="008A565E">
      <w:pPr>
        <w:pStyle w:val="Paragraphedeliste"/>
        <w:widowControl w:val="0"/>
        <w:numPr>
          <w:ilvl w:val="0"/>
          <w:numId w:val="12"/>
        </w:numPr>
        <w:overflowPunct w:val="0"/>
        <w:autoSpaceDE w:val="0"/>
        <w:autoSpaceDN w:val="0"/>
        <w:adjustRightInd w:val="0"/>
        <w:spacing w:after="120" w:line="240" w:lineRule="auto"/>
        <w:ind w:left="714" w:hanging="357"/>
        <w:jc w:val="both"/>
        <w:rPr>
          <w:rFonts w:ascii="Times New Roman" w:hAnsi="Times New Roman"/>
          <w:b/>
          <w:i/>
          <w:sz w:val="24"/>
          <w:szCs w:val="24"/>
        </w:rPr>
      </w:pPr>
      <w:r w:rsidRPr="004D033B">
        <w:rPr>
          <w:rFonts w:ascii="Times New Roman" w:hAnsi="Times New Roman"/>
          <w:b/>
        </w:rPr>
        <w:t xml:space="preserve"> </w:t>
      </w:r>
      <w:r w:rsidRPr="004D033B">
        <w:rPr>
          <w:rFonts w:ascii="Times New Roman" w:hAnsi="Times New Roman"/>
          <w:b/>
          <w:sz w:val="24"/>
          <w:szCs w:val="24"/>
        </w:rPr>
        <w:t>Rappeler la dé</w:t>
      </w:r>
      <w:r w:rsidR="002461FA" w:rsidRPr="004D033B">
        <w:rPr>
          <w:rFonts w:ascii="Times New Roman" w:hAnsi="Times New Roman"/>
          <w:b/>
          <w:sz w:val="24"/>
          <w:szCs w:val="24"/>
        </w:rPr>
        <w:t>finition du contrat de location-</w:t>
      </w:r>
      <w:r w:rsidRPr="004D033B">
        <w:rPr>
          <w:rFonts w:ascii="Times New Roman" w:hAnsi="Times New Roman"/>
          <w:b/>
          <w:sz w:val="24"/>
          <w:szCs w:val="24"/>
        </w:rPr>
        <w:t>gérance.</w:t>
      </w: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 xml:space="preserve">Selon l’article L 144-1 du code de commerce, le contrat de location-gérance est un contrat ou une convention par lequel le propriétaire ou l’exploitant d’un fonds de commerce ou d’un établissement artisanal en concède totalement ou partiellement la location à un gérant qui l’exploite à ses risques et périls. </w:t>
      </w: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Le propriétaire du fonds est donc un bailleur qui conclut un contrat de bail portant sur son fonds et qui perd la qualité de commerçant, tandis que le locataire-gérant est un locataire qui exploite en qualité de commerçant le fonds dont il n’est pas propriétaire.</w:t>
      </w:r>
    </w:p>
    <w:p w:rsidR="00535059"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 xml:space="preserve"> </w:t>
      </w:r>
    </w:p>
    <w:p w:rsidR="00B733F1" w:rsidRPr="004D033B" w:rsidRDefault="00B733F1" w:rsidP="004D033B">
      <w:pPr>
        <w:spacing w:after="0" w:line="240" w:lineRule="auto"/>
        <w:jc w:val="both"/>
        <w:rPr>
          <w:rFonts w:ascii="Times New Roman" w:hAnsi="Times New Roman"/>
          <w:sz w:val="24"/>
          <w:szCs w:val="24"/>
        </w:rPr>
      </w:pPr>
    </w:p>
    <w:p w:rsidR="00535059" w:rsidRPr="004D033B" w:rsidRDefault="00535059" w:rsidP="008A565E">
      <w:pPr>
        <w:pStyle w:val="Paragraphedeliste"/>
        <w:widowControl w:val="0"/>
        <w:numPr>
          <w:ilvl w:val="0"/>
          <w:numId w:val="8"/>
        </w:numPr>
        <w:overflowPunct w:val="0"/>
        <w:autoSpaceDE w:val="0"/>
        <w:autoSpaceDN w:val="0"/>
        <w:adjustRightInd w:val="0"/>
        <w:spacing w:after="120" w:line="240" w:lineRule="auto"/>
        <w:ind w:left="714" w:hanging="357"/>
        <w:jc w:val="both"/>
        <w:rPr>
          <w:rFonts w:ascii="Times New Roman" w:hAnsi="Times New Roman"/>
          <w:b/>
          <w:sz w:val="24"/>
          <w:szCs w:val="24"/>
        </w:rPr>
      </w:pPr>
      <w:r w:rsidRPr="004D033B">
        <w:rPr>
          <w:rFonts w:ascii="Times New Roman" w:hAnsi="Times New Roman"/>
          <w:b/>
          <w:sz w:val="24"/>
          <w:szCs w:val="24"/>
        </w:rPr>
        <w:t>En dehors des conditions de validité liées à la formation de tout contrat, quelles sont les conditions de fond et de forme spé</w:t>
      </w:r>
      <w:r w:rsidR="002461FA" w:rsidRPr="004D033B">
        <w:rPr>
          <w:rFonts w:ascii="Times New Roman" w:hAnsi="Times New Roman"/>
          <w:b/>
          <w:sz w:val="24"/>
          <w:szCs w:val="24"/>
        </w:rPr>
        <w:t>cifiques au contrat de location-gérance ?</w:t>
      </w: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i/>
          <w:sz w:val="24"/>
          <w:szCs w:val="24"/>
          <w:u w:val="single"/>
        </w:rPr>
        <w:t>Condition d</w:t>
      </w:r>
      <w:r w:rsidR="00B733F1">
        <w:rPr>
          <w:rFonts w:ascii="Times New Roman" w:hAnsi="Times New Roman"/>
          <w:i/>
          <w:sz w:val="24"/>
          <w:szCs w:val="24"/>
          <w:u w:val="single"/>
        </w:rPr>
        <w:t xml:space="preserve">e </w:t>
      </w:r>
      <w:r w:rsidRPr="004D033B">
        <w:rPr>
          <w:rFonts w:ascii="Times New Roman" w:hAnsi="Times New Roman"/>
          <w:i/>
          <w:sz w:val="24"/>
          <w:szCs w:val="24"/>
          <w:u w:val="single"/>
        </w:rPr>
        <w:t xml:space="preserve"> fond</w:t>
      </w:r>
      <w:r w:rsidRPr="004D033B">
        <w:rPr>
          <w:rFonts w:ascii="Times New Roman" w:hAnsi="Times New Roman"/>
          <w:sz w:val="24"/>
          <w:szCs w:val="24"/>
        </w:rPr>
        <w:t> </w:t>
      </w:r>
      <w:r w:rsidRPr="00B733F1">
        <w:rPr>
          <w:rFonts w:ascii="Times New Roman" w:hAnsi="Times New Roman"/>
          <w:sz w:val="24"/>
          <w:szCs w:val="24"/>
        </w:rPr>
        <w:t xml:space="preserve">: </w:t>
      </w:r>
      <w:r w:rsidRPr="004D033B">
        <w:rPr>
          <w:rFonts w:ascii="Times New Roman" w:hAnsi="Times New Roman"/>
          <w:sz w:val="24"/>
          <w:szCs w:val="24"/>
        </w:rPr>
        <w:t xml:space="preserve">Aux </w:t>
      </w:r>
      <w:r w:rsidR="006B0C8A">
        <w:rPr>
          <w:rFonts w:ascii="Times New Roman" w:hAnsi="Times New Roman"/>
          <w:sz w:val="24"/>
          <w:szCs w:val="24"/>
        </w:rPr>
        <w:t>termes de l’article L 144-3 du C</w:t>
      </w:r>
      <w:r w:rsidRPr="004D033B">
        <w:rPr>
          <w:rFonts w:ascii="Times New Roman" w:hAnsi="Times New Roman"/>
          <w:sz w:val="24"/>
          <w:szCs w:val="24"/>
        </w:rPr>
        <w:t>ode de commerce, les personnes physiques ou mor</w:t>
      </w:r>
      <w:r w:rsidR="002461FA" w:rsidRPr="004D033B">
        <w:rPr>
          <w:rFonts w:ascii="Times New Roman" w:hAnsi="Times New Roman"/>
          <w:sz w:val="24"/>
          <w:szCs w:val="24"/>
        </w:rPr>
        <w:t>ales qui concèdent une location-</w:t>
      </w:r>
      <w:r w:rsidRPr="004D033B">
        <w:rPr>
          <w:rFonts w:ascii="Times New Roman" w:hAnsi="Times New Roman"/>
          <w:sz w:val="24"/>
          <w:szCs w:val="24"/>
        </w:rPr>
        <w:t xml:space="preserve">gérance doivent </w:t>
      </w:r>
      <w:r w:rsidRPr="00363D14">
        <w:rPr>
          <w:rFonts w:ascii="Times New Roman" w:hAnsi="Times New Roman"/>
          <w:sz w:val="24"/>
          <w:szCs w:val="24"/>
          <w:u w:val="single"/>
        </w:rPr>
        <w:t xml:space="preserve">avoir exploité pendant deux années </w:t>
      </w:r>
      <w:r w:rsidRPr="004D033B">
        <w:rPr>
          <w:rFonts w:ascii="Times New Roman" w:hAnsi="Times New Roman"/>
          <w:sz w:val="24"/>
          <w:szCs w:val="24"/>
        </w:rPr>
        <w:t>au moins le fonds ou l’établiss</w:t>
      </w:r>
      <w:r w:rsidR="002461FA" w:rsidRPr="004D033B">
        <w:rPr>
          <w:rFonts w:ascii="Times New Roman" w:hAnsi="Times New Roman"/>
          <w:sz w:val="24"/>
          <w:szCs w:val="24"/>
        </w:rPr>
        <w:t xml:space="preserve">ement artisanal mis en </w:t>
      </w:r>
      <w:r w:rsidRPr="004D033B">
        <w:rPr>
          <w:rFonts w:ascii="Times New Roman" w:hAnsi="Times New Roman"/>
          <w:sz w:val="24"/>
          <w:szCs w:val="24"/>
        </w:rPr>
        <w:t xml:space="preserve">gérance. </w:t>
      </w:r>
    </w:p>
    <w:p w:rsidR="00535059" w:rsidRPr="004D033B" w:rsidRDefault="00535059" w:rsidP="004225EE">
      <w:pPr>
        <w:spacing w:after="0" w:line="240" w:lineRule="auto"/>
        <w:jc w:val="both"/>
        <w:rPr>
          <w:rFonts w:ascii="Times New Roman" w:hAnsi="Times New Roman"/>
          <w:sz w:val="24"/>
          <w:szCs w:val="24"/>
        </w:rPr>
      </w:pPr>
      <w:r w:rsidRPr="004D033B">
        <w:rPr>
          <w:rFonts w:ascii="Times New Roman" w:hAnsi="Times New Roman"/>
          <w:sz w:val="24"/>
          <w:szCs w:val="24"/>
        </w:rPr>
        <w:t xml:space="preserve">Le code de commerce prévoit toutefois </w:t>
      </w:r>
      <w:r w:rsidRPr="00363D14">
        <w:rPr>
          <w:rFonts w:ascii="Times New Roman" w:hAnsi="Times New Roman"/>
          <w:sz w:val="24"/>
          <w:szCs w:val="24"/>
          <w:u w:val="single"/>
        </w:rPr>
        <w:t>certaines dérogations</w:t>
      </w:r>
      <w:r w:rsidRPr="004D033B">
        <w:rPr>
          <w:rFonts w:ascii="Times New Roman" w:hAnsi="Times New Roman"/>
          <w:sz w:val="24"/>
          <w:szCs w:val="24"/>
        </w:rPr>
        <w:t xml:space="preserve"> à l’application du délai de deux ans (Code de com</w:t>
      </w:r>
      <w:r w:rsidR="00887E47" w:rsidRPr="004D033B">
        <w:rPr>
          <w:rFonts w:ascii="Times New Roman" w:hAnsi="Times New Roman"/>
          <w:sz w:val="24"/>
          <w:szCs w:val="24"/>
        </w:rPr>
        <w:t>merce, art.</w:t>
      </w:r>
      <w:r w:rsidR="00AE03F8" w:rsidRPr="004D033B">
        <w:rPr>
          <w:rFonts w:ascii="Times New Roman" w:hAnsi="Times New Roman"/>
          <w:sz w:val="24"/>
          <w:szCs w:val="24"/>
        </w:rPr>
        <w:t xml:space="preserve"> L 144-4 et 144-5). </w:t>
      </w:r>
      <w:r w:rsidRPr="004D033B">
        <w:rPr>
          <w:rFonts w:ascii="Times New Roman" w:hAnsi="Times New Roman"/>
          <w:sz w:val="24"/>
          <w:szCs w:val="24"/>
        </w:rPr>
        <w:t xml:space="preserve">Ainsi, le délai peut être réduit notamment sur simple requête de l’intéressé par ordonnance du Président du tribunal de grande instance notamment lorsque l’intéressé justifie qu’il est dans l’impossibilité d’exploiter le fonds personnellement ou </w:t>
      </w:r>
      <w:r w:rsidR="00AE03F8" w:rsidRPr="004D033B">
        <w:rPr>
          <w:rFonts w:ascii="Times New Roman" w:hAnsi="Times New Roman"/>
          <w:sz w:val="24"/>
          <w:szCs w:val="24"/>
        </w:rPr>
        <w:t>par l’intermédiaire de préposés</w:t>
      </w:r>
      <w:r w:rsidRPr="004D033B">
        <w:rPr>
          <w:rFonts w:ascii="Times New Roman" w:hAnsi="Times New Roman"/>
          <w:sz w:val="24"/>
          <w:szCs w:val="24"/>
        </w:rPr>
        <w:t xml:space="preserve">. </w:t>
      </w: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 xml:space="preserve">Par ailleurs, le locataire-gérant doit avoir la </w:t>
      </w:r>
      <w:r w:rsidRPr="00363D14">
        <w:rPr>
          <w:rFonts w:ascii="Times New Roman" w:hAnsi="Times New Roman"/>
          <w:sz w:val="24"/>
          <w:szCs w:val="24"/>
          <w:u w:val="single"/>
        </w:rPr>
        <w:t>qualité de commerçant</w:t>
      </w:r>
      <w:r w:rsidR="00887E47" w:rsidRPr="004D033B">
        <w:rPr>
          <w:rFonts w:ascii="Times New Roman" w:hAnsi="Times New Roman"/>
          <w:sz w:val="24"/>
          <w:szCs w:val="24"/>
        </w:rPr>
        <w:t xml:space="preserve"> (Code de commerce, art. L 144-2)</w:t>
      </w:r>
      <w:r w:rsidRPr="004D033B">
        <w:rPr>
          <w:rFonts w:ascii="Times New Roman" w:hAnsi="Times New Roman"/>
          <w:sz w:val="24"/>
          <w:szCs w:val="24"/>
        </w:rPr>
        <w:t>.</w:t>
      </w:r>
    </w:p>
    <w:p w:rsidR="00535059" w:rsidRPr="004D033B" w:rsidRDefault="00535059" w:rsidP="004D033B">
      <w:pPr>
        <w:spacing w:after="0" w:line="240" w:lineRule="auto"/>
        <w:jc w:val="both"/>
        <w:rPr>
          <w:rFonts w:ascii="Times New Roman" w:hAnsi="Times New Roman"/>
          <w:sz w:val="24"/>
          <w:szCs w:val="24"/>
        </w:rPr>
      </w:pP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i/>
          <w:sz w:val="24"/>
          <w:szCs w:val="24"/>
          <w:u w:val="single"/>
        </w:rPr>
        <w:t>Condition de forme</w:t>
      </w:r>
      <w:r w:rsidR="004832CD">
        <w:rPr>
          <w:rFonts w:ascii="Times New Roman" w:hAnsi="Times New Roman"/>
          <w:sz w:val="24"/>
          <w:szCs w:val="24"/>
        </w:rPr>
        <w:t> : l</w:t>
      </w:r>
      <w:r w:rsidRPr="004D033B">
        <w:rPr>
          <w:rFonts w:ascii="Times New Roman" w:hAnsi="Times New Roman"/>
          <w:sz w:val="24"/>
          <w:szCs w:val="24"/>
        </w:rPr>
        <w:t xml:space="preserve">’article R 144-1 du Code de commerce prévoit que les contrats de gérance doivent être publiés dans la quinzaine de leur date sous forme d’extraits ou d’avis dans un journal d’annonces </w:t>
      </w:r>
      <w:r w:rsidR="00AE03F8" w:rsidRPr="004D033B">
        <w:rPr>
          <w:rFonts w:ascii="Times New Roman" w:hAnsi="Times New Roman"/>
          <w:sz w:val="24"/>
          <w:szCs w:val="24"/>
        </w:rPr>
        <w:t>légales. (La fin de la location-</w:t>
      </w:r>
      <w:r w:rsidRPr="004D033B">
        <w:rPr>
          <w:rFonts w:ascii="Times New Roman" w:hAnsi="Times New Roman"/>
          <w:sz w:val="24"/>
          <w:szCs w:val="24"/>
        </w:rPr>
        <w:t xml:space="preserve">gérance donne lieu aux mêmes mesures de publicité). </w:t>
      </w: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 xml:space="preserve">Il doit par ailleurs être fait mention </w:t>
      </w:r>
      <w:r w:rsidR="003B3A10" w:rsidRPr="004D033B">
        <w:rPr>
          <w:rFonts w:ascii="Times New Roman" w:hAnsi="Times New Roman"/>
          <w:sz w:val="24"/>
          <w:szCs w:val="24"/>
        </w:rPr>
        <w:t>au Registre du Commerce et des S</w:t>
      </w:r>
      <w:r w:rsidRPr="004D033B">
        <w:rPr>
          <w:rFonts w:ascii="Times New Roman" w:hAnsi="Times New Roman"/>
          <w:sz w:val="24"/>
          <w:szCs w:val="24"/>
        </w:rPr>
        <w:t>ociétés du mode d’exploitation du fonds dans le cadre d’un contrat de location gérance.</w:t>
      </w:r>
    </w:p>
    <w:p w:rsidR="00535059" w:rsidRPr="004D033B" w:rsidRDefault="00535059" w:rsidP="004D033B">
      <w:pPr>
        <w:spacing w:after="0" w:line="240" w:lineRule="auto"/>
        <w:jc w:val="both"/>
        <w:rPr>
          <w:rFonts w:ascii="Times New Roman" w:hAnsi="Times New Roman"/>
          <w:sz w:val="24"/>
          <w:szCs w:val="24"/>
        </w:rPr>
      </w:pPr>
    </w:p>
    <w:p w:rsidR="00C153E7" w:rsidRDefault="00C153E7">
      <w:pPr>
        <w:rPr>
          <w:rFonts w:ascii="Times New Roman" w:hAnsi="Times New Roman"/>
          <w:b/>
          <w:sz w:val="24"/>
          <w:szCs w:val="24"/>
        </w:rPr>
      </w:pPr>
      <w:r>
        <w:rPr>
          <w:rFonts w:ascii="Times New Roman" w:hAnsi="Times New Roman"/>
          <w:b/>
          <w:sz w:val="24"/>
          <w:szCs w:val="24"/>
        </w:rPr>
        <w:br w:type="page"/>
      </w:r>
    </w:p>
    <w:p w:rsidR="00535059" w:rsidRDefault="00AE03F8" w:rsidP="008A565E">
      <w:pPr>
        <w:pStyle w:val="Paragraphedeliste"/>
        <w:widowControl w:val="0"/>
        <w:numPr>
          <w:ilvl w:val="0"/>
          <w:numId w:val="8"/>
        </w:numPr>
        <w:overflowPunct w:val="0"/>
        <w:autoSpaceDE w:val="0"/>
        <w:autoSpaceDN w:val="0"/>
        <w:adjustRightInd w:val="0"/>
        <w:spacing w:after="120" w:line="240" w:lineRule="auto"/>
        <w:ind w:left="714" w:hanging="357"/>
        <w:contextualSpacing w:val="0"/>
        <w:jc w:val="both"/>
        <w:rPr>
          <w:rFonts w:ascii="Times New Roman" w:hAnsi="Times New Roman"/>
          <w:b/>
          <w:sz w:val="24"/>
          <w:szCs w:val="24"/>
        </w:rPr>
      </w:pPr>
      <w:r w:rsidRPr="004D033B">
        <w:rPr>
          <w:rFonts w:ascii="Times New Roman" w:hAnsi="Times New Roman"/>
          <w:b/>
          <w:sz w:val="24"/>
          <w:szCs w:val="24"/>
        </w:rPr>
        <w:lastRenderedPageBreak/>
        <w:t>Dans le cas de la location-</w:t>
      </w:r>
      <w:r w:rsidR="00535059" w:rsidRPr="004D033B">
        <w:rPr>
          <w:rFonts w:ascii="Times New Roman" w:hAnsi="Times New Roman"/>
          <w:b/>
          <w:sz w:val="24"/>
          <w:szCs w:val="24"/>
        </w:rPr>
        <w:t>gérance d’une entreprise individuelle, indiquer le régime fiscal applic</w:t>
      </w:r>
      <w:r w:rsidRPr="004D033B">
        <w:rPr>
          <w:rFonts w:ascii="Times New Roman" w:hAnsi="Times New Roman"/>
          <w:b/>
          <w:sz w:val="24"/>
          <w:szCs w:val="24"/>
        </w:rPr>
        <w:t>able aux redevances de location-</w:t>
      </w:r>
      <w:r w:rsidR="00535059" w:rsidRPr="004D033B">
        <w:rPr>
          <w:rFonts w:ascii="Times New Roman" w:hAnsi="Times New Roman"/>
          <w:b/>
          <w:sz w:val="24"/>
          <w:szCs w:val="24"/>
        </w:rPr>
        <w:t>gérance au regard de l’imposition du résultat et de la TVA, aussi bien pour le locataire-gérant que pour le propriétaire du fonds de</w:t>
      </w:r>
      <w:r w:rsidRPr="004D033B">
        <w:rPr>
          <w:rFonts w:ascii="Times New Roman" w:hAnsi="Times New Roman"/>
          <w:b/>
          <w:sz w:val="24"/>
          <w:szCs w:val="24"/>
        </w:rPr>
        <w:t xml:space="preserve"> commerce ? La mise en location-</w:t>
      </w:r>
      <w:r w:rsidR="00535059" w:rsidRPr="004D033B">
        <w:rPr>
          <w:rFonts w:ascii="Times New Roman" w:hAnsi="Times New Roman"/>
          <w:b/>
          <w:sz w:val="24"/>
          <w:szCs w:val="24"/>
        </w:rPr>
        <w:t>gérance du fonds a-t-elle un impact sur la situation du bailleur au regard de l’ISF ?</w:t>
      </w:r>
    </w:p>
    <w:p w:rsidR="00363049" w:rsidRPr="004D033B" w:rsidRDefault="00363049" w:rsidP="00363049">
      <w:pPr>
        <w:pStyle w:val="Paragraphedeliste"/>
        <w:widowControl w:val="0"/>
        <w:overflowPunct w:val="0"/>
        <w:autoSpaceDE w:val="0"/>
        <w:autoSpaceDN w:val="0"/>
        <w:adjustRightInd w:val="0"/>
        <w:spacing w:after="120" w:line="240" w:lineRule="auto"/>
        <w:ind w:left="714"/>
        <w:contextualSpacing w:val="0"/>
        <w:jc w:val="both"/>
        <w:rPr>
          <w:rFonts w:ascii="Times New Roman" w:hAnsi="Times New Roman"/>
          <w:b/>
          <w:sz w:val="24"/>
          <w:szCs w:val="24"/>
        </w:rPr>
      </w:pPr>
    </w:p>
    <w:p w:rsidR="00535059" w:rsidRPr="004D033B" w:rsidRDefault="00535059" w:rsidP="004D033B">
      <w:pPr>
        <w:pStyle w:val="Paragraphedeliste"/>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u w:val="single"/>
        </w:rPr>
        <w:t>Imposition du</w:t>
      </w:r>
      <w:r w:rsidRPr="00363D14">
        <w:rPr>
          <w:rFonts w:ascii="Times New Roman" w:hAnsi="Times New Roman"/>
          <w:sz w:val="24"/>
          <w:szCs w:val="24"/>
          <w:u w:val="single"/>
        </w:rPr>
        <w:t xml:space="preserve"> résultat</w:t>
      </w:r>
    </w:p>
    <w:p w:rsidR="00535059" w:rsidRPr="004D033B" w:rsidRDefault="001B54F2" w:rsidP="009426FF">
      <w:pPr>
        <w:pStyle w:val="Paragraphedeliste"/>
        <w:widowControl w:val="0"/>
        <w:numPr>
          <w:ilvl w:val="0"/>
          <w:numId w:val="9"/>
        </w:numPr>
        <w:tabs>
          <w:tab w:val="left" w:pos="993"/>
        </w:tabs>
        <w:overflowPunct w:val="0"/>
        <w:autoSpaceDE w:val="0"/>
        <w:autoSpaceDN w:val="0"/>
        <w:adjustRightInd w:val="0"/>
        <w:spacing w:after="0" w:line="240" w:lineRule="auto"/>
        <w:ind w:hanging="11"/>
        <w:jc w:val="both"/>
        <w:rPr>
          <w:rFonts w:ascii="Times New Roman" w:hAnsi="Times New Roman"/>
          <w:sz w:val="24"/>
          <w:szCs w:val="24"/>
        </w:rPr>
      </w:pPr>
      <w:r>
        <w:rPr>
          <w:rFonts w:ascii="Times New Roman" w:hAnsi="Times New Roman"/>
          <w:i/>
          <w:sz w:val="24"/>
          <w:szCs w:val="24"/>
        </w:rPr>
        <w:t>C</w:t>
      </w:r>
      <w:r w:rsidR="00AE03F8" w:rsidRPr="004D033B">
        <w:rPr>
          <w:rFonts w:ascii="Times New Roman" w:hAnsi="Times New Roman"/>
          <w:i/>
          <w:sz w:val="24"/>
          <w:szCs w:val="24"/>
        </w:rPr>
        <w:t>hez le locataire-</w:t>
      </w:r>
      <w:r w:rsidR="00535059" w:rsidRPr="004D033B">
        <w:rPr>
          <w:rFonts w:ascii="Times New Roman" w:hAnsi="Times New Roman"/>
          <w:i/>
          <w:sz w:val="24"/>
          <w:szCs w:val="24"/>
        </w:rPr>
        <w:t>gérant</w:t>
      </w:r>
      <w:r w:rsidR="00535059" w:rsidRPr="004D033B">
        <w:rPr>
          <w:rFonts w:ascii="Times New Roman" w:hAnsi="Times New Roman"/>
          <w:sz w:val="24"/>
          <w:szCs w:val="24"/>
        </w:rPr>
        <w:t xml:space="preserve"> : les redevances </w:t>
      </w:r>
      <w:r w:rsidR="00AE03F8" w:rsidRPr="004D033B">
        <w:rPr>
          <w:rFonts w:ascii="Times New Roman" w:hAnsi="Times New Roman"/>
          <w:sz w:val="24"/>
          <w:szCs w:val="24"/>
        </w:rPr>
        <w:t>versées au titre de la location-</w:t>
      </w:r>
      <w:r w:rsidR="00535059" w:rsidRPr="004D033B">
        <w:rPr>
          <w:rFonts w:ascii="Times New Roman" w:hAnsi="Times New Roman"/>
          <w:sz w:val="24"/>
          <w:szCs w:val="24"/>
        </w:rPr>
        <w:t>gérance de fonds de commerce ont la nature de charge déductible pour la détermination du résultat</w:t>
      </w:r>
      <w:r w:rsidR="00AE03F8" w:rsidRPr="004D033B">
        <w:rPr>
          <w:rFonts w:ascii="Times New Roman" w:hAnsi="Times New Roman"/>
          <w:sz w:val="24"/>
          <w:szCs w:val="24"/>
        </w:rPr>
        <w:t xml:space="preserve"> dès lors qu’elles remplissent</w:t>
      </w:r>
      <w:r w:rsidR="00535059" w:rsidRPr="004D033B">
        <w:rPr>
          <w:rFonts w:ascii="Times New Roman" w:hAnsi="Times New Roman"/>
          <w:sz w:val="24"/>
          <w:szCs w:val="24"/>
        </w:rPr>
        <w:t xml:space="preserve"> les conditions générales de déductibilité des charges tant au plan de la forme que du fond.</w:t>
      </w:r>
    </w:p>
    <w:p w:rsidR="00535059" w:rsidRPr="004D033B" w:rsidRDefault="001B54F2" w:rsidP="009426FF">
      <w:pPr>
        <w:pStyle w:val="Paragraphedeliste"/>
        <w:widowControl w:val="0"/>
        <w:numPr>
          <w:ilvl w:val="0"/>
          <w:numId w:val="9"/>
        </w:numPr>
        <w:tabs>
          <w:tab w:val="left" w:pos="993"/>
        </w:tabs>
        <w:overflowPunct w:val="0"/>
        <w:autoSpaceDE w:val="0"/>
        <w:autoSpaceDN w:val="0"/>
        <w:adjustRightInd w:val="0"/>
        <w:spacing w:after="0" w:line="240" w:lineRule="auto"/>
        <w:ind w:hanging="11"/>
        <w:jc w:val="both"/>
        <w:rPr>
          <w:rFonts w:ascii="Times New Roman" w:hAnsi="Times New Roman"/>
          <w:sz w:val="24"/>
          <w:szCs w:val="24"/>
        </w:rPr>
      </w:pPr>
      <w:r>
        <w:rPr>
          <w:rFonts w:ascii="Times New Roman" w:hAnsi="Times New Roman"/>
          <w:i/>
          <w:sz w:val="24"/>
          <w:szCs w:val="24"/>
        </w:rPr>
        <w:t>C</w:t>
      </w:r>
      <w:r w:rsidR="00535059" w:rsidRPr="004D033B">
        <w:rPr>
          <w:rFonts w:ascii="Times New Roman" w:hAnsi="Times New Roman"/>
          <w:i/>
          <w:sz w:val="24"/>
          <w:szCs w:val="24"/>
        </w:rPr>
        <w:t>hez le bailleur</w:t>
      </w:r>
      <w:r w:rsidR="00535059" w:rsidRPr="004D033B">
        <w:rPr>
          <w:rFonts w:ascii="Times New Roman" w:hAnsi="Times New Roman"/>
          <w:sz w:val="24"/>
          <w:szCs w:val="24"/>
        </w:rPr>
        <w:t xml:space="preserve"> : les redevances reçues sont imposables dans la catégorie des </w:t>
      </w:r>
      <w:r w:rsidR="00AE03F8" w:rsidRPr="004D033B">
        <w:rPr>
          <w:rFonts w:ascii="Times New Roman" w:hAnsi="Times New Roman"/>
          <w:sz w:val="24"/>
          <w:szCs w:val="24"/>
        </w:rPr>
        <w:t>BIC,</w:t>
      </w:r>
      <w:r w:rsidR="00535059" w:rsidRPr="004D033B">
        <w:rPr>
          <w:rFonts w:ascii="Times New Roman" w:hAnsi="Times New Roman"/>
          <w:sz w:val="24"/>
          <w:szCs w:val="24"/>
        </w:rPr>
        <w:t xml:space="preserve"> le bailleur relevant toutefois,</w:t>
      </w:r>
      <w:r w:rsidR="00AE03F8" w:rsidRPr="004D033B">
        <w:rPr>
          <w:rFonts w:ascii="Times New Roman" w:hAnsi="Times New Roman"/>
          <w:sz w:val="24"/>
          <w:szCs w:val="24"/>
        </w:rPr>
        <w:t xml:space="preserve"> du fait de la mise en location-</w:t>
      </w:r>
      <w:r w:rsidR="00535059" w:rsidRPr="004D033B">
        <w:rPr>
          <w:rFonts w:ascii="Times New Roman" w:hAnsi="Times New Roman"/>
          <w:sz w:val="24"/>
          <w:szCs w:val="24"/>
        </w:rPr>
        <w:t>gérance de son fonds de commerce, des BIC non professionnels.</w:t>
      </w:r>
    </w:p>
    <w:p w:rsidR="00CB31A2" w:rsidRPr="00C153E7" w:rsidRDefault="00CB31A2" w:rsidP="00CB31A2">
      <w:pPr>
        <w:pStyle w:val="Paragraphedeliste"/>
        <w:widowControl w:val="0"/>
        <w:overflowPunct w:val="0"/>
        <w:autoSpaceDE w:val="0"/>
        <w:autoSpaceDN w:val="0"/>
        <w:adjustRightInd w:val="0"/>
        <w:spacing w:after="0" w:line="240" w:lineRule="auto"/>
        <w:jc w:val="both"/>
        <w:rPr>
          <w:rFonts w:ascii="Times New Roman" w:hAnsi="Times New Roman"/>
          <w:sz w:val="16"/>
          <w:szCs w:val="16"/>
        </w:rPr>
      </w:pPr>
    </w:p>
    <w:p w:rsidR="00535059" w:rsidRPr="004D033B" w:rsidRDefault="00535059" w:rsidP="00535059">
      <w:pPr>
        <w:pStyle w:val="Paragraphedeliste"/>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u w:val="single"/>
        </w:rPr>
        <w:t>TVA</w:t>
      </w:r>
    </w:p>
    <w:p w:rsidR="00535059" w:rsidRPr="004D033B" w:rsidRDefault="00AE03F8" w:rsidP="00CB31A2">
      <w:pPr>
        <w:pStyle w:val="Paragraphedeliste"/>
        <w:widowControl w:val="0"/>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rPr>
        <w:t>La location-</w:t>
      </w:r>
      <w:r w:rsidR="00535059" w:rsidRPr="004D033B">
        <w:rPr>
          <w:rFonts w:ascii="Times New Roman" w:hAnsi="Times New Roman"/>
          <w:sz w:val="24"/>
          <w:szCs w:val="24"/>
        </w:rPr>
        <w:t>gérance de fonds de commerce constitue une prestation de services effectuée à titre onéreux et entre donc ainsi dans le champ d’application de la TVA. Les redevances sont soumises à la TVA au taux normal. La TVA collectée par le bailleur est déductible chez le locataire-gérant (sous réserve naturellement que le locataire-gérant exerce une activité ouvrant droit à déduction).</w:t>
      </w:r>
    </w:p>
    <w:p w:rsidR="00CB31A2" w:rsidRPr="00C153E7" w:rsidRDefault="00CB31A2" w:rsidP="00CB31A2">
      <w:pPr>
        <w:pStyle w:val="Paragraphedeliste"/>
        <w:widowControl w:val="0"/>
        <w:overflowPunct w:val="0"/>
        <w:autoSpaceDE w:val="0"/>
        <w:autoSpaceDN w:val="0"/>
        <w:adjustRightInd w:val="0"/>
        <w:spacing w:after="0" w:line="240" w:lineRule="auto"/>
        <w:jc w:val="both"/>
        <w:rPr>
          <w:rFonts w:ascii="Times New Roman" w:hAnsi="Times New Roman"/>
          <w:sz w:val="16"/>
          <w:szCs w:val="16"/>
        </w:rPr>
      </w:pPr>
    </w:p>
    <w:p w:rsidR="00CB31A2" w:rsidRPr="004D033B" w:rsidRDefault="00535059" w:rsidP="00535059">
      <w:pPr>
        <w:pStyle w:val="Paragraphedeliste"/>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u w:val="single"/>
        </w:rPr>
        <w:t>ISF</w:t>
      </w:r>
    </w:p>
    <w:p w:rsidR="00CB31A2" w:rsidRPr="004D033B" w:rsidRDefault="00535059" w:rsidP="00CB31A2">
      <w:pPr>
        <w:pStyle w:val="Paragraphedeliste"/>
        <w:widowControl w:val="0"/>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rPr>
        <w:t xml:space="preserve">Lorsque l’entreprise est exploitée directement par le propriétaire du fonds de commerce, le patrimoine de l’entreprise est considéré comme un bien professionnel restant en dehors de la base de calcul de l’ISF. </w:t>
      </w:r>
    </w:p>
    <w:p w:rsidR="00CB31A2" w:rsidRPr="00C153E7" w:rsidRDefault="00CB31A2" w:rsidP="00CB31A2">
      <w:pPr>
        <w:pStyle w:val="Paragraphedeliste"/>
        <w:widowControl w:val="0"/>
        <w:overflowPunct w:val="0"/>
        <w:autoSpaceDE w:val="0"/>
        <w:autoSpaceDN w:val="0"/>
        <w:adjustRightInd w:val="0"/>
        <w:spacing w:after="0" w:line="240" w:lineRule="auto"/>
        <w:jc w:val="both"/>
        <w:rPr>
          <w:rFonts w:ascii="Times New Roman" w:hAnsi="Times New Roman"/>
          <w:sz w:val="20"/>
          <w:szCs w:val="20"/>
        </w:rPr>
      </w:pPr>
    </w:p>
    <w:p w:rsidR="00535059" w:rsidRPr="004D033B" w:rsidRDefault="00535059" w:rsidP="004D033B">
      <w:pPr>
        <w:pStyle w:val="Paragraphedeliste"/>
        <w:widowControl w:val="0"/>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rPr>
        <w:t>En revanche, lorsque le fonds est mi</w:t>
      </w:r>
      <w:r w:rsidR="00AE03F8" w:rsidRPr="004D033B">
        <w:rPr>
          <w:rFonts w:ascii="Times New Roman" w:hAnsi="Times New Roman"/>
          <w:sz w:val="24"/>
          <w:szCs w:val="24"/>
        </w:rPr>
        <w:t>s en location-</w:t>
      </w:r>
      <w:r w:rsidRPr="004D033B">
        <w:rPr>
          <w:rFonts w:ascii="Times New Roman" w:hAnsi="Times New Roman"/>
          <w:sz w:val="24"/>
          <w:szCs w:val="24"/>
        </w:rPr>
        <w:t xml:space="preserve">gérance, dans la mesure où il n’y a plus participation directe du propriétaire du fonds à l’exploitation ou activité effectivement exercée, le régime des biens professionnels n’est plus susceptible de s’appliquer et la valeur de l’entreprise doit être intégrée dans la base de calcul de l’ISF (CGI, art. 885 N). </w:t>
      </w:r>
    </w:p>
    <w:p w:rsidR="00535059" w:rsidRDefault="00535059" w:rsidP="004D033B">
      <w:pPr>
        <w:spacing w:after="0" w:line="240" w:lineRule="auto"/>
        <w:jc w:val="both"/>
        <w:rPr>
          <w:rFonts w:ascii="Times New Roman" w:hAnsi="Times New Roman"/>
          <w:sz w:val="20"/>
          <w:szCs w:val="20"/>
        </w:rPr>
      </w:pPr>
    </w:p>
    <w:p w:rsidR="00363049" w:rsidRDefault="00363049" w:rsidP="004D033B">
      <w:pPr>
        <w:spacing w:after="0" w:line="240" w:lineRule="auto"/>
        <w:jc w:val="both"/>
        <w:rPr>
          <w:rFonts w:ascii="Times New Roman" w:hAnsi="Times New Roman"/>
          <w:sz w:val="20"/>
          <w:szCs w:val="20"/>
        </w:rPr>
      </w:pPr>
    </w:p>
    <w:p w:rsidR="00363049" w:rsidRPr="00C153E7" w:rsidRDefault="00363049" w:rsidP="004D033B">
      <w:pPr>
        <w:spacing w:after="0" w:line="240" w:lineRule="auto"/>
        <w:jc w:val="both"/>
        <w:rPr>
          <w:rFonts w:ascii="Times New Roman" w:hAnsi="Times New Roman"/>
          <w:sz w:val="20"/>
          <w:szCs w:val="20"/>
        </w:rPr>
      </w:pPr>
    </w:p>
    <w:p w:rsidR="00535059" w:rsidRPr="00C153E7" w:rsidRDefault="00535059" w:rsidP="008A565E">
      <w:pPr>
        <w:pStyle w:val="Paragraphedeliste"/>
        <w:widowControl w:val="0"/>
        <w:numPr>
          <w:ilvl w:val="0"/>
          <w:numId w:val="8"/>
        </w:numPr>
        <w:overflowPunct w:val="0"/>
        <w:autoSpaceDE w:val="0"/>
        <w:autoSpaceDN w:val="0"/>
        <w:adjustRightInd w:val="0"/>
        <w:spacing w:after="120" w:line="240" w:lineRule="auto"/>
        <w:ind w:left="714" w:hanging="357"/>
        <w:contextualSpacing w:val="0"/>
        <w:jc w:val="both"/>
        <w:rPr>
          <w:rFonts w:ascii="Times New Roman" w:hAnsi="Times New Roman"/>
          <w:sz w:val="24"/>
          <w:szCs w:val="24"/>
        </w:rPr>
      </w:pPr>
      <w:r w:rsidRPr="00C153E7">
        <w:rPr>
          <w:rFonts w:ascii="Times New Roman" w:hAnsi="Times New Roman"/>
          <w:b/>
          <w:sz w:val="24"/>
          <w:szCs w:val="24"/>
        </w:rPr>
        <w:t>Au terme du contrat de location-gérance</w:t>
      </w:r>
      <w:r w:rsidR="008C7110">
        <w:rPr>
          <w:rFonts w:ascii="Times New Roman" w:hAnsi="Times New Roman"/>
          <w:b/>
          <w:sz w:val="24"/>
          <w:szCs w:val="24"/>
        </w:rPr>
        <w:t xml:space="preserve"> de cette même entreprise individuelle</w:t>
      </w:r>
      <w:r w:rsidRPr="00C153E7">
        <w:rPr>
          <w:rFonts w:ascii="Times New Roman" w:hAnsi="Times New Roman"/>
          <w:b/>
          <w:sz w:val="24"/>
          <w:szCs w:val="24"/>
        </w:rPr>
        <w:t>, quelles seront les conséquences fiscales de la cession du fonds au locataire gérant au regard des plus-values et moins-values professionnelles chez le bailleur ? Est-il possible pour le bailleur de bénéficier d’un régime d’exonération au titre des plus-values constatées ? Si oui, le(s)quel(s) ? Si non, pourquoi ?</w:t>
      </w:r>
    </w:p>
    <w:p w:rsidR="004516E5" w:rsidRDefault="004516E5" w:rsidP="004D033B">
      <w:pPr>
        <w:spacing w:after="0" w:line="240" w:lineRule="auto"/>
        <w:jc w:val="both"/>
        <w:rPr>
          <w:rFonts w:ascii="Times New Roman" w:hAnsi="Times New Roman"/>
          <w:sz w:val="24"/>
          <w:szCs w:val="24"/>
        </w:rPr>
      </w:pPr>
    </w:p>
    <w:p w:rsidR="00535059" w:rsidRPr="004D033B" w:rsidRDefault="00535059" w:rsidP="004D033B">
      <w:pPr>
        <w:spacing w:after="0" w:line="240" w:lineRule="auto"/>
        <w:jc w:val="both"/>
        <w:rPr>
          <w:rFonts w:ascii="Times New Roman" w:hAnsi="Times New Roman"/>
          <w:sz w:val="24"/>
          <w:szCs w:val="24"/>
        </w:rPr>
      </w:pPr>
      <w:r w:rsidRPr="004D033B">
        <w:rPr>
          <w:rFonts w:ascii="Times New Roman" w:hAnsi="Times New Roman"/>
          <w:sz w:val="24"/>
          <w:szCs w:val="24"/>
        </w:rPr>
        <w:t>En pratique, la mise en location-gérance est souvent une étape préalable à la cession du fonds de commerce. La cession du fonds de commerce au locataire-gérant est le fait générateur des plus-values et moins-values de cession sur les éléments d’actifs de l’entreprise. Ces plus-values sont en principe imposables selon les règles des plus-values et moins-values professionnelles à court et à long terme imposables dans la catégorie des BIC.</w:t>
      </w:r>
    </w:p>
    <w:p w:rsidR="00535059" w:rsidRPr="004D033B" w:rsidRDefault="00535059" w:rsidP="004D033B">
      <w:pPr>
        <w:spacing w:after="0" w:line="240" w:lineRule="auto"/>
        <w:jc w:val="both"/>
        <w:rPr>
          <w:rFonts w:ascii="Times New Roman" w:hAnsi="Times New Roman"/>
          <w:sz w:val="24"/>
          <w:szCs w:val="24"/>
        </w:rPr>
      </w:pPr>
    </w:p>
    <w:p w:rsidR="00535059" w:rsidRPr="004D033B"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rPr>
        <w:t xml:space="preserve">Dans le cadre de la cession d’une entreprise individuelle, il existe trois régimes potentiels d’exonération : </w:t>
      </w:r>
    </w:p>
    <w:p w:rsidR="00535059" w:rsidRPr="004D033B" w:rsidRDefault="001B54F2" w:rsidP="00A27398">
      <w:pPr>
        <w:pStyle w:val="Paragraphedeliste"/>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00535059" w:rsidRPr="004D033B">
        <w:rPr>
          <w:rFonts w:ascii="Times New Roman" w:hAnsi="Times New Roman"/>
          <w:sz w:val="24"/>
          <w:szCs w:val="24"/>
        </w:rPr>
        <w:t>e régime d’exonération des plus-values des petites entreprises (CGI, art. 151 septies) ;</w:t>
      </w:r>
    </w:p>
    <w:p w:rsidR="00535059" w:rsidRPr="004D033B" w:rsidRDefault="001B54F2" w:rsidP="00A27398">
      <w:pPr>
        <w:pStyle w:val="Paragraphedeliste"/>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00535059" w:rsidRPr="004D033B">
        <w:rPr>
          <w:rFonts w:ascii="Times New Roman" w:hAnsi="Times New Roman"/>
          <w:sz w:val="24"/>
          <w:szCs w:val="24"/>
        </w:rPr>
        <w:t>e régime des cessions de PME (CGI, art. 238 quindecies) ;</w:t>
      </w:r>
    </w:p>
    <w:p w:rsidR="00535059" w:rsidRPr="004D033B" w:rsidRDefault="001B54F2" w:rsidP="00A27398">
      <w:pPr>
        <w:pStyle w:val="Paragraphedeliste"/>
        <w:widowControl w:val="0"/>
        <w:numPr>
          <w:ilvl w:val="0"/>
          <w:numId w:val="9"/>
        </w:numPr>
        <w:overflowPunct w:val="0"/>
        <w:autoSpaceDE w:val="0"/>
        <w:autoSpaceDN w:val="0"/>
        <w:adjustRightInd w:val="0"/>
        <w:spacing w:after="0" w:line="240" w:lineRule="auto"/>
        <w:ind w:left="714" w:hanging="357"/>
        <w:jc w:val="both"/>
        <w:rPr>
          <w:rFonts w:ascii="Times New Roman" w:hAnsi="Times New Roman"/>
          <w:sz w:val="24"/>
          <w:szCs w:val="24"/>
        </w:rPr>
      </w:pPr>
      <w:r>
        <w:rPr>
          <w:rFonts w:ascii="Times New Roman" w:hAnsi="Times New Roman"/>
          <w:sz w:val="24"/>
          <w:szCs w:val="24"/>
        </w:rPr>
        <w:t>l</w:t>
      </w:r>
      <w:r w:rsidR="00535059" w:rsidRPr="004D033B">
        <w:rPr>
          <w:rFonts w:ascii="Times New Roman" w:hAnsi="Times New Roman"/>
          <w:sz w:val="24"/>
          <w:szCs w:val="24"/>
        </w:rPr>
        <w:t>e régime de l’exploitant retraité (CGI, art. 151 septies A).</w:t>
      </w:r>
    </w:p>
    <w:p w:rsidR="00535059"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u w:val="single"/>
        </w:rPr>
        <w:lastRenderedPageBreak/>
        <w:t>Le régime des plus-values des petites entreprises</w:t>
      </w:r>
      <w:r w:rsidRPr="004D033B">
        <w:rPr>
          <w:rFonts w:ascii="Times New Roman" w:hAnsi="Times New Roman"/>
          <w:sz w:val="24"/>
          <w:szCs w:val="24"/>
        </w:rPr>
        <w:t xml:space="preserve"> ne peut s’appliquer dans l’hypothè</w:t>
      </w:r>
      <w:r w:rsidR="00AE03F8" w:rsidRPr="004D033B">
        <w:rPr>
          <w:rFonts w:ascii="Times New Roman" w:hAnsi="Times New Roman"/>
          <w:sz w:val="24"/>
          <w:szCs w:val="24"/>
        </w:rPr>
        <w:t>se d’un fonds donné en location-</w:t>
      </w:r>
      <w:r w:rsidRPr="004D033B">
        <w:rPr>
          <w:rFonts w:ascii="Times New Roman" w:hAnsi="Times New Roman"/>
          <w:sz w:val="24"/>
          <w:szCs w:val="24"/>
        </w:rPr>
        <w:t>gérance dans la mesure où le texte pose une condition de participation directe du cédant à l’exploitation, ce qui précisément n’est pas le cas dans le cadre de la location-gérance.</w:t>
      </w:r>
    </w:p>
    <w:p w:rsidR="00A27398" w:rsidRPr="004D033B" w:rsidRDefault="00A27398" w:rsidP="00A27398">
      <w:pPr>
        <w:spacing w:after="0" w:line="240" w:lineRule="auto"/>
        <w:jc w:val="both"/>
        <w:rPr>
          <w:rFonts w:ascii="Times New Roman" w:hAnsi="Times New Roman"/>
          <w:sz w:val="24"/>
          <w:szCs w:val="24"/>
        </w:rPr>
      </w:pPr>
    </w:p>
    <w:p w:rsidR="00535059"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u w:val="single"/>
        </w:rPr>
        <w:t>Le régime d’exonération totale ou partielle des cessions de PME</w:t>
      </w:r>
      <w:r w:rsidRPr="004D033B">
        <w:rPr>
          <w:rFonts w:ascii="Times New Roman" w:hAnsi="Times New Roman"/>
          <w:sz w:val="24"/>
          <w:szCs w:val="24"/>
        </w:rPr>
        <w:t xml:space="preserve"> (entreprises dont la valeur du fonds n’excède pas 300 000 ou 500 000 €) peut en revanche (art. 238 </w:t>
      </w:r>
      <w:r w:rsidRPr="004D033B">
        <w:rPr>
          <w:rFonts w:ascii="Times New Roman" w:hAnsi="Times New Roman"/>
          <w:i/>
          <w:sz w:val="24"/>
          <w:szCs w:val="24"/>
        </w:rPr>
        <w:t>quindecies</w:t>
      </w:r>
      <w:r w:rsidRPr="004D033B">
        <w:rPr>
          <w:rFonts w:ascii="Times New Roman" w:hAnsi="Times New Roman"/>
          <w:sz w:val="24"/>
          <w:szCs w:val="24"/>
        </w:rPr>
        <w:t xml:space="preserve"> du CGI) s’appliquer aux fonds donnés en</w:t>
      </w:r>
      <w:r w:rsidR="00AE03F8" w:rsidRPr="004D033B">
        <w:rPr>
          <w:rFonts w:ascii="Times New Roman" w:hAnsi="Times New Roman"/>
          <w:sz w:val="24"/>
          <w:szCs w:val="24"/>
        </w:rPr>
        <w:t xml:space="preserve"> location-</w:t>
      </w:r>
      <w:r w:rsidRPr="004D033B">
        <w:rPr>
          <w:rFonts w:ascii="Times New Roman" w:hAnsi="Times New Roman"/>
          <w:sz w:val="24"/>
          <w:szCs w:val="24"/>
        </w:rPr>
        <w:t>gérance. Il faut néanmoins que la cession soit c</w:t>
      </w:r>
      <w:r w:rsidR="00AE03F8" w:rsidRPr="004D033B">
        <w:rPr>
          <w:rFonts w:ascii="Times New Roman" w:hAnsi="Times New Roman"/>
          <w:sz w:val="24"/>
          <w:szCs w:val="24"/>
        </w:rPr>
        <w:t>onsentie au profit du locataire-</w:t>
      </w:r>
      <w:r w:rsidRPr="004D033B">
        <w:rPr>
          <w:rFonts w:ascii="Times New Roman" w:hAnsi="Times New Roman"/>
          <w:sz w:val="24"/>
          <w:szCs w:val="24"/>
        </w:rPr>
        <w:t>gérant et que l’activité ait été exercée par l’exploitant pendant 5 ans préa</w:t>
      </w:r>
      <w:r w:rsidR="00AE03F8" w:rsidRPr="004D033B">
        <w:rPr>
          <w:rFonts w:ascii="Times New Roman" w:hAnsi="Times New Roman"/>
          <w:sz w:val="24"/>
          <w:szCs w:val="24"/>
        </w:rPr>
        <w:t>lablement à la mise en location-</w:t>
      </w:r>
      <w:r w:rsidRPr="004D033B">
        <w:rPr>
          <w:rFonts w:ascii="Times New Roman" w:hAnsi="Times New Roman"/>
          <w:sz w:val="24"/>
          <w:szCs w:val="24"/>
        </w:rPr>
        <w:t>gérance du fonds.</w:t>
      </w:r>
    </w:p>
    <w:p w:rsidR="00A27398" w:rsidRPr="004D033B" w:rsidRDefault="00A27398" w:rsidP="00A27398">
      <w:pPr>
        <w:spacing w:after="0" w:line="240" w:lineRule="auto"/>
        <w:jc w:val="both"/>
        <w:rPr>
          <w:rFonts w:ascii="Times New Roman" w:hAnsi="Times New Roman"/>
          <w:sz w:val="24"/>
          <w:szCs w:val="24"/>
        </w:rPr>
      </w:pPr>
    </w:p>
    <w:p w:rsidR="00535059" w:rsidRDefault="00535059" w:rsidP="00A27398">
      <w:pPr>
        <w:spacing w:after="0" w:line="240" w:lineRule="auto"/>
        <w:jc w:val="both"/>
        <w:rPr>
          <w:rFonts w:ascii="Times New Roman" w:hAnsi="Times New Roman"/>
          <w:i/>
          <w:sz w:val="24"/>
          <w:szCs w:val="24"/>
        </w:rPr>
      </w:pPr>
      <w:r w:rsidRPr="004D033B">
        <w:rPr>
          <w:rFonts w:ascii="Times New Roman" w:hAnsi="Times New Roman"/>
          <w:sz w:val="24"/>
          <w:szCs w:val="24"/>
          <w:u w:val="single"/>
        </w:rPr>
        <w:t>Le régime d’exonération réservée aux exploitants individuels et dirigeants de sociétés de personnes partant à la retraite</w:t>
      </w:r>
      <w:r w:rsidRPr="004D033B">
        <w:rPr>
          <w:rFonts w:ascii="Times New Roman" w:hAnsi="Times New Roman"/>
          <w:sz w:val="24"/>
          <w:szCs w:val="24"/>
        </w:rPr>
        <w:t xml:space="preserve"> est lui aussi applicable, et sous les mêmes conditions que le régime des cessions de PME : cession au locataire gérant et exercice de l’activité pendant 5 ans à la date de mi</w:t>
      </w:r>
      <w:r w:rsidR="00AE03F8" w:rsidRPr="004D033B">
        <w:rPr>
          <w:rFonts w:ascii="Times New Roman" w:hAnsi="Times New Roman"/>
          <w:sz w:val="24"/>
          <w:szCs w:val="24"/>
        </w:rPr>
        <w:t>se en location-</w:t>
      </w:r>
      <w:r w:rsidRPr="004D033B">
        <w:rPr>
          <w:rFonts w:ascii="Times New Roman" w:hAnsi="Times New Roman"/>
          <w:sz w:val="24"/>
          <w:szCs w:val="24"/>
        </w:rPr>
        <w:t xml:space="preserve">gérance du fonds (art. 151 </w:t>
      </w:r>
      <w:r w:rsidRPr="004D033B">
        <w:rPr>
          <w:rFonts w:ascii="Times New Roman" w:hAnsi="Times New Roman"/>
          <w:i/>
          <w:sz w:val="24"/>
          <w:szCs w:val="24"/>
        </w:rPr>
        <w:t>septies</w:t>
      </w:r>
      <w:r w:rsidRPr="004D033B">
        <w:rPr>
          <w:rFonts w:ascii="Times New Roman" w:hAnsi="Times New Roman"/>
          <w:sz w:val="24"/>
          <w:szCs w:val="24"/>
        </w:rPr>
        <w:t xml:space="preserve"> A du CGI).</w:t>
      </w:r>
    </w:p>
    <w:p w:rsidR="00A27398" w:rsidRDefault="00A27398" w:rsidP="00A27398">
      <w:pPr>
        <w:spacing w:after="0" w:line="240" w:lineRule="auto"/>
        <w:jc w:val="both"/>
        <w:rPr>
          <w:rFonts w:ascii="Times New Roman" w:hAnsi="Times New Roman"/>
          <w:i/>
          <w:sz w:val="24"/>
          <w:szCs w:val="24"/>
        </w:rPr>
      </w:pPr>
    </w:p>
    <w:p w:rsidR="00A27398" w:rsidRPr="004D033B" w:rsidRDefault="00A27398" w:rsidP="00A27398">
      <w:pPr>
        <w:spacing w:after="0" w:line="240" w:lineRule="auto"/>
        <w:jc w:val="both"/>
        <w:rPr>
          <w:rFonts w:ascii="Times New Roman" w:hAnsi="Times New Roman"/>
          <w:sz w:val="24"/>
          <w:szCs w:val="24"/>
        </w:rPr>
      </w:pPr>
    </w:p>
    <w:p w:rsidR="00535059" w:rsidRDefault="00535059" w:rsidP="00A27398">
      <w:pPr>
        <w:pStyle w:val="Paragraphedeliste"/>
        <w:numPr>
          <w:ilvl w:val="0"/>
          <w:numId w:val="8"/>
        </w:numPr>
        <w:spacing w:after="0" w:line="240" w:lineRule="auto"/>
        <w:ind w:left="714" w:hanging="357"/>
        <w:contextualSpacing w:val="0"/>
        <w:jc w:val="both"/>
        <w:rPr>
          <w:rFonts w:ascii="Times New Roman" w:hAnsi="Times New Roman"/>
          <w:b/>
          <w:sz w:val="24"/>
          <w:szCs w:val="24"/>
        </w:rPr>
      </w:pPr>
      <w:r w:rsidRPr="001D58DB">
        <w:rPr>
          <w:rFonts w:ascii="Times New Roman" w:hAnsi="Times New Roman"/>
          <w:b/>
          <w:sz w:val="24"/>
          <w:szCs w:val="24"/>
        </w:rPr>
        <w:t>Situation des salariés :</w:t>
      </w:r>
    </w:p>
    <w:p w:rsidR="00A27398" w:rsidRPr="00A27398" w:rsidRDefault="00A27398" w:rsidP="00A27398">
      <w:pPr>
        <w:spacing w:after="0" w:line="240" w:lineRule="auto"/>
        <w:jc w:val="both"/>
        <w:rPr>
          <w:rFonts w:ascii="Times New Roman" w:hAnsi="Times New Roman"/>
          <w:b/>
          <w:sz w:val="24"/>
          <w:szCs w:val="24"/>
        </w:rPr>
      </w:pPr>
    </w:p>
    <w:p w:rsidR="00535059" w:rsidRDefault="00535059" w:rsidP="00A27398">
      <w:pPr>
        <w:spacing w:after="0" w:line="240" w:lineRule="auto"/>
        <w:jc w:val="both"/>
        <w:rPr>
          <w:rFonts w:ascii="Times New Roman" w:hAnsi="Times New Roman"/>
          <w:b/>
          <w:i/>
          <w:sz w:val="24"/>
          <w:szCs w:val="24"/>
        </w:rPr>
      </w:pPr>
      <w:r w:rsidRPr="004D033B">
        <w:rPr>
          <w:rFonts w:ascii="Times New Roman" w:hAnsi="Times New Roman"/>
          <w:b/>
          <w:sz w:val="24"/>
          <w:szCs w:val="24"/>
        </w:rPr>
        <w:t>5.1. Quelles sont les obligations de la société RT envers ses salariés avant la conclusion du contrat de location-gérance du fonds ?</w:t>
      </w:r>
    </w:p>
    <w:p w:rsidR="00A27398" w:rsidRPr="004D033B" w:rsidRDefault="00A27398" w:rsidP="00A27398">
      <w:pPr>
        <w:spacing w:after="0" w:line="240" w:lineRule="auto"/>
        <w:jc w:val="both"/>
        <w:rPr>
          <w:rFonts w:ascii="Times New Roman" w:hAnsi="Times New Roman"/>
          <w:b/>
          <w:sz w:val="24"/>
          <w:szCs w:val="24"/>
        </w:rPr>
      </w:pPr>
    </w:p>
    <w:p w:rsidR="00535059" w:rsidRPr="004D033B"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rPr>
        <w:t xml:space="preserve">La société RT doit informer et consulter le comité d’entreprise (ou, en cas de carence, les délégués du personnel) sur le projet de mise en location-gérance du fonds de commerce. Cette information est préalable. </w:t>
      </w:r>
    </w:p>
    <w:p w:rsidR="00535059"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rPr>
        <w:t xml:space="preserve">La société doit communiquer l’avis du comité à l’assemblée générale des actionnaires ou des associés, selon le cas, appelée à délibérer sur ces modifications. </w:t>
      </w:r>
    </w:p>
    <w:p w:rsidR="00A27398" w:rsidRDefault="00A27398" w:rsidP="00A27398">
      <w:pPr>
        <w:spacing w:after="0" w:line="240" w:lineRule="auto"/>
        <w:jc w:val="both"/>
        <w:rPr>
          <w:rFonts w:ascii="Times New Roman" w:hAnsi="Times New Roman"/>
          <w:sz w:val="24"/>
          <w:szCs w:val="24"/>
        </w:rPr>
      </w:pPr>
    </w:p>
    <w:p w:rsidR="003B6A8E" w:rsidRPr="004D033B" w:rsidRDefault="003B6A8E" w:rsidP="00A27398">
      <w:pPr>
        <w:spacing w:after="0" w:line="240" w:lineRule="auto"/>
        <w:jc w:val="both"/>
        <w:rPr>
          <w:rFonts w:ascii="Times New Roman" w:hAnsi="Times New Roman"/>
          <w:sz w:val="24"/>
          <w:szCs w:val="24"/>
        </w:rPr>
      </w:pPr>
    </w:p>
    <w:p w:rsidR="00535059" w:rsidRDefault="00535059" w:rsidP="00A27398">
      <w:pPr>
        <w:spacing w:after="0" w:line="240" w:lineRule="auto"/>
        <w:jc w:val="both"/>
        <w:rPr>
          <w:rFonts w:ascii="Times New Roman" w:hAnsi="Times New Roman"/>
          <w:b/>
          <w:sz w:val="24"/>
          <w:szCs w:val="24"/>
        </w:rPr>
      </w:pPr>
      <w:r w:rsidRPr="004D033B">
        <w:rPr>
          <w:rFonts w:ascii="Times New Roman" w:hAnsi="Times New Roman"/>
          <w:b/>
          <w:sz w:val="24"/>
          <w:szCs w:val="24"/>
        </w:rPr>
        <w:t xml:space="preserve">5.2. Quel est le sort des contrats de travail dans le cadre d’un contrat de location </w:t>
      </w:r>
      <w:r w:rsidR="00AE03F8" w:rsidRPr="004D033B">
        <w:rPr>
          <w:rFonts w:ascii="Times New Roman" w:hAnsi="Times New Roman"/>
          <w:b/>
          <w:sz w:val="24"/>
          <w:szCs w:val="24"/>
        </w:rPr>
        <w:t>-</w:t>
      </w:r>
      <w:r w:rsidRPr="004D033B">
        <w:rPr>
          <w:rFonts w:ascii="Times New Roman" w:hAnsi="Times New Roman"/>
          <w:b/>
          <w:sz w:val="24"/>
          <w:szCs w:val="24"/>
        </w:rPr>
        <w:t>gérance ?</w:t>
      </w:r>
    </w:p>
    <w:p w:rsidR="006B0C8A" w:rsidRPr="0002697A" w:rsidRDefault="006B0C8A" w:rsidP="00A27398">
      <w:pPr>
        <w:spacing w:after="0" w:line="240" w:lineRule="auto"/>
        <w:jc w:val="both"/>
        <w:rPr>
          <w:rFonts w:ascii="Times New Roman" w:hAnsi="Times New Roman"/>
          <w:b/>
          <w:i/>
          <w:sz w:val="24"/>
          <w:szCs w:val="24"/>
        </w:rPr>
      </w:pPr>
    </w:p>
    <w:p w:rsidR="00535059"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rPr>
        <w:t>En application de l’article L 1224-1 du Code du travail, lorsqu’une modification survient dans la situation juridique de l’employeur, tous les contrats de travail en cours au jour de la modification subsistent entre le nouvel employeur et le personnel de l’entreprise. Cette règle s’</w:t>
      </w:r>
      <w:r w:rsidR="00AE03F8" w:rsidRPr="004D033B">
        <w:rPr>
          <w:rFonts w:ascii="Times New Roman" w:hAnsi="Times New Roman"/>
          <w:sz w:val="24"/>
          <w:szCs w:val="24"/>
        </w:rPr>
        <w:t>applique au contrat de location-</w:t>
      </w:r>
      <w:r w:rsidRPr="004D033B">
        <w:rPr>
          <w:rFonts w:ascii="Times New Roman" w:hAnsi="Times New Roman"/>
          <w:sz w:val="24"/>
          <w:szCs w:val="24"/>
        </w:rPr>
        <w:t>gérance. La jurisprudence considère en effet que la location-gérance du fonds de commerce entraîne le transfert d’une entité économique dont l’activité est poursuivie par le locataire gérant tenu, en application de l’article L 1224-1 de reprendre les c</w:t>
      </w:r>
      <w:r w:rsidR="0002697A">
        <w:rPr>
          <w:rFonts w:ascii="Times New Roman" w:hAnsi="Times New Roman"/>
          <w:sz w:val="24"/>
          <w:szCs w:val="24"/>
        </w:rPr>
        <w:t>ontrats de travail des salariés</w:t>
      </w:r>
      <w:r w:rsidRPr="004D033B">
        <w:rPr>
          <w:rFonts w:ascii="Times New Roman" w:hAnsi="Times New Roman"/>
          <w:sz w:val="24"/>
          <w:szCs w:val="24"/>
        </w:rPr>
        <w:t>.</w:t>
      </w:r>
    </w:p>
    <w:p w:rsidR="00A27398" w:rsidRDefault="00A27398" w:rsidP="00A27398">
      <w:pPr>
        <w:spacing w:after="0" w:line="240" w:lineRule="auto"/>
        <w:jc w:val="both"/>
        <w:rPr>
          <w:rFonts w:ascii="Times New Roman" w:hAnsi="Times New Roman"/>
          <w:sz w:val="24"/>
          <w:szCs w:val="24"/>
        </w:rPr>
      </w:pPr>
    </w:p>
    <w:p w:rsidR="00A27398" w:rsidRPr="004D033B" w:rsidRDefault="00A27398" w:rsidP="00A27398">
      <w:pPr>
        <w:spacing w:after="0" w:line="240" w:lineRule="auto"/>
        <w:jc w:val="both"/>
        <w:rPr>
          <w:rFonts w:ascii="Times New Roman" w:hAnsi="Times New Roman"/>
          <w:sz w:val="24"/>
          <w:szCs w:val="24"/>
        </w:rPr>
      </w:pPr>
    </w:p>
    <w:p w:rsidR="00535059" w:rsidRPr="004D033B" w:rsidRDefault="00535059" w:rsidP="00A27398">
      <w:pPr>
        <w:spacing w:after="0" w:line="240" w:lineRule="auto"/>
        <w:jc w:val="both"/>
        <w:rPr>
          <w:rFonts w:ascii="Times New Roman" w:hAnsi="Times New Roman"/>
          <w:b/>
          <w:sz w:val="24"/>
          <w:szCs w:val="24"/>
        </w:rPr>
      </w:pPr>
      <w:r w:rsidRPr="004D033B">
        <w:rPr>
          <w:rFonts w:ascii="Times New Roman" w:hAnsi="Times New Roman"/>
          <w:b/>
          <w:sz w:val="24"/>
          <w:szCs w:val="24"/>
        </w:rPr>
        <w:t xml:space="preserve">5.3. </w:t>
      </w:r>
      <w:r w:rsidR="00AE03F8" w:rsidRPr="004D033B">
        <w:rPr>
          <w:rFonts w:ascii="Times New Roman" w:hAnsi="Times New Roman"/>
          <w:b/>
          <w:sz w:val="24"/>
          <w:szCs w:val="24"/>
        </w:rPr>
        <w:t>Au terme du contrat de location-</w:t>
      </w:r>
      <w:r w:rsidRPr="004D033B">
        <w:rPr>
          <w:rFonts w:ascii="Times New Roman" w:hAnsi="Times New Roman"/>
          <w:b/>
          <w:sz w:val="24"/>
          <w:szCs w:val="24"/>
        </w:rPr>
        <w:t>gérance, en cas de reprise de l’exploitation par le bailleur, quel est le sort des contrats de travail des salariés embauchés pendant la durée du contrat ?</w:t>
      </w:r>
    </w:p>
    <w:p w:rsidR="003B6A8E" w:rsidRDefault="003B6A8E" w:rsidP="00A27398">
      <w:pPr>
        <w:spacing w:after="0" w:line="240" w:lineRule="auto"/>
        <w:jc w:val="both"/>
        <w:rPr>
          <w:rFonts w:ascii="Times New Roman" w:hAnsi="Times New Roman"/>
          <w:sz w:val="24"/>
          <w:szCs w:val="24"/>
        </w:rPr>
      </w:pPr>
    </w:p>
    <w:p w:rsidR="00535059" w:rsidRPr="004D033B" w:rsidRDefault="00535059" w:rsidP="00A27398">
      <w:pPr>
        <w:spacing w:after="0" w:line="240" w:lineRule="auto"/>
        <w:jc w:val="both"/>
        <w:rPr>
          <w:rFonts w:ascii="Times New Roman" w:hAnsi="Times New Roman"/>
          <w:sz w:val="24"/>
          <w:szCs w:val="24"/>
        </w:rPr>
      </w:pPr>
      <w:r w:rsidRPr="004D033B">
        <w:rPr>
          <w:rFonts w:ascii="Times New Roman" w:hAnsi="Times New Roman"/>
          <w:sz w:val="24"/>
          <w:szCs w:val="24"/>
        </w:rPr>
        <w:t xml:space="preserve">Au terme du contrat de location-gérance, lors du retour du fonds au bailleur, c’est ce dernier, qui, en principe, assumera à nouveau la charge des contrats de travail en cours à cette date, qu’il s’agisse des anciens salariés ou de salariés embauchés par le locataire durant sa période de location. </w:t>
      </w:r>
    </w:p>
    <w:p w:rsidR="00535059" w:rsidRDefault="009D2300" w:rsidP="00A27398">
      <w:pPr>
        <w:spacing w:after="0" w:line="240" w:lineRule="auto"/>
        <w:jc w:val="both"/>
        <w:rPr>
          <w:rFonts w:ascii="Times New Roman" w:hAnsi="Times New Roman"/>
          <w:sz w:val="24"/>
          <w:szCs w:val="24"/>
        </w:rPr>
      </w:pPr>
      <w:r>
        <w:rPr>
          <w:rFonts w:ascii="Times New Roman" w:hAnsi="Times New Roman"/>
          <w:sz w:val="24"/>
          <w:szCs w:val="24"/>
        </w:rPr>
        <w:t>(</w:t>
      </w:r>
      <w:r w:rsidR="00535059" w:rsidRPr="009D2300">
        <w:rPr>
          <w:rFonts w:ascii="Times New Roman" w:hAnsi="Times New Roman"/>
          <w:i/>
          <w:sz w:val="24"/>
          <w:szCs w:val="24"/>
        </w:rPr>
        <w:t>Naturellement, le retour au bailleur suppose que l’exploitation soit susceptible d’être poursuivie. Si l’entreprise est devenue inexploitable par suite de la mauvaise gestion du locataire, le propriétaire ne saurait être tenu de maintenir les contrats</w:t>
      </w:r>
      <w:r>
        <w:rPr>
          <w:rFonts w:ascii="Times New Roman" w:hAnsi="Times New Roman"/>
          <w:sz w:val="24"/>
          <w:szCs w:val="24"/>
        </w:rPr>
        <w:t>)</w:t>
      </w:r>
      <w:r w:rsidR="00535059" w:rsidRPr="004D033B">
        <w:rPr>
          <w:rFonts w:ascii="Times New Roman" w:hAnsi="Times New Roman"/>
          <w:sz w:val="24"/>
          <w:szCs w:val="24"/>
        </w:rPr>
        <w:t xml:space="preserve">. </w:t>
      </w:r>
    </w:p>
    <w:p w:rsidR="00A27398" w:rsidRDefault="00A27398" w:rsidP="00A27398">
      <w:pPr>
        <w:spacing w:after="0" w:line="240" w:lineRule="auto"/>
        <w:jc w:val="both"/>
        <w:rPr>
          <w:rFonts w:ascii="Times New Roman" w:hAnsi="Times New Roman"/>
          <w:sz w:val="24"/>
          <w:szCs w:val="24"/>
        </w:rPr>
      </w:pPr>
    </w:p>
    <w:p w:rsidR="00A27398" w:rsidRPr="004D033B" w:rsidRDefault="00A27398" w:rsidP="00A27398">
      <w:pPr>
        <w:spacing w:after="0" w:line="240" w:lineRule="auto"/>
        <w:jc w:val="both"/>
        <w:rPr>
          <w:rFonts w:ascii="Times New Roman" w:hAnsi="Times New Roman"/>
          <w:sz w:val="24"/>
          <w:szCs w:val="24"/>
        </w:rPr>
      </w:pPr>
    </w:p>
    <w:p w:rsidR="003B6A8E" w:rsidRPr="003B6A8E" w:rsidRDefault="00EA4A1D" w:rsidP="003B6A8E">
      <w:pPr>
        <w:pStyle w:val="Paragraphedeliste"/>
        <w:numPr>
          <w:ilvl w:val="0"/>
          <w:numId w:val="8"/>
        </w:numPr>
        <w:spacing w:after="0" w:line="240" w:lineRule="auto"/>
        <w:ind w:left="714" w:hanging="357"/>
        <w:contextualSpacing w:val="0"/>
        <w:rPr>
          <w:rFonts w:ascii="Times New Roman" w:hAnsi="Times New Roman"/>
          <w:b/>
          <w:i/>
          <w:sz w:val="24"/>
          <w:szCs w:val="24"/>
        </w:rPr>
      </w:pPr>
      <w:r w:rsidRPr="00494FA6">
        <w:rPr>
          <w:rFonts w:ascii="Times New Roman" w:hAnsi="Times New Roman"/>
          <w:b/>
          <w:sz w:val="24"/>
          <w:szCs w:val="24"/>
        </w:rPr>
        <w:lastRenderedPageBreak/>
        <w:t>Le montant de ces redevances peut-il faire l’objet d’une contestation au plan fiscal ? Si oui, pourquoi ?</w:t>
      </w:r>
      <w:r w:rsidR="0002697A">
        <w:rPr>
          <w:rFonts w:ascii="Times New Roman" w:hAnsi="Times New Roman"/>
          <w:b/>
          <w:sz w:val="24"/>
          <w:szCs w:val="24"/>
        </w:rPr>
        <w:t xml:space="preserve"> </w:t>
      </w:r>
    </w:p>
    <w:p w:rsidR="003B6A8E" w:rsidRDefault="003B6A8E" w:rsidP="003B6A8E">
      <w:pPr>
        <w:spacing w:after="0" w:line="240" w:lineRule="auto"/>
        <w:rPr>
          <w:rFonts w:ascii="Times New Roman" w:hAnsi="Times New Roman"/>
          <w:sz w:val="24"/>
          <w:szCs w:val="24"/>
        </w:rPr>
      </w:pPr>
    </w:p>
    <w:p w:rsidR="00535059" w:rsidRPr="003B6A8E" w:rsidRDefault="00535059" w:rsidP="003B6A8E">
      <w:pPr>
        <w:spacing w:after="0" w:line="240" w:lineRule="auto"/>
        <w:rPr>
          <w:rFonts w:ascii="Times New Roman" w:hAnsi="Times New Roman"/>
          <w:b/>
          <w:i/>
          <w:sz w:val="24"/>
          <w:szCs w:val="24"/>
        </w:rPr>
      </w:pPr>
      <w:r w:rsidRPr="003B6A8E">
        <w:rPr>
          <w:rFonts w:ascii="Times New Roman" w:hAnsi="Times New Roman"/>
          <w:sz w:val="24"/>
          <w:szCs w:val="24"/>
        </w:rPr>
        <w:t xml:space="preserve">L’administration fiscale peut éventuellement : </w:t>
      </w:r>
    </w:p>
    <w:p w:rsidR="00535059" w:rsidRPr="004D033B" w:rsidRDefault="00535059" w:rsidP="00A27398">
      <w:pPr>
        <w:pStyle w:val="Paragraphedeliste"/>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rPr>
        <w:t>contester le montant de la redevance si elle le considère excessif ; le loyer doit être raisonnable et correspondre à la valeur locative du fonds. A défaut, l’administration est en droit d’invoquer l’acte anormal de gestion.</w:t>
      </w:r>
    </w:p>
    <w:p w:rsidR="00535059" w:rsidRPr="004D033B" w:rsidRDefault="00535059" w:rsidP="00A27398">
      <w:pPr>
        <w:spacing w:after="0" w:line="240" w:lineRule="auto"/>
        <w:jc w:val="both"/>
        <w:rPr>
          <w:rFonts w:ascii="Times New Roman" w:hAnsi="Times New Roman"/>
          <w:sz w:val="24"/>
          <w:szCs w:val="24"/>
        </w:rPr>
      </w:pPr>
    </w:p>
    <w:p w:rsidR="00535059" w:rsidRPr="004D033B" w:rsidRDefault="00535059" w:rsidP="00A27398">
      <w:pPr>
        <w:pStyle w:val="Paragraphedeliste"/>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4D033B">
        <w:rPr>
          <w:rFonts w:ascii="Times New Roman" w:hAnsi="Times New Roman"/>
          <w:sz w:val="24"/>
          <w:szCs w:val="24"/>
        </w:rPr>
        <w:t>contester la réalité du contrat de location-gérance et le requalifier si elle estime qu’il déguise une cession de fonds de commerce : le contrat de location-gérance permet en réalité au « vendeur » (qui reste imposable sur les redevances) d’échapper à l’imposition éventuelle des plus-values et à l’acheteur d’échapper aux éventuels droits de mutation, tout en bénéficiant de la déductibilité des mêmes redevances de son propre résultat imposable.</w:t>
      </w:r>
    </w:p>
    <w:p w:rsidR="00535059" w:rsidRPr="004D033B" w:rsidRDefault="00535059" w:rsidP="00A27398">
      <w:pPr>
        <w:spacing w:after="0" w:line="240" w:lineRule="auto"/>
        <w:jc w:val="both"/>
        <w:rPr>
          <w:rFonts w:ascii="Times New Roman" w:hAnsi="Times New Roman"/>
          <w:strike/>
          <w:sz w:val="24"/>
          <w:szCs w:val="24"/>
        </w:rPr>
      </w:pPr>
    </w:p>
    <w:p w:rsidR="00535059" w:rsidRPr="004D033B" w:rsidRDefault="00535059" w:rsidP="00A27398">
      <w:pPr>
        <w:spacing w:after="0" w:line="240" w:lineRule="auto"/>
        <w:jc w:val="both"/>
        <w:rPr>
          <w:rFonts w:ascii="Times New Roman" w:hAnsi="Times New Roman"/>
          <w:sz w:val="24"/>
          <w:szCs w:val="24"/>
        </w:rPr>
      </w:pPr>
    </w:p>
    <w:p w:rsidR="00535059" w:rsidRPr="004D033B" w:rsidRDefault="00535059" w:rsidP="00A27398">
      <w:pPr>
        <w:spacing w:after="0" w:line="240" w:lineRule="auto"/>
        <w:jc w:val="both"/>
        <w:rPr>
          <w:rFonts w:ascii="Times New Roman" w:hAnsi="Times New Roman"/>
        </w:rPr>
      </w:pPr>
    </w:p>
    <w:p w:rsidR="00535059" w:rsidRPr="004D033B" w:rsidRDefault="00535059" w:rsidP="00A27398">
      <w:pPr>
        <w:shd w:val="clear" w:color="auto" w:fill="FFFFFF"/>
        <w:spacing w:after="0" w:line="240" w:lineRule="auto"/>
        <w:rPr>
          <w:rFonts w:ascii="Times New Roman" w:hAnsi="Times New Roman"/>
          <w:color w:val="000000"/>
          <w:spacing w:val="-7"/>
          <w:szCs w:val="24"/>
        </w:rPr>
      </w:pPr>
    </w:p>
    <w:p w:rsidR="00681BC3" w:rsidRPr="004D033B" w:rsidRDefault="00681BC3" w:rsidP="00C10DCD">
      <w:pPr>
        <w:shd w:val="clear" w:color="auto" w:fill="FFFFFF"/>
        <w:rPr>
          <w:rFonts w:ascii="Times New Roman" w:hAnsi="Times New Roman"/>
          <w:color w:val="000000"/>
          <w:spacing w:val="-7"/>
          <w:szCs w:val="24"/>
        </w:rPr>
      </w:pPr>
    </w:p>
    <w:p w:rsidR="00681BC3" w:rsidRPr="004D033B" w:rsidRDefault="00681BC3" w:rsidP="00C10DCD">
      <w:pPr>
        <w:shd w:val="clear" w:color="auto" w:fill="FFFFFF"/>
        <w:rPr>
          <w:rFonts w:ascii="Times New Roman" w:hAnsi="Times New Roman"/>
          <w:color w:val="000000"/>
          <w:spacing w:val="-7"/>
          <w:szCs w:val="24"/>
        </w:rPr>
      </w:pPr>
    </w:p>
    <w:p w:rsidR="00681BC3" w:rsidRPr="004D033B" w:rsidRDefault="00681BC3" w:rsidP="00C10DCD">
      <w:pPr>
        <w:shd w:val="clear" w:color="auto" w:fill="FFFFFF"/>
        <w:rPr>
          <w:rFonts w:ascii="Times New Roman" w:hAnsi="Times New Roman"/>
          <w:color w:val="000000"/>
          <w:spacing w:val="-7"/>
          <w:szCs w:val="24"/>
        </w:rPr>
      </w:pPr>
    </w:p>
    <w:p w:rsidR="00681BC3" w:rsidRPr="004D033B" w:rsidRDefault="00681BC3" w:rsidP="00C10DCD">
      <w:pPr>
        <w:shd w:val="clear" w:color="auto" w:fill="FFFFFF"/>
        <w:rPr>
          <w:rFonts w:ascii="Times New Roman" w:hAnsi="Times New Roman"/>
          <w:color w:val="000000"/>
          <w:spacing w:val="-7"/>
          <w:szCs w:val="24"/>
        </w:rPr>
      </w:pPr>
    </w:p>
    <w:p w:rsidR="0049579F" w:rsidRDefault="0049579F">
      <w:pPr>
        <w:rPr>
          <w:rFonts w:ascii="Times New Roman" w:hAnsi="Times New Roman"/>
          <w:color w:val="000000"/>
          <w:spacing w:val="-7"/>
          <w:szCs w:val="24"/>
        </w:rPr>
      </w:pPr>
      <w:r>
        <w:rPr>
          <w:rFonts w:ascii="Times New Roman" w:hAnsi="Times New Roman"/>
          <w:color w:val="000000"/>
          <w:spacing w:val="-7"/>
          <w:szCs w:val="24"/>
        </w:rPr>
        <w:br w:type="page"/>
      </w:r>
    </w:p>
    <w:p w:rsidR="00681BC3" w:rsidRPr="004D033B" w:rsidRDefault="00681BC3"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681BC3" w:rsidRPr="004D033B" w:rsidRDefault="00681BC3"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r w:rsidRPr="004D033B">
        <w:rPr>
          <w:rFonts w:ascii="Times New Roman" w:hAnsi="Times New Roman"/>
          <w:b/>
          <w:sz w:val="24"/>
          <w:szCs w:val="24"/>
        </w:rPr>
        <w:t>DOSSIER 4</w:t>
      </w:r>
      <w:r w:rsidR="005272A2">
        <w:rPr>
          <w:rFonts w:ascii="Times New Roman" w:hAnsi="Times New Roman"/>
          <w:b/>
          <w:sz w:val="24"/>
          <w:szCs w:val="24"/>
        </w:rPr>
        <w:t xml:space="preserve"> - FINANCEMENT</w:t>
      </w:r>
    </w:p>
    <w:p w:rsidR="00681BC3" w:rsidRPr="004D033B" w:rsidRDefault="00681BC3" w:rsidP="00E0366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b/>
          <w:sz w:val="24"/>
          <w:szCs w:val="24"/>
        </w:rPr>
      </w:pPr>
    </w:p>
    <w:p w:rsidR="00681BC3" w:rsidRDefault="00681BC3" w:rsidP="005C4CE0">
      <w:pPr>
        <w:shd w:val="clear" w:color="auto" w:fill="FFFFFF"/>
        <w:spacing w:after="0" w:line="240" w:lineRule="auto"/>
        <w:rPr>
          <w:rFonts w:ascii="Times New Roman" w:hAnsi="Times New Roman"/>
          <w:color w:val="000000"/>
          <w:spacing w:val="-7"/>
          <w:sz w:val="24"/>
          <w:szCs w:val="24"/>
        </w:rPr>
      </w:pPr>
    </w:p>
    <w:p w:rsidR="00E3367E" w:rsidRPr="004D033B" w:rsidRDefault="00E3367E" w:rsidP="005C4CE0">
      <w:pPr>
        <w:shd w:val="clear" w:color="auto" w:fill="FFFFFF"/>
        <w:spacing w:after="0" w:line="240" w:lineRule="auto"/>
        <w:rPr>
          <w:rFonts w:ascii="Times New Roman" w:hAnsi="Times New Roman"/>
          <w:color w:val="000000"/>
          <w:spacing w:val="-7"/>
          <w:sz w:val="24"/>
          <w:szCs w:val="24"/>
        </w:rPr>
      </w:pPr>
    </w:p>
    <w:p w:rsidR="00E3367E" w:rsidRPr="00E3367E" w:rsidRDefault="00681BC3" w:rsidP="00E3367E">
      <w:pPr>
        <w:pStyle w:val="Paragraphedeliste"/>
        <w:numPr>
          <w:ilvl w:val="0"/>
          <w:numId w:val="16"/>
        </w:numPr>
        <w:spacing w:after="0" w:line="240" w:lineRule="auto"/>
        <w:ind w:left="714" w:hanging="357"/>
        <w:contextualSpacing w:val="0"/>
        <w:jc w:val="both"/>
        <w:rPr>
          <w:rFonts w:ascii="Times New Roman" w:hAnsi="Times New Roman"/>
          <w:sz w:val="24"/>
          <w:szCs w:val="24"/>
        </w:rPr>
      </w:pPr>
      <w:r w:rsidRPr="007A3FD9">
        <w:rPr>
          <w:rFonts w:ascii="Times New Roman" w:hAnsi="Times New Roman"/>
          <w:b/>
          <w:sz w:val="24"/>
          <w:szCs w:val="24"/>
        </w:rPr>
        <w:t>Préciser selon quelles modalités la convention de compte-courant d'actionnaire de la SARL HUDA a pu être autorisée.</w:t>
      </w:r>
    </w:p>
    <w:p w:rsidR="00E3367E" w:rsidRPr="00E3367E" w:rsidRDefault="00E3367E" w:rsidP="00E3367E">
      <w:pPr>
        <w:spacing w:after="0" w:line="240" w:lineRule="auto"/>
        <w:jc w:val="both"/>
        <w:rPr>
          <w:rFonts w:ascii="Times New Roman" w:hAnsi="Times New Roman"/>
          <w:sz w:val="24"/>
          <w:szCs w:val="24"/>
        </w:rPr>
      </w:pPr>
    </w:p>
    <w:p w:rsidR="00681BC3"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La société OUISKI est une société anonyme. Les conventions  entre la société</w:t>
      </w:r>
      <w:r w:rsidR="00A12796" w:rsidRPr="004D033B">
        <w:rPr>
          <w:rFonts w:ascii="Times New Roman" w:hAnsi="Times New Roman"/>
          <w:sz w:val="24"/>
          <w:szCs w:val="24"/>
        </w:rPr>
        <w:t xml:space="preserve"> et</w:t>
      </w:r>
      <w:r w:rsidRPr="004D033B">
        <w:rPr>
          <w:rFonts w:ascii="Times New Roman" w:hAnsi="Times New Roman"/>
          <w:sz w:val="24"/>
          <w:szCs w:val="24"/>
        </w:rPr>
        <w:t xml:space="preserve"> un actionnaire détenant plu</w:t>
      </w:r>
      <w:r w:rsidR="00A12796" w:rsidRPr="004D033B">
        <w:rPr>
          <w:rFonts w:ascii="Times New Roman" w:hAnsi="Times New Roman"/>
          <w:sz w:val="24"/>
          <w:szCs w:val="24"/>
        </w:rPr>
        <w:t xml:space="preserve">s de dix pour cent des actions </w:t>
      </w:r>
      <w:r w:rsidRPr="004D033B">
        <w:rPr>
          <w:rFonts w:ascii="Times New Roman" w:hAnsi="Times New Roman"/>
          <w:sz w:val="24"/>
          <w:szCs w:val="24"/>
        </w:rPr>
        <w:t>doivent être autorisées par le conseil d'administration</w:t>
      </w:r>
      <w:r w:rsidR="00B85F38" w:rsidRPr="004D033B">
        <w:rPr>
          <w:rFonts w:ascii="Times New Roman" w:hAnsi="Times New Roman"/>
          <w:sz w:val="24"/>
          <w:szCs w:val="24"/>
        </w:rPr>
        <w:t xml:space="preserve"> avant la conclusion de la convention</w:t>
      </w:r>
      <w:r w:rsidRPr="004D033B">
        <w:rPr>
          <w:rFonts w:ascii="Times New Roman" w:hAnsi="Times New Roman"/>
          <w:sz w:val="24"/>
          <w:szCs w:val="24"/>
        </w:rPr>
        <w:t>, l'intéressé ne prenant pas part au vote</w:t>
      </w:r>
      <w:r w:rsidR="00E0196C" w:rsidRPr="004D033B">
        <w:rPr>
          <w:rFonts w:ascii="Times New Roman" w:hAnsi="Times New Roman"/>
          <w:sz w:val="24"/>
          <w:szCs w:val="24"/>
        </w:rPr>
        <w:t xml:space="preserve"> (Code de commerce, art. L 225-38)</w:t>
      </w:r>
      <w:r w:rsidRPr="004D033B">
        <w:rPr>
          <w:rFonts w:ascii="Times New Roman" w:hAnsi="Times New Roman"/>
          <w:sz w:val="24"/>
          <w:szCs w:val="24"/>
        </w:rPr>
        <w:t>. Cette convention doit ensuite être soumise au vote des actionnaires lors de l'assemblée annuelle appelée à examiner les comptes annuels de l'exercice concerné, sur rapport du commissaire aux comptes et l'intéressé ne pre</w:t>
      </w:r>
      <w:r w:rsidR="00B85F38" w:rsidRPr="004D033B">
        <w:rPr>
          <w:rFonts w:ascii="Times New Roman" w:hAnsi="Times New Roman"/>
          <w:sz w:val="24"/>
          <w:szCs w:val="24"/>
        </w:rPr>
        <w:t>nant à nouveau pas part au vote</w:t>
      </w:r>
      <w:r w:rsidRPr="004D033B">
        <w:rPr>
          <w:rFonts w:ascii="Times New Roman" w:hAnsi="Times New Roman"/>
          <w:sz w:val="24"/>
          <w:szCs w:val="24"/>
        </w:rPr>
        <w:t xml:space="preserve"> </w:t>
      </w:r>
      <w:r w:rsidR="00B85F38" w:rsidRPr="004D033B">
        <w:rPr>
          <w:rFonts w:ascii="Times New Roman" w:hAnsi="Times New Roman"/>
          <w:i/>
          <w:sz w:val="24"/>
          <w:szCs w:val="24"/>
        </w:rPr>
        <w:t>(</w:t>
      </w:r>
      <w:r w:rsidRPr="004D033B">
        <w:rPr>
          <w:rFonts w:ascii="Times New Roman" w:hAnsi="Times New Roman"/>
          <w:i/>
          <w:sz w:val="24"/>
          <w:szCs w:val="24"/>
        </w:rPr>
        <w:t>Les années suivantes, l'application de la convention est simplement rappelée à l'assemblée par le commissaire aux comptes</w:t>
      </w:r>
      <w:r w:rsidR="00B85F38" w:rsidRPr="004D033B">
        <w:rPr>
          <w:rFonts w:ascii="Times New Roman" w:hAnsi="Times New Roman"/>
          <w:i/>
          <w:sz w:val="24"/>
          <w:szCs w:val="24"/>
        </w:rPr>
        <w:t>)</w:t>
      </w:r>
      <w:r w:rsidRPr="004D033B">
        <w:rPr>
          <w:rFonts w:ascii="Times New Roman" w:hAnsi="Times New Roman"/>
          <w:sz w:val="24"/>
          <w:szCs w:val="24"/>
        </w:rPr>
        <w:t>.</w:t>
      </w:r>
    </w:p>
    <w:p w:rsidR="00E3367E" w:rsidRPr="004D033B" w:rsidRDefault="00E3367E" w:rsidP="00E3367E">
      <w:pPr>
        <w:spacing w:after="0" w:line="240" w:lineRule="auto"/>
        <w:jc w:val="both"/>
        <w:rPr>
          <w:rFonts w:ascii="Times New Roman" w:hAnsi="Times New Roman"/>
          <w:sz w:val="24"/>
          <w:szCs w:val="24"/>
        </w:rPr>
      </w:pPr>
    </w:p>
    <w:p w:rsidR="00681BC3" w:rsidRPr="004D033B" w:rsidRDefault="009D2300" w:rsidP="00E3367E">
      <w:pPr>
        <w:spacing w:after="0" w:line="240" w:lineRule="auto"/>
        <w:jc w:val="both"/>
        <w:rPr>
          <w:rFonts w:ascii="Times New Roman" w:hAnsi="Times New Roman"/>
          <w:i/>
          <w:sz w:val="24"/>
          <w:szCs w:val="24"/>
        </w:rPr>
      </w:pPr>
      <w:r>
        <w:rPr>
          <w:rFonts w:ascii="Times New Roman" w:hAnsi="Times New Roman"/>
          <w:i/>
          <w:sz w:val="24"/>
          <w:szCs w:val="24"/>
          <w:u w:val="single"/>
        </w:rPr>
        <w:t>(</w:t>
      </w:r>
      <w:r w:rsidR="00E0196C" w:rsidRPr="004D033B">
        <w:rPr>
          <w:rFonts w:ascii="Times New Roman" w:hAnsi="Times New Roman"/>
          <w:i/>
          <w:sz w:val="24"/>
          <w:szCs w:val="24"/>
          <w:u w:val="single"/>
        </w:rPr>
        <w:t>Remarque</w:t>
      </w:r>
      <w:r w:rsidR="00E0196C" w:rsidRPr="004D033B">
        <w:rPr>
          <w:rFonts w:ascii="Times New Roman" w:hAnsi="Times New Roman"/>
          <w:i/>
          <w:sz w:val="24"/>
          <w:szCs w:val="24"/>
        </w:rPr>
        <w:t> : les</w:t>
      </w:r>
      <w:r w:rsidR="00681BC3" w:rsidRPr="004D033B">
        <w:rPr>
          <w:rFonts w:ascii="Times New Roman" w:hAnsi="Times New Roman"/>
          <w:i/>
          <w:sz w:val="24"/>
          <w:szCs w:val="24"/>
        </w:rPr>
        <w:t xml:space="preserve"> opérations courantes conclues à des conditions normales sont exemptées de cette procédure</w:t>
      </w:r>
      <w:r w:rsidR="00B85F38" w:rsidRPr="004D033B">
        <w:rPr>
          <w:rFonts w:ascii="Times New Roman" w:hAnsi="Times New Roman"/>
          <w:i/>
          <w:sz w:val="24"/>
          <w:szCs w:val="24"/>
        </w:rPr>
        <w:t xml:space="preserve"> (Code de commerce, art.</w:t>
      </w:r>
      <w:r w:rsidR="00E0196C" w:rsidRPr="004D033B">
        <w:rPr>
          <w:rFonts w:ascii="Times New Roman" w:hAnsi="Times New Roman"/>
          <w:i/>
          <w:sz w:val="24"/>
          <w:szCs w:val="24"/>
        </w:rPr>
        <w:t xml:space="preserve"> </w:t>
      </w:r>
      <w:r w:rsidR="00B85F38" w:rsidRPr="004D033B">
        <w:rPr>
          <w:rFonts w:ascii="Times New Roman" w:hAnsi="Times New Roman"/>
          <w:i/>
          <w:sz w:val="24"/>
          <w:szCs w:val="24"/>
        </w:rPr>
        <w:t>L 225-39)</w:t>
      </w:r>
      <w:r w:rsidR="00681BC3" w:rsidRPr="004D033B">
        <w:rPr>
          <w:rFonts w:ascii="Times New Roman" w:hAnsi="Times New Roman"/>
          <w:i/>
          <w:sz w:val="24"/>
          <w:szCs w:val="24"/>
        </w:rPr>
        <w:t xml:space="preserve">. </w:t>
      </w:r>
      <w:r w:rsidR="00B85F38" w:rsidRPr="004D033B">
        <w:rPr>
          <w:rFonts w:ascii="Times New Roman" w:hAnsi="Times New Roman"/>
          <w:i/>
          <w:sz w:val="24"/>
          <w:szCs w:val="24"/>
        </w:rPr>
        <w:t xml:space="preserve">La doctrine se partage sur le point de savoir si la mise à disposition de fonds en compte-courant de la part d’un dirigeant est une opération courante ou non. Mais en tout état de cause, </w:t>
      </w:r>
      <w:r w:rsidR="00681BC3" w:rsidRPr="004D033B">
        <w:rPr>
          <w:rFonts w:ascii="Times New Roman" w:hAnsi="Times New Roman"/>
          <w:i/>
          <w:sz w:val="24"/>
          <w:szCs w:val="24"/>
        </w:rPr>
        <w:t>la rémunératio</w:t>
      </w:r>
      <w:r w:rsidR="00B85F38" w:rsidRPr="004D033B">
        <w:rPr>
          <w:rFonts w:ascii="Times New Roman" w:hAnsi="Times New Roman"/>
          <w:i/>
          <w:sz w:val="24"/>
          <w:szCs w:val="24"/>
        </w:rPr>
        <w:t>n convenue est très supérieure en 2011</w:t>
      </w:r>
      <w:r w:rsidR="00681BC3" w:rsidRPr="004D033B">
        <w:rPr>
          <w:rFonts w:ascii="Times New Roman" w:hAnsi="Times New Roman"/>
          <w:i/>
          <w:sz w:val="24"/>
          <w:szCs w:val="24"/>
        </w:rPr>
        <w:t xml:space="preserve"> aux références de marché - taux fiscal</w:t>
      </w:r>
      <w:r w:rsidR="00B85F38" w:rsidRPr="004D033B">
        <w:rPr>
          <w:rFonts w:ascii="Times New Roman" w:hAnsi="Times New Roman"/>
          <w:i/>
          <w:sz w:val="24"/>
          <w:szCs w:val="24"/>
        </w:rPr>
        <w:t xml:space="preserve"> (TEM) et au taux de base bancaire</w:t>
      </w:r>
      <w:r w:rsidR="00681BC3" w:rsidRPr="004D033B">
        <w:rPr>
          <w:rFonts w:ascii="Times New Roman" w:hAnsi="Times New Roman"/>
          <w:i/>
          <w:sz w:val="24"/>
          <w:szCs w:val="24"/>
        </w:rPr>
        <w:t xml:space="preserve">: elle n'est pas donc conclue à des conditions normales. Cette convention ne </w:t>
      </w:r>
      <w:r w:rsidR="00A12796" w:rsidRPr="004D033B">
        <w:rPr>
          <w:rFonts w:ascii="Times New Roman" w:hAnsi="Times New Roman"/>
          <w:i/>
          <w:sz w:val="24"/>
          <w:szCs w:val="24"/>
        </w:rPr>
        <w:t>relève</w:t>
      </w:r>
      <w:r w:rsidR="00681BC3" w:rsidRPr="004D033B">
        <w:rPr>
          <w:rFonts w:ascii="Times New Roman" w:hAnsi="Times New Roman"/>
          <w:i/>
          <w:sz w:val="24"/>
          <w:szCs w:val="24"/>
        </w:rPr>
        <w:t xml:space="preserve"> donc pas de l'exemption et </w:t>
      </w:r>
      <w:r w:rsidR="00A12796" w:rsidRPr="004D033B">
        <w:rPr>
          <w:rFonts w:ascii="Times New Roman" w:hAnsi="Times New Roman"/>
          <w:i/>
          <w:sz w:val="24"/>
          <w:szCs w:val="24"/>
        </w:rPr>
        <w:t>doit être autorisée.</w:t>
      </w:r>
      <w:r>
        <w:rPr>
          <w:rFonts w:ascii="Times New Roman" w:hAnsi="Times New Roman"/>
          <w:i/>
          <w:sz w:val="24"/>
          <w:szCs w:val="24"/>
        </w:rPr>
        <w:t>)</w:t>
      </w:r>
    </w:p>
    <w:p w:rsidR="00681BC3" w:rsidRDefault="00681BC3" w:rsidP="00E3367E">
      <w:pPr>
        <w:spacing w:after="0" w:line="240" w:lineRule="auto"/>
        <w:jc w:val="both"/>
        <w:rPr>
          <w:rFonts w:ascii="Times New Roman" w:hAnsi="Times New Roman"/>
          <w:sz w:val="24"/>
          <w:szCs w:val="24"/>
        </w:rPr>
      </w:pPr>
    </w:p>
    <w:p w:rsidR="003B2F9A" w:rsidRPr="004D033B" w:rsidRDefault="003B2F9A" w:rsidP="00E3367E">
      <w:pPr>
        <w:spacing w:after="0" w:line="240" w:lineRule="auto"/>
        <w:jc w:val="both"/>
        <w:rPr>
          <w:rFonts w:ascii="Times New Roman" w:hAnsi="Times New Roman"/>
          <w:sz w:val="24"/>
          <w:szCs w:val="24"/>
        </w:rPr>
      </w:pPr>
    </w:p>
    <w:p w:rsidR="00EA4A1D" w:rsidRPr="007A3FD9" w:rsidRDefault="00EA4A1D" w:rsidP="00E3367E">
      <w:pPr>
        <w:pStyle w:val="Paragraphedeliste"/>
        <w:numPr>
          <w:ilvl w:val="0"/>
          <w:numId w:val="16"/>
        </w:numPr>
        <w:spacing w:after="0" w:line="240" w:lineRule="auto"/>
        <w:ind w:left="714" w:hanging="357"/>
        <w:contextualSpacing w:val="0"/>
        <w:rPr>
          <w:rFonts w:ascii="Times New Roman" w:hAnsi="Times New Roman"/>
          <w:b/>
          <w:color w:val="000000"/>
          <w:sz w:val="24"/>
          <w:szCs w:val="24"/>
        </w:rPr>
      </w:pPr>
      <w:r w:rsidRPr="007A3FD9">
        <w:rPr>
          <w:rFonts w:ascii="Times New Roman" w:hAnsi="Times New Roman"/>
          <w:b/>
          <w:color w:val="000000"/>
          <w:sz w:val="24"/>
          <w:szCs w:val="24"/>
        </w:rPr>
        <w:t>Déterminer le régime fiscal des intérêts ayant rémunéré ce compte-courant au niveau de la SA OUISKI.</w:t>
      </w:r>
    </w:p>
    <w:p w:rsidR="003B2F9A" w:rsidRDefault="003B2F9A" w:rsidP="00E3367E">
      <w:pPr>
        <w:spacing w:after="0" w:line="240" w:lineRule="auto"/>
        <w:jc w:val="both"/>
        <w:rPr>
          <w:rFonts w:ascii="Times New Roman" w:hAnsi="Times New Roman"/>
          <w:sz w:val="24"/>
          <w:szCs w:val="24"/>
        </w:rPr>
      </w:pPr>
    </w:p>
    <w:p w:rsidR="00681BC3" w:rsidRPr="004D033B"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Les intérêts servis à l'actionnaire majoritaire en rémunération de son compte-courant sont déductibles dans la limite du taux d'intérêt maximum déductible</w:t>
      </w:r>
      <w:r w:rsidR="00A12796" w:rsidRPr="004D033B">
        <w:rPr>
          <w:rFonts w:ascii="Times New Roman" w:hAnsi="Times New Roman"/>
          <w:sz w:val="24"/>
          <w:szCs w:val="24"/>
        </w:rPr>
        <w:t xml:space="preserve"> (TEM)</w:t>
      </w:r>
      <w:r w:rsidRPr="004D033B">
        <w:rPr>
          <w:rFonts w:ascii="Times New Roman" w:hAnsi="Times New Roman"/>
          <w:sz w:val="24"/>
          <w:szCs w:val="24"/>
        </w:rPr>
        <w:t xml:space="preserve">. </w:t>
      </w:r>
      <w:r w:rsidR="00A12796" w:rsidRPr="004D033B">
        <w:rPr>
          <w:rFonts w:ascii="Times New Roman" w:hAnsi="Times New Roman"/>
          <w:sz w:val="24"/>
          <w:szCs w:val="24"/>
        </w:rPr>
        <w:t>Ici</w:t>
      </w:r>
      <w:r w:rsidRPr="004D033B">
        <w:rPr>
          <w:rFonts w:ascii="Times New Roman" w:hAnsi="Times New Roman"/>
          <w:sz w:val="24"/>
          <w:szCs w:val="24"/>
        </w:rPr>
        <w:t>, ce taux s'élève à 4% sur l'année 2012, soit la moitié du taux servi par la société OUISKI</w:t>
      </w:r>
      <w:r w:rsidRPr="009D2300">
        <w:rPr>
          <w:rFonts w:ascii="Times New Roman" w:hAnsi="Times New Roman"/>
          <w:i/>
          <w:sz w:val="24"/>
          <w:szCs w:val="24"/>
        </w:rPr>
        <w:t>.</w:t>
      </w:r>
    </w:p>
    <w:p w:rsidR="00681BC3" w:rsidRPr="009D2300" w:rsidRDefault="00681BC3" w:rsidP="00E3367E">
      <w:pPr>
        <w:spacing w:after="0" w:line="240" w:lineRule="auto"/>
        <w:jc w:val="both"/>
        <w:rPr>
          <w:rFonts w:ascii="Times New Roman" w:hAnsi="Times New Roman"/>
          <w:sz w:val="24"/>
          <w:szCs w:val="24"/>
        </w:rPr>
      </w:pPr>
      <w:r w:rsidRPr="009D2300">
        <w:rPr>
          <w:rFonts w:ascii="Times New Roman" w:hAnsi="Times New Roman"/>
          <w:sz w:val="24"/>
          <w:szCs w:val="24"/>
        </w:rPr>
        <w:t>Le tot</w:t>
      </w:r>
      <w:r w:rsidR="00987BE5" w:rsidRPr="009D2300">
        <w:rPr>
          <w:rFonts w:ascii="Times New Roman" w:hAnsi="Times New Roman"/>
          <w:sz w:val="24"/>
          <w:szCs w:val="24"/>
        </w:rPr>
        <w:t>al des intérêts servis s'élève</w:t>
      </w:r>
      <w:r w:rsidRPr="009D2300">
        <w:rPr>
          <w:rFonts w:ascii="Times New Roman" w:hAnsi="Times New Roman"/>
          <w:sz w:val="24"/>
          <w:szCs w:val="24"/>
        </w:rPr>
        <w:t>, pour 2012, à 20 000 x 8</w:t>
      </w:r>
      <w:r w:rsidR="00A12796" w:rsidRPr="009D2300">
        <w:rPr>
          <w:rFonts w:ascii="Times New Roman" w:hAnsi="Times New Roman"/>
          <w:sz w:val="24"/>
          <w:szCs w:val="24"/>
        </w:rPr>
        <w:t xml:space="preserve"> </w:t>
      </w:r>
      <w:r w:rsidRPr="009D2300">
        <w:rPr>
          <w:rFonts w:ascii="Times New Roman" w:hAnsi="Times New Roman"/>
          <w:sz w:val="24"/>
          <w:szCs w:val="24"/>
        </w:rPr>
        <w:t>% + (200 000 x 8</w:t>
      </w:r>
      <w:r w:rsidR="00A12796" w:rsidRPr="009D2300">
        <w:rPr>
          <w:rFonts w:ascii="Times New Roman" w:hAnsi="Times New Roman"/>
          <w:sz w:val="24"/>
          <w:szCs w:val="24"/>
        </w:rPr>
        <w:t xml:space="preserve"> </w:t>
      </w:r>
      <w:r w:rsidRPr="009D2300">
        <w:rPr>
          <w:rFonts w:ascii="Times New Roman" w:hAnsi="Times New Roman"/>
          <w:sz w:val="24"/>
          <w:szCs w:val="24"/>
        </w:rPr>
        <w:t>%  x 6/</w:t>
      </w:r>
      <w:r w:rsidR="00A12796" w:rsidRPr="009D2300">
        <w:rPr>
          <w:rFonts w:ascii="Times New Roman" w:hAnsi="Times New Roman"/>
          <w:sz w:val="24"/>
          <w:szCs w:val="24"/>
        </w:rPr>
        <w:t>12)</w:t>
      </w:r>
      <w:r w:rsidRPr="009D2300">
        <w:rPr>
          <w:rFonts w:ascii="Times New Roman" w:hAnsi="Times New Roman"/>
          <w:sz w:val="24"/>
          <w:szCs w:val="24"/>
        </w:rPr>
        <w:t xml:space="preserve"> soit 9 600 €. La moitié de cette somme, soit 4 800 €, est déductible fiscalement </w:t>
      </w:r>
      <w:r w:rsidR="00A12796" w:rsidRPr="009D2300">
        <w:rPr>
          <w:rFonts w:ascii="Times New Roman" w:hAnsi="Times New Roman"/>
          <w:sz w:val="24"/>
          <w:szCs w:val="24"/>
        </w:rPr>
        <w:t>et la fraction supérieure (</w:t>
      </w:r>
      <w:r w:rsidRPr="009D2300">
        <w:rPr>
          <w:rFonts w:ascii="Times New Roman" w:hAnsi="Times New Roman"/>
          <w:sz w:val="24"/>
          <w:szCs w:val="24"/>
        </w:rPr>
        <w:t>4 800 €</w:t>
      </w:r>
      <w:r w:rsidR="00A12796" w:rsidRPr="009D2300">
        <w:rPr>
          <w:rFonts w:ascii="Times New Roman" w:hAnsi="Times New Roman"/>
          <w:sz w:val="24"/>
          <w:szCs w:val="24"/>
        </w:rPr>
        <w:t>)</w:t>
      </w:r>
      <w:r w:rsidRPr="009D2300">
        <w:rPr>
          <w:rFonts w:ascii="Times New Roman" w:hAnsi="Times New Roman"/>
          <w:sz w:val="24"/>
          <w:szCs w:val="24"/>
        </w:rPr>
        <w:t xml:space="preserve">, </w:t>
      </w:r>
      <w:r w:rsidR="00A12796" w:rsidRPr="009D2300">
        <w:rPr>
          <w:rFonts w:ascii="Times New Roman" w:hAnsi="Times New Roman"/>
          <w:sz w:val="24"/>
          <w:szCs w:val="24"/>
        </w:rPr>
        <w:t>doit faire l’objet d’une réintégration extra-comptable</w:t>
      </w:r>
      <w:r w:rsidRPr="009D2300">
        <w:rPr>
          <w:rFonts w:ascii="Times New Roman" w:hAnsi="Times New Roman"/>
          <w:sz w:val="24"/>
          <w:szCs w:val="24"/>
        </w:rPr>
        <w:t>.</w:t>
      </w:r>
      <w:r w:rsidR="009D2300">
        <w:rPr>
          <w:rFonts w:ascii="Times New Roman" w:hAnsi="Times New Roman"/>
          <w:sz w:val="24"/>
          <w:szCs w:val="24"/>
        </w:rPr>
        <w:t xml:space="preserve"> </w:t>
      </w:r>
    </w:p>
    <w:p w:rsidR="00681BC3" w:rsidRDefault="00681BC3" w:rsidP="00E3367E">
      <w:pPr>
        <w:spacing w:after="0" w:line="240" w:lineRule="auto"/>
        <w:jc w:val="both"/>
        <w:rPr>
          <w:rFonts w:ascii="Times New Roman" w:hAnsi="Times New Roman"/>
          <w:sz w:val="24"/>
          <w:szCs w:val="24"/>
        </w:rPr>
      </w:pPr>
    </w:p>
    <w:p w:rsidR="00F34A1D" w:rsidRPr="004D033B" w:rsidRDefault="00F34A1D" w:rsidP="00E3367E">
      <w:pPr>
        <w:spacing w:after="0" w:line="240" w:lineRule="auto"/>
        <w:jc w:val="both"/>
        <w:rPr>
          <w:rFonts w:ascii="Times New Roman" w:hAnsi="Times New Roman"/>
          <w:sz w:val="24"/>
          <w:szCs w:val="24"/>
        </w:rPr>
      </w:pPr>
    </w:p>
    <w:p w:rsidR="00E456D2" w:rsidRPr="007A3FD9" w:rsidRDefault="00E456D2" w:rsidP="00E3367E">
      <w:pPr>
        <w:pStyle w:val="Paragraphedeliste"/>
        <w:numPr>
          <w:ilvl w:val="0"/>
          <w:numId w:val="16"/>
        </w:numPr>
        <w:spacing w:after="0" w:line="240" w:lineRule="auto"/>
        <w:ind w:left="714" w:hanging="357"/>
        <w:contextualSpacing w:val="0"/>
        <w:rPr>
          <w:rFonts w:ascii="Times New Roman" w:hAnsi="Times New Roman"/>
          <w:b/>
          <w:color w:val="000000"/>
          <w:sz w:val="24"/>
          <w:szCs w:val="24"/>
        </w:rPr>
      </w:pPr>
      <w:r w:rsidRPr="007A3FD9">
        <w:rPr>
          <w:rFonts w:ascii="Times New Roman" w:hAnsi="Times New Roman"/>
          <w:b/>
          <w:color w:val="000000"/>
          <w:sz w:val="24"/>
          <w:szCs w:val="24"/>
        </w:rPr>
        <w:t>Que faut-il penser de cette situation ?</w:t>
      </w:r>
    </w:p>
    <w:p w:rsidR="00F34A1D" w:rsidRDefault="00F34A1D" w:rsidP="00E3367E">
      <w:pPr>
        <w:spacing w:after="0" w:line="240" w:lineRule="auto"/>
        <w:jc w:val="both"/>
        <w:rPr>
          <w:rFonts w:ascii="Times New Roman" w:hAnsi="Times New Roman"/>
          <w:sz w:val="24"/>
          <w:szCs w:val="24"/>
        </w:rPr>
      </w:pPr>
    </w:p>
    <w:p w:rsidR="00681BC3" w:rsidRPr="009D2300" w:rsidRDefault="00E0196C" w:rsidP="00E3367E">
      <w:pPr>
        <w:spacing w:after="0" w:line="240" w:lineRule="auto"/>
        <w:jc w:val="both"/>
        <w:rPr>
          <w:rFonts w:ascii="Times New Roman" w:hAnsi="Times New Roman"/>
          <w:i/>
          <w:sz w:val="24"/>
          <w:szCs w:val="24"/>
        </w:rPr>
      </w:pPr>
      <w:r w:rsidRPr="004D033B">
        <w:rPr>
          <w:rFonts w:ascii="Times New Roman" w:hAnsi="Times New Roman"/>
          <w:sz w:val="24"/>
          <w:szCs w:val="24"/>
        </w:rPr>
        <w:t>Comme cela a été rappelé à la question 1, la conclusion d’un compte-courant avec le dirigeant à un taux de 8 % n’est pas, en 2012, une opération courante conclue à des conditions normales, relevant de l’exemption d’autorisation de l’article L 225-39 du Code de commerce. Elle doit donc être préalablement autorisée en vertu de l’article L 225-38</w:t>
      </w:r>
      <w:r w:rsidRPr="009D2300">
        <w:rPr>
          <w:rFonts w:ascii="Times New Roman" w:hAnsi="Times New Roman"/>
          <w:i/>
          <w:sz w:val="24"/>
          <w:szCs w:val="24"/>
        </w:rPr>
        <w:t>.</w:t>
      </w:r>
      <w:r w:rsidRPr="004D033B">
        <w:rPr>
          <w:rFonts w:ascii="Times New Roman" w:hAnsi="Times New Roman"/>
          <w:sz w:val="24"/>
          <w:szCs w:val="24"/>
        </w:rPr>
        <w:t xml:space="preserve"> Tel n’a pas été le cas. La convention peut être annulée</w:t>
      </w:r>
      <w:r w:rsidR="009D2300">
        <w:rPr>
          <w:rFonts w:ascii="Times New Roman" w:hAnsi="Times New Roman"/>
          <w:sz w:val="24"/>
          <w:szCs w:val="24"/>
        </w:rPr>
        <w:t xml:space="preserve">. </w:t>
      </w:r>
      <w:r w:rsidRPr="004D033B">
        <w:rPr>
          <w:rFonts w:ascii="Times New Roman" w:hAnsi="Times New Roman"/>
          <w:sz w:val="24"/>
          <w:szCs w:val="24"/>
        </w:rPr>
        <w:t xml:space="preserve"> La nullité peut toutefois être couverte par un vote de l’assemblée générale sur le rapport spécial du commissaire aux comptes (Code de commerce, art. L 225-42).</w:t>
      </w:r>
    </w:p>
    <w:p w:rsidR="00F34A1D" w:rsidRDefault="00F34A1D" w:rsidP="00E3367E">
      <w:pPr>
        <w:spacing w:after="0" w:line="240" w:lineRule="auto"/>
        <w:jc w:val="both"/>
        <w:rPr>
          <w:rFonts w:ascii="Times New Roman" w:hAnsi="Times New Roman"/>
          <w:sz w:val="24"/>
          <w:szCs w:val="24"/>
        </w:rPr>
      </w:pPr>
    </w:p>
    <w:p w:rsidR="00E0196C" w:rsidRDefault="00E0196C" w:rsidP="00E3367E">
      <w:pPr>
        <w:spacing w:after="0" w:line="240" w:lineRule="auto"/>
        <w:jc w:val="both"/>
        <w:rPr>
          <w:rFonts w:ascii="Times New Roman" w:hAnsi="Times New Roman"/>
          <w:i/>
          <w:sz w:val="24"/>
          <w:szCs w:val="24"/>
        </w:rPr>
      </w:pPr>
      <w:r w:rsidRPr="004D033B">
        <w:rPr>
          <w:rFonts w:ascii="Times New Roman" w:hAnsi="Times New Roman"/>
          <w:sz w:val="24"/>
          <w:szCs w:val="24"/>
        </w:rPr>
        <w:t>Par ailleurs, depuis le 1</w:t>
      </w:r>
      <w:r w:rsidRPr="004D033B">
        <w:rPr>
          <w:rFonts w:ascii="Times New Roman" w:hAnsi="Times New Roman"/>
          <w:sz w:val="24"/>
          <w:szCs w:val="24"/>
          <w:vertAlign w:val="superscript"/>
        </w:rPr>
        <w:t>er</w:t>
      </w:r>
      <w:r w:rsidRPr="004D033B">
        <w:rPr>
          <w:rFonts w:ascii="Times New Roman" w:hAnsi="Times New Roman"/>
          <w:sz w:val="24"/>
          <w:szCs w:val="24"/>
        </w:rPr>
        <w:t xml:space="preserve"> décembre 2012, le compte-courant de Mme OURSENPLUS est débiteur de 100 000 €. Cette situation est interdite en app</w:t>
      </w:r>
      <w:r w:rsidR="004832CD">
        <w:rPr>
          <w:rFonts w:ascii="Times New Roman" w:hAnsi="Times New Roman"/>
          <w:sz w:val="24"/>
          <w:szCs w:val="24"/>
        </w:rPr>
        <w:t xml:space="preserve">lication de l’article L 225-43 </w:t>
      </w:r>
      <w:r w:rsidRPr="004D033B">
        <w:rPr>
          <w:rFonts w:ascii="Times New Roman" w:hAnsi="Times New Roman"/>
          <w:sz w:val="24"/>
          <w:szCs w:val="24"/>
        </w:rPr>
        <w:t>du code de commerce. Elle peut caractériser un abus de biens sociaux (Code de commerce,</w:t>
      </w:r>
      <w:r w:rsidR="009146AF" w:rsidRPr="004D033B">
        <w:rPr>
          <w:rFonts w:ascii="Times New Roman" w:hAnsi="Times New Roman"/>
          <w:sz w:val="24"/>
          <w:szCs w:val="24"/>
        </w:rPr>
        <w:t xml:space="preserve"> art. L 242-6).</w:t>
      </w:r>
      <w:r w:rsidR="009D2300">
        <w:rPr>
          <w:rFonts w:ascii="Times New Roman" w:hAnsi="Times New Roman"/>
          <w:sz w:val="24"/>
          <w:szCs w:val="24"/>
        </w:rPr>
        <w:t xml:space="preserve"> </w:t>
      </w:r>
    </w:p>
    <w:p w:rsidR="00F34A1D" w:rsidRDefault="00F34A1D" w:rsidP="00E3367E">
      <w:pPr>
        <w:spacing w:after="0" w:line="240" w:lineRule="auto"/>
        <w:jc w:val="both"/>
        <w:rPr>
          <w:rFonts w:ascii="Times New Roman" w:hAnsi="Times New Roman"/>
          <w:i/>
          <w:sz w:val="24"/>
          <w:szCs w:val="24"/>
        </w:rPr>
      </w:pPr>
    </w:p>
    <w:p w:rsidR="00F34A1D" w:rsidRDefault="00F34A1D" w:rsidP="00E3367E">
      <w:pPr>
        <w:spacing w:after="0" w:line="240" w:lineRule="auto"/>
        <w:jc w:val="both"/>
        <w:rPr>
          <w:rFonts w:ascii="Times New Roman" w:hAnsi="Times New Roman"/>
          <w:i/>
          <w:sz w:val="24"/>
          <w:szCs w:val="24"/>
        </w:rPr>
      </w:pPr>
    </w:p>
    <w:p w:rsidR="00F34A1D" w:rsidRDefault="00F34A1D" w:rsidP="00E3367E">
      <w:pPr>
        <w:spacing w:after="0" w:line="240" w:lineRule="auto"/>
        <w:jc w:val="both"/>
        <w:rPr>
          <w:rFonts w:ascii="Times New Roman" w:hAnsi="Times New Roman"/>
          <w:i/>
          <w:sz w:val="24"/>
          <w:szCs w:val="24"/>
        </w:rPr>
      </w:pPr>
    </w:p>
    <w:p w:rsidR="00F34A1D" w:rsidRDefault="00F34A1D" w:rsidP="00E3367E">
      <w:pPr>
        <w:spacing w:after="0" w:line="240" w:lineRule="auto"/>
        <w:jc w:val="both"/>
        <w:rPr>
          <w:rFonts w:ascii="Times New Roman" w:hAnsi="Times New Roman"/>
          <w:sz w:val="24"/>
          <w:szCs w:val="24"/>
        </w:rPr>
      </w:pPr>
    </w:p>
    <w:p w:rsidR="00F34A1D" w:rsidRPr="007A3FD9" w:rsidRDefault="00F34A1D" w:rsidP="00E3367E">
      <w:pPr>
        <w:spacing w:after="0" w:line="240" w:lineRule="auto"/>
        <w:jc w:val="both"/>
        <w:rPr>
          <w:rFonts w:ascii="Times New Roman" w:hAnsi="Times New Roman"/>
          <w:sz w:val="24"/>
          <w:szCs w:val="24"/>
        </w:rPr>
      </w:pPr>
    </w:p>
    <w:p w:rsidR="00681BC3" w:rsidRPr="004863DE" w:rsidRDefault="00681BC3" w:rsidP="00E3367E">
      <w:pPr>
        <w:pStyle w:val="Paragraphedeliste"/>
        <w:numPr>
          <w:ilvl w:val="0"/>
          <w:numId w:val="16"/>
        </w:numPr>
        <w:spacing w:after="0" w:line="240" w:lineRule="auto"/>
        <w:ind w:left="714" w:hanging="357"/>
        <w:contextualSpacing w:val="0"/>
        <w:jc w:val="both"/>
        <w:rPr>
          <w:rFonts w:ascii="Times New Roman" w:hAnsi="Times New Roman"/>
          <w:b/>
          <w:i/>
          <w:sz w:val="24"/>
          <w:szCs w:val="24"/>
        </w:rPr>
      </w:pPr>
      <w:r w:rsidRPr="007A3FD9">
        <w:rPr>
          <w:rFonts w:ascii="Times New Roman" w:hAnsi="Times New Roman"/>
          <w:b/>
          <w:sz w:val="24"/>
          <w:szCs w:val="24"/>
        </w:rPr>
        <w:lastRenderedPageBreak/>
        <w:t>Déterminer le régime fiscal des intérêts supportés par la SARL GREENSURF</w:t>
      </w:r>
      <w:r w:rsidRPr="007A3FD9">
        <w:rPr>
          <w:rFonts w:ascii="Times New Roman" w:hAnsi="Times New Roman"/>
          <w:sz w:val="24"/>
          <w:szCs w:val="24"/>
        </w:rPr>
        <w:t>.</w:t>
      </w:r>
    </w:p>
    <w:p w:rsidR="00681BC3" w:rsidRDefault="004863DE" w:rsidP="00E3367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86FB7" w:rsidRPr="004D033B" w:rsidRDefault="00886FB7" w:rsidP="00E3367E">
      <w:pPr>
        <w:spacing w:after="0" w:line="240" w:lineRule="auto"/>
        <w:jc w:val="both"/>
        <w:rPr>
          <w:rFonts w:ascii="Times New Roman" w:hAnsi="Times New Roman"/>
          <w:sz w:val="24"/>
          <w:szCs w:val="24"/>
        </w:rPr>
      </w:pPr>
    </w:p>
    <w:p w:rsidR="004863DE" w:rsidRDefault="004863DE" w:rsidP="00E3367E">
      <w:pPr>
        <w:pStyle w:val="Paragraphedeliste"/>
        <w:numPr>
          <w:ilvl w:val="0"/>
          <w:numId w:val="10"/>
        </w:numPr>
        <w:spacing w:after="0" w:line="240" w:lineRule="auto"/>
        <w:jc w:val="both"/>
        <w:rPr>
          <w:rFonts w:ascii="Times New Roman" w:hAnsi="Times New Roman"/>
          <w:sz w:val="24"/>
          <w:szCs w:val="24"/>
        </w:rPr>
      </w:pPr>
      <w:r w:rsidRPr="004863DE">
        <w:rPr>
          <w:rFonts w:ascii="Times New Roman" w:hAnsi="Times New Roman"/>
          <w:sz w:val="24"/>
          <w:szCs w:val="24"/>
          <w:u w:val="single"/>
        </w:rPr>
        <w:t>Règles applicables</w:t>
      </w:r>
      <w:r w:rsidRPr="004863DE">
        <w:rPr>
          <w:rFonts w:ascii="Times New Roman" w:hAnsi="Times New Roman"/>
          <w:sz w:val="24"/>
          <w:szCs w:val="24"/>
        </w:rPr>
        <w:t> :</w:t>
      </w:r>
    </w:p>
    <w:p w:rsidR="00F34A1D" w:rsidRPr="004863DE" w:rsidRDefault="00F34A1D" w:rsidP="00F34A1D">
      <w:pPr>
        <w:pStyle w:val="Paragraphedeliste"/>
        <w:spacing w:after="0" w:line="240" w:lineRule="auto"/>
        <w:jc w:val="both"/>
        <w:rPr>
          <w:rFonts w:ascii="Times New Roman" w:hAnsi="Times New Roman"/>
          <w:sz w:val="24"/>
          <w:szCs w:val="24"/>
        </w:rPr>
      </w:pPr>
    </w:p>
    <w:p w:rsidR="00681BC3" w:rsidRPr="004D033B" w:rsidRDefault="009146AF" w:rsidP="00E3367E">
      <w:pPr>
        <w:spacing w:after="0" w:line="240" w:lineRule="auto"/>
        <w:jc w:val="both"/>
        <w:rPr>
          <w:rFonts w:ascii="Times New Roman" w:hAnsi="Times New Roman"/>
          <w:sz w:val="24"/>
          <w:szCs w:val="24"/>
        </w:rPr>
      </w:pPr>
      <w:r w:rsidRPr="004D033B">
        <w:rPr>
          <w:rFonts w:ascii="Times New Roman" w:hAnsi="Times New Roman"/>
          <w:sz w:val="24"/>
          <w:szCs w:val="24"/>
        </w:rPr>
        <w:t>Les intérêts servis sont en principe déductibles sauf si la société est en situation de sous-capitalisation (CGI, art.212).</w:t>
      </w:r>
      <w:r w:rsidR="004863DE">
        <w:rPr>
          <w:rFonts w:ascii="Times New Roman" w:hAnsi="Times New Roman"/>
          <w:sz w:val="24"/>
          <w:szCs w:val="24"/>
        </w:rPr>
        <w:t xml:space="preserve"> </w:t>
      </w:r>
      <w:r w:rsidR="004863DE">
        <w:rPr>
          <w:rFonts w:ascii="Times New Roman" w:hAnsi="Times New Roman"/>
          <w:i/>
          <w:sz w:val="24"/>
          <w:szCs w:val="24"/>
        </w:rPr>
        <w:t xml:space="preserve"> </w:t>
      </w:r>
    </w:p>
    <w:p w:rsidR="009146AF" w:rsidRPr="004D033B" w:rsidRDefault="009146AF" w:rsidP="00E3367E">
      <w:pPr>
        <w:spacing w:after="0" w:line="240" w:lineRule="auto"/>
        <w:jc w:val="both"/>
        <w:rPr>
          <w:rFonts w:ascii="Times New Roman" w:hAnsi="Times New Roman"/>
          <w:sz w:val="24"/>
          <w:szCs w:val="24"/>
        </w:rPr>
      </w:pPr>
      <w:r w:rsidRPr="004D033B">
        <w:rPr>
          <w:rFonts w:ascii="Times New Roman" w:hAnsi="Times New Roman"/>
          <w:sz w:val="24"/>
          <w:szCs w:val="24"/>
        </w:rPr>
        <w:t>La sous-capitalisation suppose</w:t>
      </w:r>
      <w:r w:rsidR="00E976BD" w:rsidRPr="004D033B">
        <w:rPr>
          <w:rFonts w:ascii="Times New Roman" w:hAnsi="Times New Roman"/>
          <w:sz w:val="24"/>
          <w:szCs w:val="24"/>
        </w:rPr>
        <w:t>, pour être caractérisée,</w:t>
      </w:r>
      <w:r w:rsidRPr="004D033B">
        <w:rPr>
          <w:rFonts w:ascii="Times New Roman" w:hAnsi="Times New Roman"/>
          <w:sz w:val="24"/>
          <w:szCs w:val="24"/>
        </w:rPr>
        <w:t xml:space="preserve"> que trois conditions soient cumulativement respectées :</w:t>
      </w:r>
    </w:p>
    <w:p w:rsidR="009146AF" w:rsidRPr="004D033B" w:rsidRDefault="009146AF" w:rsidP="00E3367E">
      <w:pPr>
        <w:pStyle w:val="Paragraphedeliste"/>
        <w:numPr>
          <w:ilvl w:val="0"/>
          <w:numId w:val="9"/>
        </w:numPr>
        <w:spacing w:after="0" w:line="240" w:lineRule="auto"/>
        <w:jc w:val="both"/>
        <w:rPr>
          <w:rFonts w:ascii="Times New Roman" w:hAnsi="Times New Roman"/>
          <w:sz w:val="24"/>
          <w:szCs w:val="24"/>
        </w:rPr>
      </w:pPr>
      <w:r w:rsidRPr="004D033B">
        <w:rPr>
          <w:rFonts w:ascii="Times New Roman" w:hAnsi="Times New Roman"/>
          <w:sz w:val="24"/>
          <w:szCs w:val="24"/>
        </w:rPr>
        <w:t>les avances consenties par les entreprises  liées doivent excéder 1,5 fois le montant des capitaux propres ;</w:t>
      </w:r>
    </w:p>
    <w:p w:rsidR="009146AF" w:rsidRPr="004D033B" w:rsidRDefault="009146AF" w:rsidP="00E3367E">
      <w:pPr>
        <w:pStyle w:val="Paragraphedeliste"/>
        <w:numPr>
          <w:ilvl w:val="0"/>
          <w:numId w:val="9"/>
        </w:numPr>
        <w:spacing w:after="0" w:line="240" w:lineRule="auto"/>
        <w:jc w:val="both"/>
        <w:rPr>
          <w:rFonts w:ascii="Times New Roman" w:hAnsi="Times New Roman"/>
          <w:sz w:val="24"/>
          <w:szCs w:val="24"/>
        </w:rPr>
      </w:pPr>
      <w:r w:rsidRPr="004D033B">
        <w:rPr>
          <w:rFonts w:ascii="Times New Roman" w:hAnsi="Times New Roman"/>
          <w:sz w:val="24"/>
          <w:szCs w:val="24"/>
        </w:rPr>
        <w:t>les intérêts servis à ces entreprises liées excèdent 25 % du résultat courant avant impôt majoré desdits intérêts et des amortissements déduits ;</w:t>
      </w:r>
    </w:p>
    <w:p w:rsidR="009146AF" w:rsidRDefault="009146AF" w:rsidP="00E3367E">
      <w:pPr>
        <w:pStyle w:val="Paragraphedeliste"/>
        <w:numPr>
          <w:ilvl w:val="0"/>
          <w:numId w:val="9"/>
        </w:numPr>
        <w:spacing w:after="0" w:line="240" w:lineRule="auto"/>
        <w:jc w:val="both"/>
        <w:rPr>
          <w:rFonts w:ascii="Times New Roman" w:hAnsi="Times New Roman"/>
          <w:sz w:val="24"/>
          <w:szCs w:val="24"/>
        </w:rPr>
      </w:pPr>
      <w:r w:rsidRPr="004D033B">
        <w:rPr>
          <w:rFonts w:ascii="Times New Roman" w:hAnsi="Times New Roman"/>
          <w:sz w:val="24"/>
          <w:szCs w:val="24"/>
        </w:rPr>
        <w:t>le montant des intérêts servis excède le montant des intérêts reçus.</w:t>
      </w:r>
    </w:p>
    <w:p w:rsidR="004863DE" w:rsidRDefault="004863DE" w:rsidP="00E3367E">
      <w:pPr>
        <w:pStyle w:val="Paragraphedeliste"/>
        <w:spacing w:after="0" w:line="240" w:lineRule="auto"/>
        <w:jc w:val="both"/>
        <w:rPr>
          <w:rFonts w:ascii="Times New Roman" w:hAnsi="Times New Roman"/>
          <w:sz w:val="24"/>
          <w:szCs w:val="24"/>
        </w:rPr>
      </w:pPr>
    </w:p>
    <w:p w:rsidR="00886FB7" w:rsidRDefault="00886FB7" w:rsidP="00E3367E">
      <w:pPr>
        <w:pStyle w:val="Paragraphedeliste"/>
        <w:spacing w:after="0" w:line="240" w:lineRule="auto"/>
        <w:jc w:val="both"/>
        <w:rPr>
          <w:rFonts w:ascii="Times New Roman" w:hAnsi="Times New Roman"/>
          <w:sz w:val="24"/>
          <w:szCs w:val="24"/>
        </w:rPr>
      </w:pPr>
    </w:p>
    <w:p w:rsidR="004863DE" w:rsidRPr="004863DE" w:rsidRDefault="004863DE" w:rsidP="00E3367E">
      <w:pPr>
        <w:pStyle w:val="Paragraphedeliste"/>
        <w:numPr>
          <w:ilvl w:val="0"/>
          <w:numId w:val="10"/>
        </w:numPr>
        <w:spacing w:after="0" w:line="240" w:lineRule="auto"/>
        <w:jc w:val="both"/>
        <w:rPr>
          <w:rFonts w:ascii="Times New Roman" w:hAnsi="Times New Roman"/>
          <w:sz w:val="24"/>
          <w:szCs w:val="24"/>
        </w:rPr>
      </w:pPr>
      <w:r w:rsidRPr="004863DE">
        <w:rPr>
          <w:rFonts w:ascii="Times New Roman" w:hAnsi="Times New Roman"/>
          <w:sz w:val="24"/>
          <w:szCs w:val="24"/>
          <w:u w:val="single"/>
        </w:rPr>
        <w:t>Application</w:t>
      </w:r>
      <w:r w:rsidRPr="004863DE">
        <w:rPr>
          <w:rFonts w:ascii="Times New Roman" w:hAnsi="Times New Roman"/>
          <w:sz w:val="24"/>
          <w:szCs w:val="24"/>
        </w:rPr>
        <w:t> :</w:t>
      </w:r>
    </w:p>
    <w:p w:rsidR="004863DE" w:rsidRDefault="004863DE" w:rsidP="00E3367E">
      <w:pPr>
        <w:spacing w:after="0" w:line="240" w:lineRule="auto"/>
        <w:jc w:val="both"/>
        <w:rPr>
          <w:rFonts w:ascii="Times New Roman" w:hAnsi="Times New Roman"/>
          <w:sz w:val="24"/>
          <w:szCs w:val="24"/>
        </w:rPr>
      </w:pPr>
    </w:p>
    <w:p w:rsidR="004863DE" w:rsidRDefault="004863DE" w:rsidP="00E3367E">
      <w:pPr>
        <w:spacing w:after="0" w:line="240" w:lineRule="auto"/>
        <w:jc w:val="both"/>
        <w:rPr>
          <w:rFonts w:ascii="Times New Roman" w:hAnsi="Times New Roman"/>
          <w:sz w:val="24"/>
          <w:szCs w:val="24"/>
        </w:rPr>
      </w:pPr>
      <w:r>
        <w:rPr>
          <w:rFonts w:ascii="Times New Roman" w:hAnsi="Times New Roman"/>
          <w:sz w:val="24"/>
          <w:szCs w:val="24"/>
        </w:rPr>
        <w:t>Ici, l</w:t>
      </w:r>
      <w:r w:rsidRPr="004D033B">
        <w:rPr>
          <w:rFonts w:ascii="Times New Roman" w:hAnsi="Times New Roman"/>
          <w:sz w:val="24"/>
          <w:szCs w:val="24"/>
        </w:rPr>
        <w:t xml:space="preserve">a société GREENSURF et la société OUISKI n'ont pas de rapport de société-mère à filiale, mais </w:t>
      </w:r>
      <w:r w:rsidRPr="004863DE">
        <w:rPr>
          <w:rFonts w:ascii="Times New Roman" w:hAnsi="Times New Roman"/>
          <w:sz w:val="24"/>
          <w:szCs w:val="24"/>
          <w:u w:val="single"/>
        </w:rPr>
        <w:t>sont des entreprises liées</w:t>
      </w:r>
      <w:r w:rsidRPr="004D033B">
        <w:rPr>
          <w:rFonts w:ascii="Times New Roman" w:hAnsi="Times New Roman"/>
          <w:sz w:val="24"/>
          <w:szCs w:val="24"/>
        </w:rPr>
        <w:t>, dans la mesure où leur actionnariat est commun. En effet, la SA OUISKI est contrôlée par la SARL HUDA qui est contrôlée par M. GOLDSTARR, tandis que la société GREENSURF est contrôlée par M. GOLDSTARR, directement et aussi indirectement par l'intermédiaire de la SARL HUDA.</w:t>
      </w:r>
      <w:r>
        <w:rPr>
          <w:rFonts w:ascii="Times New Roman" w:hAnsi="Times New Roman"/>
          <w:sz w:val="24"/>
          <w:szCs w:val="24"/>
        </w:rPr>
        <w:t xml:space="preserve"> </w:t>
      </w:r>
    </w:p>
    <w:p w:rsidR="00F34A1D" w:rsidRDefault="00F34A1D" w:rsidP="00E3367E">
      <w:pPr>
        <w:spacing w:after="0" w:line="240" w:lineRule="auto"/>
        <w:jc w:val="both"/>
        <w:rPr>
          <w:rFonts w:ascii="Times New Roman" w:hAnsi="Times New Roman"/>
          <w:sz w:val="24"/>
          <w:szCs w:val="24"/>
        </w:rPr>
      </w:pPr>
    </w:p>
    <w:p w:rsidR="004863DE" w:rsidRDefault="004863DE" w:rsidP="00E3367E">
      <w:pPr>
        <w:spacing w:after="0" w:line="240" w:lineRule="auto"/>
        <w:jc w:val="both"/>
        <w:rPr>
          <w:rFonts w:ascii="Times New Roman" w:hAnsi="Times New Roman"/>
          <w:sz w:val="24"/>
          <w:szCs w:val="24"/>
        </w:rPr>
      </w:pPr>
      <w:r>
        <w:rPr>
          <w:rFonts w:ascii="Times New Roman" w:hAnsi="Times New Roman"/>
          <w:sz w:val="24"/>
          <w:szCs w:val="24"/>
        </w:rPr>
        <w:t>Par ailleurs</w:t>
      </w:r>
      <w:r w:rsidR="009146AF" w:rsidRPr="004D033B">
        <w:rPr>
          <w:rFonts w:ascii="Times New Roman" w:hAnsi="Times New Roman"/>
          <w:sz w:val="24"/>
          <w:szCs w:val="24"/>
        </w:rPr>
        <w:t xml:space="preserve">, les trois conditions sont remplies permettant de conclure à la sous-capitalisation. </w:t>
      </w:r>
    </w:p>
    <w:p w:rsidR="002A798C" w:rsidRDefault="009146AF" w:rsidP="00E3367E">
      <w:pPr>
        <w:spacing w:after="0" w:line="240" w:lineRule="auto"/>
        <w:jc w:val="both"/>
        <w:rPr>
          <w:rFonts w:ascii="Times New Roman" w:hAnsi="Times New Roman"/>
          <w:sz w:val="24"/>
          <w:szCs w:val="24"/>
        </w:rPr>
      </w:pPr>
      <w:r w:rsidRPr="004D033B">
        <w:rPr>
          <w:rFonts w:ascii="Times New Roman" w:hAnsi="Times New Roman"/>
          <w:sz w:val="24"/>
          <w:szCs w:val="24"/>
        </w:rPr>
        <w:t>Toutefois, la limitation de la déductibilité des intérêts en raison d’une situation de sous-capitalisation ne s’applique qu’à partir d’un montant de 150 000 € d’intérêts. Les intérêts versés s’élevant dans notre cas à 50 000 €, la limitation ne trouve pas à s’appliquer et les intérêts sont intégralement déductibles.</w:t>
      </w:r>
    </w:p>
    <w:p w:rsidR="00F34A1D" w:rsidRDefault="00F34A1D" w:rsidP="00E3367E">
      <w:pPr>
        <w:spacing w:after="0" w:line="240" w:lineRule="auto"/>
        <w:jc w:val="both"/>
        <w:rPr>
          <w:rFonts w:ascii="Times New Roman" w:hAnsi="Times New Roman"/>
          <w:sz w:val="24"/>
          <w:szCs w:val="24"/>
        </w:rPr>
      </w:pPr>
    </w:p>
    <w:p w:rsidR="00F34A1D" w:rsidRDefault="00F34A1D" w:rsidP="00E3367E">
      <w:pPr>
        <w:spacing w:after="0" w:line="240" w:lineRule="auto"/>
        <w:jc w:val="both"/>
        <w:rPr>
          <w:rFonts w:ascii="Times New Roman" w:hAnsi="Times New Roman"/>
          <w:sz w:val="24"/>
          <w:szCs w:val="24"/>
        </w:rPr>
      </w:pPr>
    </w:p>
    <w:p w:rsidR="00886FB7" w:rsidRPr="004D033B" w:rsidRDefault="00886FB7" w:rsidP="00E3367E">
      <w:pPr>
        <w:spacing w:after="0" w:line="240" w:lineRule="auto"/>
        <w:jc w:val="both"/>
        <w:rPr>
          <w:rFonts w:ascii="Times New Roman" w:hAnsi="Times New Roman"/>
          <w:sz w:val="24"/>
          <w:szCs w:val="24"/>
        </w:rPr>
      </w:pPr>
    </w:p>
    <w:p w:rsidR="00681BC3" w:rsidRPr="007A3FD9" w:rsidRDefault="00681BC3" w:rsidP="00E3367E">
      <w:pPr>
        <w:pStyle w:val="Paragraphedeliste"/>
        <w:numPr>
          <w:ilvl w:val="0"/>
          <w:numId w:val="16"/>
        </w:numPr>
        <w:spacing w:after="0" w:line="240" w:lineRule="auto"/>
        <w:ind w:left="714" w:hanging="357"/>
        <w:contextualSpacing w:val="0"/>
        <w:jc w:val="both"/>
        <w:rPr>
          <w:rFonts w:ascii="Times New Roman" w:hAnsi="Times New Roman"/>
          <w:b/>
          <w:sz w:val="24"/>
          <w:szCs w:val="24"/>
        </w:rPr>
      </w:pPr>
      <w:r w:rsidRPr="007A3FD9">
        <w:rPr>
          <w:rFonts w:ascii="Times New Roman" w:hAnsi="Times New Roman"/>
          <w:b/>
          <w:sz w:val="24"/>
          <w:szCs w:val="24"/>
        </w:rPr>
        <w:t>Rappeler la mission du conciliateur dans le cadre de la procédure judiciaire de conciliation.</w:t>
      </w:r>
    </w:p>
    <w:p w:rsidR="002F6095" w:rsidRDefault="002F6095" w:rsidP="00E3367E">
      <w:pPr>
        <w:spacing w:after="0" w:line="240" w:lineRule="auto"/>
        <w:jc w:val="both"/>
        <w:rPr>
          <w:rFonts w:ascii="Times New Roman" w:hAnsi="Times New Roman"/>
          <w:sz w:val="24"/>
          <w:szCs w:val="24"/>
        </w:rPr>
      </w:pPr>
    </w:p>
    <w:p w:rsidR="0070714D" w:rsidRPr="004D033B"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La conciliation est une procédure de prévention des difficultés des entreprises, ouverte aux entreprises qui rencontrent des difficultés et ne se trouvent pas en cessation des paiements depuis plus de 45 jours</w:t>
      </w:r>
      <w:r w:rsidR="002A798C" w:rsidRPr="004D033B">
        <w:rPr>
          <w:rFonts w:ascii="Times New Roman" w:hAnsi="Times New Roman"/>
          <w:sz w:val="24"/>
          <w:szCs w:val="24"/>
        </w:rPr>
        <w:t xml:space="preserve"> (Code de commerce, art.</w:t>
      </w:r>
      <w:r w:rsidR="009A77AE" w:rsidRPr="004D033B">
        <w:rPr>
          <w:rFonts w:ascii="Times New Roman" w:hAnsi="Times New Roman"/>
          <w:sz w:val="24"/>
          <w:szCs w:val="24"/>
        </w:rPr>
        <w:t xml:space="preserve"> </w:t>
      </w:r>
      <w:r w:rsidR="002A798C" w:rsidRPr="004D033B">
        <w:rPr>
          <w:rFonts w:ascii="Times New Roman" w:hAnsi="Times New Roman"/>
          <w:sz w:val="24"/>
          <w:szCs w:val="24"/>
        </w:rPr>
        <w:t>L 611-4)</w:t>
      </w:r>
      <w:r w:rsidRPr="004D033B">
        <w:rPr>
          <w:rFonts w:ascii="Times New Roman" w:hAnsi="Times New Roman"/>
          <w:sz w:val="24"/>
          <w:szCs w:val="24"/>
        </w:rPr>
        <w:t>. Le Tribunal désigne un conciliateur, pour une période maximale de quatre mois, éventuellement augmentée d’un mois</w:t>
      </w:r>
      <w:r w:rsidR="002A798C" w:rsidRPr="004D033B">
        <w:rPr>
          <w:rFonts w:ascii="Times New Roman" w:hAnsi="Times New Roman"/>
          <w:sz w:val="24"/>
          <w:szCs w:val="24"/>
        </w:rPr>
        <w:t xml:space="preserve"> (Code de commerce, art.</w:t>
      </w:r>
      <w:r w:rsidR="009A77AE" w:rsidRPr="004D033B">
        <w:rPr>
          <w:rFonts w:ascii="Times New Roman" w:hAnsi="Times New Roman"/>
          <w:sz w:val="24"/>
          <w:szCs w:val="24"/>
        </w:rPr>
        <w:t xml:space="preserve"> </w:t>
      </w:r>
      <w:r w:rsidR="002A798C" w:rsidRPr="004D033B">
        <w:rPr>
          <w:rFonts w:ascii="Times New Roman" w:hAnsi="Times New Roman"/>
          <w:sz w:val="24"/>
          <w:szCs w:val="24"/>
        </w:rPr>
        <w:t>L 611-6)</w:t>
      </w:r>
      <w:r w:rsidRPr="004D033B">
        <w:rPr>
          <w:rFonts w:ascii="Times New Roman" w:hAnsi="Times New Roman"/>
          <w:sz w:val="24"/>
          <w:szCs w:val="24"/>
        </w:rPr>
        <w:t xml:space="preserve">. </w:t>
      </w:r>
    </w:p>
    <w:p w:rsidR="004863DE" w:rsidRDefault="004863DE" w:rsidP="00E3367E">
      <w:pPr>
        <w:spacing w:after="0" w:line="240" w:lineRule="auto"/>
        <w:jc w:val="both"/>
        <w:rPr>
          <w:rFonts w:ascii="Times New Roman" w:hAnsi="Times New Roman"/>
          <w:sz w:val="24"/>
          <w:szCs w:val="24"/>
          <w:u w:val="single"/>
        </w:rPr>
      </w:pPr>
    </w:p>
    <w:p w:rsidR="00681BC3"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u w:val="single"/>
        </w:rPr>
        <w:t>Le conciliateur a mission</w:t>
      </w:r>
      <w:r w:rsidRPr="004D033B">
        <w:rPr>
          <w:rFonts w:ascii="Times New Roman" w:hAnsi="Times New Roman"/>
          <w:sz w:val="24"/>
          <w:szCs w:val="24"/>
        </w:rPr>
        <w:t xml:space="preserve"> de favoriser la conclusion d’un accord amiable entre le débiteur et ses principaux créanciers. Les discussions sont confidentielles et la conciliation ne suspend pas, en soi, les poursuites individuelles. Le conciliateur n’a pas de pouvoir de coercition et sa mission </w:t>
      </w:r>
      <w:proofErr w:type="gramStart"/>
      <w:r w:rsidRPr="004D033B">
        <w:rPr>
          <w:rFonts w:ascii="Times New Roman" w:hAnsi="Times New Roman"/>
          <w:sz w:val="24"/>
          <w:szCs w:val="24"/>
        </w:rPr>
        <w:t>a</w:t>
      </w:r>
      <w:proofErr w:type="gramEnd"/>
      <w:r w:rsidRPr="004D033B">
        <w:rPr>
          <w:rFonts w:ascii="Times New Roman" w:hAnsi="Times New Roman"/>
          <w:sz w:val="24"/>
          <w:szCs w:val="24"/>
        </w:rPr>
        <w:t xml:space="preserve"> vocation à se conclure par un accord non publié, entre les débiteurs et certains créanciers</w:t>
      </w:r>
      <w:r w:rsidR="009A77AE" w:rsidRPr="004D033B">
        <w:rPr>
          <w:rFonts w:ascii="Times New Roman" w:hAnsi="Times New Roman"/>
          <w:sz w:val="24"/>
          <w:szCs w:val="24"/>
        </w:rPr>
        <w:t xml:space="preserve"> (Code de commerce, art. L 611-</w:t>
      </w:r>
      <w:r w:rsidR="004863DE">
        <w:rPr>
          <w:rFonts w:ascii="Times New Roman" w:hAnsi="Times New Roman"/>
          <w:sz w:val="24"/>
          <w:szCs w:val="24"/>
        </w:rPr>
        <w:t>7</w:t>
      </w:r>
      <w:r w:rsidR="009A77AE" w:rsidRPr="004D033B">
        <w:rPr>
          <w:rFonts w:ascii="Times New Roman" w:hAnsi="Times New Roman"/>
          <w:sz w:val="24"/>
          <w:szCs w:val="24"/>
        </w:rPr>
        <w:t>)</w:t>
      </w:r>
      <w:r w:rsidRPr="004D033B">
        <w:rPr>
          <w:rFonts w:ascii="Times New Roman" w:hAnsi="Times New Roman"/>
          <w:sz w:val="24"/>
          <w:szCs w:val="24"/>
        </w:rPr>
        <w:t xml:space="preserve">. </w:t>
      </w:r>
    </w:p>
    <w:p w:rsidR="004863DE" w:rsidRDefault="004863DE" w:rsidP="00E3367E">
      <w:pPr>
        <w:spacing w:after="0" w:line="240" w:lineRule="auto"/>
        <w:jc w:val="both"/>
        <w:rPr>
          <w:rFonts w:ascii="Times New Roman" w:hAnsi="Times New Roman"/>
          <w:sz w:val="24"/>
          <w:szCs w:val="24"/>
        </w:rPr>
      </w:pPr>
    </w:p>
    <w:p w:rsidR="00F51427" w:rsidRDefault="00F51427" w:rsidP="00E3367E">
      <w:pPr>
        <w:spacing w:after="0" w:line="240" w:lineRule="auto"/>
        <w:jc w:val="both"/>
        <w:rPr>
          <w:rFonts w:ascii="Times New Roman" w:hAnsi="Times New Roman"/>
          <w:sz w:val="24"/>
          <w:szCs w:val="24"/>
        </w:rPr>
      </w:pPr>
    </w:p>
    <w:p w:rsidR="00886FB7" w:rsidRDefault="00886FB7" w:rsidP="00E3367E">
      <w:pPr>
        <w:spacing w:after="0" w:line="240" w:lineRule="auto"/>
        <w:jc w:val="both"/>
        <w:rPr>
          <w:rFonts w:ascii="Times New Roman" w:hAnsi="Times New Roman"/>
          <w:sz w:val="24"/>
          <w:szCs w:val="24"/>
        </w:rPr>
      </w:pPr>
    </w:p>
    <w:p w:rsidR="00886FB7" w:rsidRDefault="00886FB7" w:rsidP="00E3367E">
      <w:pPr>
        <w:spacing w:after="0" w:line="240" w:lineRule="auto"/>
        <w:jc w:val="both"/>
        <w:rPr>
          <w:rFonts w:ascii="Times New Roman" w:hAnsi="Times New Roman"/>
          <w:sz w:val="24"/>
          <w:szCs w:val="24"/>
        </w:rPr>
      </w:pPr>
    </w:p>
    <w:p w:rsidR="00886FB7" w:rsidRPr="004D033B" w:rsidRDefault="00886FB7" w:rsidP="00E3367E">
      <w:pPr>
        <w:spacing w:after="0" w:line="240" w:lineRule="auto"/>
        <w:jc w:val="both"/>
        <w:rPr>
          <w:rFonts w:ascii="Times New Roman" w:hAnsi="Times New Roman"/>
          <w:sz w:val="24"/>
          <w:szCs w:val="24"/>
        </w:rPr>
      </w:pPr>
    </w:p>
    <w:p w:rsidR="00681BC3" w:rsidRPr="007A3FD9" w:rsidRDefault="00681BC3" w:rsidP="00E3367E">
      <w:pPr>
        <w:pStyle w:val="Paragraphedeliste"/>
        <w:numPr>
          <w:ilvl w:val="0"/>
          <w:numId w:val="16"/>
        </w:numPr>
        <w:spacing w:after="0" w:line="240" w:lineRule="auto"/>
        <w:ind w:left="714" w:hanging="357"/>
        <w:contextualSpacing w:val="0"/>
        <w:jc w:val="both"/>
        <w:rPr>
          <w:rFonts w:ascii="Times New Roman" w:hAnsi="Times New Roman"/>
          <w:b/>
          <w:sz w:val="24"/>
          <w:szCs w:val="24"/>
        </w:rPr>
      </w:pPr>
      <w:r w:rsidRPr="007A3FD9">
        <w:rPr>
          <w:rFonts w:ascii="Times New Roman" w:hAnsi="Times New Roman"/>
          <w:b/>
          <w:sz w:val="24"/>
          <w:szCs w:val="24"/>
        </w:rPr>
        <w:lastRenderedPageBreak/>
        <w:t>Le commissaire aux comptes de la SA OUISKI doit-il déclencher une procédure d'alerte ?</w:t>
      </w:r>
    </w:p>
    <w:p w:rsidR="00886FB7" w:rsidRDefault="00886FB7" w:rsidP="00E3367E">
      <w:pPr>
        <w:spacing w:after="0" w:line="240" w:lineRule="auto"/>
        <w:jc w:val="both"/>
        <w:rPr>
          <w:rFonts w:ascii="Times New Roman" w:hAnsi="Times New Roman"/>
          <w:sz w:val="24"/>
          <w:szCs w:val="24"/>
        </w:rPr>
      </w:pPr>
    </w:p>
    <w:p w:rsidR="00E469A9" w:rsidRDefault="00E469A9" w:rsidP="00E3367E">
      <w:pPr>
        <w:spacing w:after="0" w:line="240" w:lineRule="auto"/>
        <w:jc w:val="both"/>
        <w:rPr>
          <w:rFonts w:ascii="Times New Roman" w:hAnsi="Times New Roman"/>
          <w:sz w:val="24"/>
          <w:szCs w:val="24"/>
        </w:rPr>
      </w:pPr>
      <w:r w:rsidRPr="00E469A9">
        <w:rPr>
          <w:rFonts w:ascii="Times New Roman" w:hAnsi="Times New Roman"/>
          <w:sz w:val="24"/>
          <w:szCs w:val="24"/>
        </w:rPr>
        <w:t>Lorsque le commissaire aux comptes constate l'existence de faits de nature à compromettre la continuité de l'exploitation, il doit déclencher une procédure d’alerte, qui est une procédure d’interpellation des organes de la société (Code de commerce, art. L 234-1).</w:t>
      </w:r>
    </w:p>
    <w:p w:rsidR="00886FB7" w:rsidRDefault="00886FB7" w:rsidP="00E3367E">
      <w:pPr>
        <w:spacing w:after="0" w:line="240" w:lineRule="auto"/>
        <w:jc w:val="both"/>
        <w:rPr>
          <w:rFonts w:ascii="Times New Roman" w:hAnsi="Times New Roman"/>
          <w:sz w:val="24"/>
          <w:szCs w:val="24"/>
        </w:rPr>
      </w:pPr>
    </w:p>
    <w:p w:rsidR="00681BC3"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 xml:space="preserve">La société OUISKI semble rencontrer des difficultés, puisqu’elle a des besoins importants de trésorerie, du fait notamment du redressement URSSAF. Or, elle a prêté des fonds importants à sa société-soeur, </w:t>
      </w:r>
      <w:r w:rsidR="0070714D" w:rsidRPr="004D033B">
        <w:rPr>
          <w:rFonts w:ascii="Times New Roman" w:hAnsi="Times New Roman"/>
          <w:sz w:val="24"/>
          <w:szCs w:val="24"/>
        </w:rPr>
        <w:t xml:space="preserve">la société </w:t>
      </w:r>
      <w:r w:rsidRPr="004D033B">
        <w:rPr>
          <w:rFonts w:ascii="Times New Roman" w:hAnsi="Times New Roman"/>
          <w:sz w:val="24"/>
          <w:szCs w:val="24"/>
        </w:rPr>
        <w:t>GREENSURF, mais le fait que celle-ci soit sous procédure de conciliation laisse à penser qu’elle-même rencontre des difficultés et ne pourra pas, à bref délai, rembourser sa dette envers</w:t>
      </w:r>
      <w:r w:rsidR="00752F97" w:rsidRPr="004D033B">
        <w:rPr>
          <w:rFonts w:ascii="Times New Roman" w:hAnsi="Times New Roman"/>
          <w:sz w:val="24"/>
          <w:szCs w:val="24"/>
        </w:rPr>
        <w:t xml:space="preserve"> la SA</w:t>
      </w:r>
      <w:r w:rsidRPr="004D033B">
        <w:rPr>
          <w:rFonts w:ascii="Times New Roman" w:hAnsi="Times New Roman"/>
          <w:sz w:val="24"/>
          <w:szCs w:val="24"/>
        </w:rPr>
        <w:t xml:space="preserve"> OUISKI.</w:t>
      </w:r>
    </w:p>
    <w:p w:rsidR="00886FB7" w:rsidRPr="004D033B" w:rsidRDefault="00886FB7" w:rsidP="00E3367E">
      <w:pPr>
        <w:spacing w:after="0" w:line="240" w:lineRule="auto"/>
        <w:jc w:val="both"/>
        <w:rPr>
          <w:rFonts w:ascii="Times New Roman" w:hAnsi="Times New Roman"/>
          <w:sz w:val="24"/>
          <w:szCs w:val="24"/>
        </w:rPr>
      </w:pPr>
    </w:p>
    <w:p w:rsidR="00E469A9"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 xml:space="preserve">Un besoin important de trésorerie qui ne peut être satisfait à court terme est de nature à compromettre la continuité de l’exploitation, sans qu’il en résulte nécessairement que la société </w:t>
      </w:r>
      <w:r w:rsidR="00752F97" w:rsidRPr="004D033B">
        <w:rPr>
          <w:rFonts w:ascii="Times New Roman" w:hAnsi="Times New Roman"/>
          <w:sz w:val="24"/>
          <w:szCs w:val="24"/>
        </w:rPr>
        <w:t>soit</w:t>
      </w:r>
      <w:r w:rsidRPr="004D033B">
        <w:rPr>
          <w:rFonts w:ascii="Times New Roman" w:hAnsi="Times New Roman"/>
          <w:sz w:val="24"/>
          <w:szCs w:val="24"/>
        </w:rPr>
        <w:t xml:space="preserve"> en état de cessation des paiements. </w:t>
      </w:r>
      <w:r w:rsidR="00E469A9">
        <w:rPr>
          <w:rFonts w:ascii="Times New Roman" w:hAnsi="Times New Roman"/>
          <w:sz w:val="24"/>
          <w:szCs w:val="24"/>
        </w:rPr>
        <w:t xml:space="preserve"> </w:t>
      </w:r>
    </w:p>
    <w:p w:rsidR="00886FB7" w:rsidRDefault="00886FB7" w:rsidP="00E3367E">
      <w:pPr>
        <w:spacing w:after="0" w:line="240" w:lineRule="auto"/>
        <w:jc w:val="both"/>
        <w:rPr>
          <w:rFonts w:ascii="Times New Roman" w:hAnsi="Times New Roman"/>
          <w:sz w:val="24"/>
          <w:szCs w:val="24"/>
        </w:rPr>
      </w:pPr>
    </w:p>
    <w:p w:rsidR="00681BC3" w:rsidRDefault="00681BC3" w:rsidP="00E3367E">
      <w:pPr>
        <w:spacing w:after="0" w:line="240" w:lineRule="auto"/>
        <w:jc w:val="both"/>
        <w:rPr>
          <w:rFonts w:ascii="Times New Roman" w:hAnsi="Times New Roman"/>
          <w:i/>
          <w:sz w:val="24"/>
          <w:szCs w:val="24"/>
        </w:rPr>
      </w:pPr>
      <w:r w:rsidRPr="004D033B">
        <w:rPr>
          <w:rFonts w:ascii="Times New Roman" w:hAnsi="Times New Roman"/>
          <w:sz w:val="24"/>
          <w:szCs w:val="24"/>
        </w:rPr>
        <w:t>En l’espèce, le commissaire aux comptes de la SA OUISKI doit donc déclencher la procédure d’alerte</w:t>
      </w:r>
      <w:r w:rsidRPr="00E469A9">
        <w:rPr>
          <w:rFonts w:ascii="Times New Roman" w:hAnsi="Times New Roman"/>
          <w:i/>
          <w:sz w:val="24"/>
          <w:szCs w:val="24"/>
        </w:rPr>
        <w:t>.</w:t>
      </w:r>
    </w:p>
    <w:p w:rsidR="00886FB7" w:rsidRDefault="00886FB7" w:rsidP="00E3367E">
      <w:pPr>
        <w:spacing w:after="0" w:line="240" w:lineRule="auto"/>
        <w:jc w:val="both"/>
        <w:rPr>
          <w:rFonts w:ascii="Times New Roman" w:hAnsi="Times New Roman"/>
          <w:i/>
          <w:sz w:val="24"/>
          <w:szCs w:val="24"/>
        </w:rPr>
      </w:pPr>
    </w:p>
    <w:p w:rsidR="00886FB7" w:rsidRPr="004D033B" w:rsidRDefault="00886FB7" w:rsidP="00E3367E">
      <w:pPr>
        <w:spacing w:after="0" w:line="240" w:lineRule="auto"/>
        <w:jc w:val="both"/>
        <w:rPr>
          <w:rFonts w:ascii="Times New Roman" w:hAnsi="Times New Roman"/>
          <w:sz w:val="24"/>
          <w:szCs w:val="24"/>
        </w:rPr>
      </w:pPr>
    </w:p>
    <w:p w:rsidR="00681BC3" w:rsidRPr="007A3FD9" w:rsidRDefault="00681BC3" w:rsidP="00E3367E">
      <w:pPr>
        <w:pStyle w:val="Paragraphedeliste"/>
        <w:numPr>
          <w:ilvl w:val="0"/>
          <w:numId w:val="16"/>
        </w:numPr>
        <w:spacing w:after="0" w:line="240" w:lineRule="auto"/>
        <w:ind w:left="714" w:hanging="357"/>
        <w:jc w:val="both"/>
        <w:rPr>
          <w:rFonts w:ascii="Times New Roman" w:hAnsi="Times New Roman"/>
          <w:b/>
          <w:sz w:val="24"/>
          <w:szCs w:val="24"/>
        </w:rPr>
      </w:pPr>
      <w:proofErr w:type="gramStart"/>
      <w:r w:rsidRPr="007A3FD9">
        <w:rPr>
          <w:rFonts w:ascii="Times New Roman" w:hAnsi="Times New Roman"/>
          <w:b/>
          <w:sz w:val="24"/>
          <w:szCs w:val="24"/>
        </w:rPr>
        <w:t>Quelle</w:t>
      </w:r>
      <w:proofErr w:type="gramEnd"/>
      <w:r w:rsidRPr="007A3FD9">
        <w:rPr>
          <w:rFonts w:ascii="Times New Roman" w:hAnsi="Times New Roman"/>
          <w:b/>
          <w:sz w:val="24"/>
          <w:szCs w:val="24"/>
        </w:rPr>
        <w:t xml:space="preserve"> doit être la réaction du commissaire aux comptes ?</w:t>
      </w:r>
    </w:p>
    <w:p w:rsidR="00886FB7" w:rsidRDefault="00886FB7" w:rsidP="00E3367E">
      <w:pPr>
        <w:spacing w:after="0" w:line="240" w:lineRule="auto"/>
        <w:jc w:val="both"/>
        <w:rPr>
          <w:rFonts w:ascii="Times New Roman" w:hAnsi="Times New Roman"/>
          <w:sz w:val="24"/>
          <w:szCs w:val="24"/>
        </w:rPr>
      </w:pPr>
    </w:p>
    <w:p w:rsidR="00E469A9"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Il n'appartient pas à une société commerciale de prendre à sa charge, sans aucune rétribution, une dépense qui ne l'intéresse pas. L'usage des biens d'une société dans l'intérêt d'un dirigeant ou de l'un de ses proches, et qui porte préjudice à la société, est ainsi sanctionné  par le délit d’abus de biens sociaux</w:t>
      </w:r>
      <w:r w:rsidR="0070714D" w:rsidRPr="004D033B">
        <w:rPr>
          <w:rFonts w:ascii="Times New Roman" w:hAnsi="Times New Roman"/>
          <w:sz w:val="24"/>
          <w:szCs w:val="24"/>
        </w:rPr>
        <w:t xml:space="preserve"> (Code de commerce, art. L 242-6)</w:t>
      </w:r>
      <w:r w:rsidRPr="004D033B">
        <w:rPr>
          <w:rFonts w:ascii="Times New Roman" w:hAnsi="Times New Roman"/>
          <w:sz w:val="24"/>
          <w:szCs w:val="24"/>
        </w:rPr>
        <w:t>.</w:t>
      </w:r>
    </w:p>
    <w:p w:rsidR="00E469A9" w:rsidRDefault="00E469A9" w:rsidP="00E3367E">
      <w:pPr>
        <w:spacing w:after="0" w:line="240" w:lineRule="auto"/>
        <w:jc w:val="both"/>
        <w:rPr>
          <w:rFonts w:ascii="Times New Roman" w:hAnsi="Times New Roman"/>
          <w:sz w:val="24"/>
          <w:szCs w:val="24"/>
        </w:rPr>
      </w:pPr>
    </w:p>
    <w:p w:rsidR="00681BC3" w:rsidRDefault="00681BC3" w:rsidP="00E3367E">
      <w:pPr>
        <w:spacing w:after="0" w:line="240" w:lineRule="auto"/>
        <w:jc w:val="both"/>
        <w:rPr>
          <w:rFonts w:ascii="Times New Roman" w:hAnsi="Times New Roman"/>
          <w:sz w:val="24"/>
          <w:szCs w:val="24"/>
        </w:rPr>
      </w:pPr>
      <w:r w:rsidRPr="004D033B">
        <w:rPr>
          <w:rFonts w:ascii="Times New Roman" w:hAnsi="Times New Roman"/>
          <w:sz w:val="24"/>
          <w:szCs w:val="24"/>
        </w:rPr>
        <w:t>En l'espèce, la réparation du 4x4 ne concerne nullement la SA OUISKI, mais exclusivement M. AIDAILVAISSE, le père de Mme OURSENPLUS.</w:t>
      </w:r>
    </w:p>
    <w:p w:rsidR="00886FB7" w:rsidRPr="004D033B" w:rsidRDefault="00886FB7" w:rsidP="00E3367E">
      <w:pPr>
        <w:spacing w:after="0" w:line="240" w:lineRule="auto"/>
        <w:jc w:val="both"/>
        <w:rPr>
          <w:rFonts w:ascii="Times New Roman" w:hAnsi="Times New Roman"/>
          <w:sz w:val="24"/>
          <w:szCs w:val="24"/>
        </w:rPr>
      </w:pPr>
    </w:p>
    <w:p w:rsidR="0070714D" w:rsidRDefault="0070714D" w:rsidP="00E3367E">
      <w:pPr>
        <w:spacing w:after="0" w:line="240" w:lineRule="auto"/>
        <w:jc w:val="both"/>
        <w:rPr>
          <w:rFonts w:ascii="Times New Roman" w:hAnsi="Times New Roman"/>
          <w:sz w:val="24"/>
          <w:szCs w:val="24"/>
        </w:rPr>
      </w:pPr>
      <w:r w:rsidRPr="004D033B">
        <w:rPr>
          <w:rFonts w:ascii="Times New Roman" w:hAnsi="Times New Roman"/>
          <w:sz w:val="24"/>
          <w:szCs w:val="24"/>
        </w:rPr>
        <w:t>Le commissaire aux comptes qui constate ainsi que l’élément matériel du délit d’abus de biens sociaux est établi doit le révéler au Procureur de la République en vertu de son obligation de révélation des faits délictueux (Code de commerce, art. L 823-12).</w:t>
      </w:r>
    </w:p>
    <w:p w:rsidR="00886FB7" w:rsidRPr="004D033B" w:rsidRDefault="00886FB7" w:rsidP="00E3367E">
      <w:pPr>
        <w:spacing w:after="0" w:line="240" w:lineRule="auto"/>
        <w:jc w:val="both"/>
        <w:rPr>
          <w:rFonts w:ascii="Times New Roman" w:hAnsi="Times New Roman"/>
          <w:sz w:val="24"/>
          <w:szCs w:val="24"/>
        </w:rPr>
      </w:pPr>
    </w:p>
    <w:p w:rsidR="00681BC3" w:rsidRDefault="00681BC3" w:rsidP="00E3367E">
      <w:pPr>
        <w:spacing w:after="0" w:line="240" w:lineRule="auto"/>
        <w:jc w:val="both"/>
        <w:rPr>
          <w:rFonts w:ascii="Times New Roman" w:hAnsi="Times New Roman"/>
          <w:color w:val="000000"/>
          <w:sz w:val="24"/>
          <w:szCs w:val="24"/>
        </w:rPr>
      </w:pPr>
      <w:r w:rsidRPr="004D033B">
        <w:rPr>
          <w:rFonts w:ascii="Times New Roman" w:hAnsi="Times New Roman"/>
          <w:sz w:val="24"/>
          <w:szCs w:val="24"/>
        </w:rPr>
        <w:t>Toutefois, cette dépense</w:t>
      </w:r>
      <w:r w:rsidR="0070714D" w:rsidRPr="004D033B">
        <w:rPr>
          <w:rFonts w:ascii="Times New Roman" w:hAnsi="Times New Roman"/>
          <w:sz w:val="24"/>
          <w:szCs w:val="24"/>
        </w:rPr>
        <w:t xml:space="preserve"> de 7</w:t>
      </w:r>
      <w:r w:rsidR="0006064D">
        <w:rPr>
          <w:rFonts w:ascii="Times New Roman" w:hAnsi="Times New Roman"/>
          <w:sz w:val="24"/>
          <w:szCs w:val="24"/>
        </w:rPr>
        <w:t> </w:t>
      </w:r>
      <w:r w:rsidR="0070714D" w:rsidRPr="004D033B">
        <w:rPr>
          <w:rFonts w:ascii="Times New Roman" w:hAnsi="Times New Roman"/>
          <w:sz w:val="24"/>
          <w:szCs w:val="24"/>
        </w:rPr>
        <w:t>000</w:t>
      </w:r>
      <w:r w:rsidR="0006064D">
        <w:rPr>
          <w:rFonts w:ascii="Times New Roman" w:hAnsi="Times New Roman"/>
          <w:sz w:val="24"/>
          <w:szCs w:val="24"/>
        </w:rPr>
        <w:t> </w:t>
      </w:r>
      <w:r w:rsidR="0070714D" w:rsidRPr="004D033B">
        <w:rPr>
          <w:rFonts w:ascii="Times New Roman" w:hAnsi="Times New Roman"/>
          <w:sz w:val="24"/>
          <w:szCs w:val="24"/>
        </w:rPr>
        <w:t>€</w:t>
      </w:r>
      <w:r w:rsidRPr="004D033B">
        <w:rPr>
          <w:rFonts w:ascii="Times New Roman" w:hAnsi="Times New Roman"/>
          <w:sz w:val="24"/>
          <w:szCs w:val="24"/>
        </w:rPr>
        <w:t xml:space="preserve"> est d'un montant inférieur à la dette de la SA OUISKI envers M. AIDAILVAISSE</w:t>
      </w:r>
      <w:r w:rsidR="0006064D">
        <w:rPr>
          <w:rFonts w:ascii="Times New Roman" w:hAnsi="Times New Roman"/>
          <w:sz w:val="24"/>
          <w:szCs w:val="24"/>
        </w:rPr>
        <w:t xml:space="preserve"> de 10 000 </w:t>
      </w:r>
      <w:r w:rsidR="0070714D" w:rsidRPr="004D033B">
        <w:rPr>
          <w:rFonts w:ascii="Times New Roman" w:hAnsi="Times New Roman"/>
          <w:sz w:val="24"/>
          <w:szCs w:val="24"/>
        </w:rPr>
        <w:t>€</w:t>
      </w:r>
      <w:r w:rsidRPr="004D033B">
        <w:rPr>
          <w:rFonts w:ascii="Times New Roman" w:hAnsi="Times New Roman"/>
          <w:sz w:val="24"/>
          <w:szCs w:val="24"/>
        </w:rPr>
        <w:t>. Les deux soldes sont certains</w:t>
      </w:r>
      <w:r w:rsidR="0070714D" w:rsidRPr="004D033B">
        <w:rPr>
          <w:rFonts w:ascii="Times New Roman" w:hAnsi="Times New Roman"/>
          <w:sz w:val="24"/>
          <w:szCs w:val="24"/>
        </w:rPr>
        <w:t>, liquides</w:t>
      </w:r>
      <w:r w:rsidRPr="004D033B">
        <w:rPr>
          <w:rFonts w:ascii="Times New Roman" w:hAnsi="Times New Roman"/>
          <w:sz w:val="24"/>
          <w:szCs w:val="24"/>
        </w:rPr>
        <w:t xml:space="preserve"> et exigibles : une compensation peut donc s'appliquer entre ces sommes</w:t>
      </w:r>
      <w:r w:rsidR="0070714D" w:rsidRPr="004D033B">
        <w:rPr>
          <w:rFonts w:ascii="Times New Roman" w:hAnsi="Times New Roman"/>
          <w:sz w:val="24"/>
          <w:szCs w:val="24"/>
        </w:rPr>
        <w:t xml:space="preserve"> (Code civil, art. 1289)</w:t>
      </w:r>
      <w:r w:rsidRPr="004D033B">
        <w:rPr>
          <w:rFonts w:ascii="Times New Roman" w:hAnsi="Times New Roman"/>
          <w:color w:val="000000"/>
          <w:sz w:val="24"/>
          <w:szCs w:val="24"/>
        </w:rPr>
        <w:t xml:space="preserve">. </w:t>
      </w:r>
    </w:p>
    <w:p w:rsidR="00886FB7" w:rsidRPr="004D033B" w:rsidRDefault="00886FB7" w:rsidP="00E3367E">
      <w:pPr>
        <w:spacing w:after="0" w:line="240" w:lineRule="auto"/>
        <w:jc w:val="both"/>
        <w:rPr>
          <w:rFonts w:ascii="Times New Roman" w:hAnsi="Times New Roman"/>
          <w:color w:val="000000"/>
          <w:sz w:val="24"/>
          <w:szCs w:val="24"/>
        </w:rPr>
      </w:pPr>
    </w:p>
    <w:p w:rsidR="00987BE5" w:rsidRPr="00E469A9" w:rsidRDefault="0070714D" w:rsidP="00E3367E">
      <w:pPr>
        <w:pStyle w:val="PrformatHTML"/>
        <w:jc w:val="both"/>
        <w:rPr>
          <w:rFonts w:ascii="Times New Roman" w:hAnsi="Times New Roman" w:cs="Times New Roman"/>
          <w:i/>
          <w:sz w:val="24"/>
          <w:szCs w:val="24"/>
        </w:rPr>
      </w:pPr>
      <w:r w:rsidRPr="004D033B">
        <w:rPr>
          <w:rFonts w:ascii="Times New Roman" w:hAnsi="Times New Roman" w:cs="Times New Roman"/>
          <w:color w:val="000000"/>
          <w:sz w:val="24"/>
          <w:szCs w:val="24"/>
        </w:rPr>
        <w:t>De ce fait, la prise en charge de la réparation du 4X4 vaut paiement partiel de la dette de la SA OUISKI envers M. AIDAILVAISSE. Le</w:t>
      </w:r>
      <w:r w:rsidR="00A87468">
        <w:rPr>
          <w:rFonts w:ascii="Times New Roman" w:hAnsi="Times New Roman" w:cs="Times New Roman"/>
          <w:color w:val="000000"/>
          <w:sz w:val="24"/>
          <w:szCs w:val="24"/>
        </w:rPr>
        <w:t xml:space="preserve"> commissaire aux comptes devra </w:t>
      </w:r>
      <w:r w:rsidRPr="004D033B">
        <w:rPr>
          <w:rFonts w:ascii="Times New Roman" w:hAnsi="Times New Roman" w:cs="Times New Roman"/>
          <w:color w:val="000000"/>
          <w:sz w:val="24"/>
          <w:szCs w:val="24"/>
        </w:rPr>
        <w:t>interroger la société pour s’assurer que la société procède bien à la compensation des soldes.</w:t>
      </w:r>
      <w:r w:rsidR="00987BE5" w:rsidRPr="004D033B">
        <w:rPr>
          <w:rFonts w:ascii="Times New Roman" w:hAnsi="Times New Roman" w:cs="Times New Roman"/>
        </w:rPr>
        <w:t xml:space="preserve"> </w:t>
      </w:r>
      <w:r w:rsidR="00A87468" w:rsidRPr="00A87468">
        <w:rPr>
          <w:rFonts w:ascii="Times New Roman" w:hAnsi="Times New Roman" w:cs="Times New Roman"/>
          <w:sz w:val="24"/>
          <w:szCs w:val="24"/>
        </w:rPr>
        <w:t>S</w:t>
      </w:r>
      <w:r w:rsidR="00987BE5" w:rsidRPr="00A87468">
        <w:rPr>
          <w:rFonts w:ascii="Times New Roman" w:hAnsi="Times New Roman" w:cs="Times New Roman"/>
          <w:sz w:val="24"/>
          <w:szCs w:val="24"/>
        </w:rPr>
        <w:t>i</w:t>
      </w:r>
      <w:r w:rsidR="00987BE5" w:rsidRPr="004D033B">
        <w:rPr>
          <w:rFonts w:ascii="Times New Roman" w:hAnsi="Times New Roman" w:cs="Times New Roman"/>
          <w:sz w:val="24"/>
          <w:szCs w:val="24"/>
        </w:rPr>
        <w:t xml:space="preserve"> la SA n'en faisait rien et réglait le solde de 10.000</w:t>
      </w:r>
      <w:r w:rsidR="0006064D">
        <w:rPr>
          <w:rFonts w:ascii="Times New Roman" w:hAnsi="Times New Roman" w:cs="Times New Roman"/>
          <w:sz w:val="24"/>
          <w:szCs w:val="24"/>
        </w:rPr>
        <w:t> </w:t>
      </w:r>
      <w:r w:rsidR="00987BE5" w:rsidRPr="004D033B">
        <w:rPr>
          <w:rFonts w:ascii="Times New Roman" w:hAnsi="Times New Roman" w:cs="Times New Roman"/>
          <w:sz w:val="24"/>
          <w:szCs w:val="24"/>
        </w:rPr>
        <w:t xml:space="preserve">€, la situation serait celle analysée </w:t>
      </w:r>
      <w:r w:rsidR="00E469A9">
        <w:rPr>
          <w:rFonts w:ascii="Times New Roman" w:hAnsi="Times New Roman" w:cs="Times New Roman"/>
          <w:sz w:val="24"/>
          <w:szCs w:val="24"/>
        </w:rPr>
        <w:t>en abus de biens sociaux.</w:t>
      </w:r>
    </w:p>
    <w:p w:rsidR="00681BC3" w:rsidRPr="004D033B" w:rsidRDefault="00681BC3" w:rsidP="00987BE5">
      <w:pPr>
        <w:jc w:val="both"/>
        <w:rPr>
          <w:rFonts w:ascii="Times New Roman" w:hAnsi="Times New Roman"/>
          <w:color w:val="000000"/>
          <w:sz w:val="24"/>
          <w:szCs w:val="24"/>
        </w:rPr>
      </w:pPr>
    </w:p>
    <w:sectPr w:rsidR="00681BC3" w:rsidRPr="004D033B" w:rsidSect="008427B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4D" w:rsidRDefault="0087294D" w:rsidP="005F6294">
      <w:pPr>
        <w:spacing w:after="0" w:line="240" w:lineRule="auto"/>
      </w:pPr>
      <w:r>
        <w:separator/>
      </w:r>
    </w:p>
  </w:endnote>
  <w:endnote w:type="continuationSeparator" w:id="0">
    <w:p w:rsidR="0087294D" w:rsidRDefault="0087294D" w:rsidP="005F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1F" w:rsidRDefault="00DC4E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76" w:rsidRDefault="00676176" w:rsidP="00676176">
    <w:pPr>
      <w:pStyle w:val="Pieddepage"/>
      <w:framePr w:wrap="around" w:vAnchor="text" w:hAnchor="margin" w:xAlign="right" w:y="1"/>
      <w:tabs>
        <w:tab w:val="clear" w:pos="4536"/>
        <w:tab w:val="center" w:pos="142"/>
      </w:tabs>
      <w:ind w:right="-73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A76CE7">
      <w:rPr>
        <w:rStyle w:val="Numrodepage"/>
        <w:noProof/>
      </w:rPr>
      <w:t>1</w:t>
    </w:r>
    <w:r>
      <w:rPr>
        <w:rStyle w:val="Numrodepage"/>
      </w:rPr>
      <w:fldChar w:fldCharType="end"/>
    </w:r>
  </w:p>
  <w:p w:rsidR="000B4869" w:rsidRPr="00676176" w:rsidRDefault="00676176" w:rsidP="00676176">
    <w:pPr>
      <w:pStyle w:val="Pieddepage"/>
      <w:tabs>
        <w:tab w:val="clear" w:pos="9072"/>
        <w:tab w:val="right" w:pos="9781"/>
      </w:tabs>
      <w:ind w:right="360"/>
      <w:rPr>
        <w:sz w:val="20"/>
        <w:szCs w:val="20"/>
      </w:rPr>
    </w:pPr>
    <w:r w:rsidRPr="00A111B8">
      <w:rPr>
        <w:sz w:val="20"/>
        <w:szCs w:val="20"/>
      </w:rPr>
      <w:t>©Comptazine – Reproduction interdite – DSCG Gestion Juridique, Fiscale et Sociale 201</w:t>
    </w:r>
    <w:r>
      <w:rPr>
        <w:sz w:val="20"/>
        <w:szCs w:val="20"/>
      </w:rPr>
      <w:t>3</w:t>
    </w:r>
    <w:r w:rsidRPr="00A111B8">
      <w:rPr>
        <w:sz w:val="20"/>
        <w:szCs w:val="20"/>
      </w:rPr>
      <w:tab/>
    </w:r>
    <w:r w:rsidRPr="00A111B8">
      <w:rPr>
        <w:rStyle w:val="Numrodepage"/>
        <w:sz w:val="20"/>
        <w:szCs w:val="20"/>
      </w:rPr>
      <w:fldChar w:fldCharType="begin"/>
    </w:r>
    <w:r w:rsidRPr="00A111B8">
      <w:rPr>
        <w:rStyle w:val="Numrodepage"/>
        <w:sz w:val="20"/>
        <w:szCs w:val="20"/>
      </w:rPr>
      <w:instrText xml:space="preserve"> PAGE </w:instrText>
    </w:r>
    <w:r w:rsidRPr="00A111B8">
      <w:rPr>
        <w:rStyle w:val="Numrodepage"/>
        <w:sz w:val="20"/>
        <w:szCs w:val="20"/>
      </w:rPr>
      <w:fldChar w:fldCharType="separate"/>
    </w:r>
    <w:r w:rsidR="00A76CE7">
      <w:rPr>
        <w:rStyle w:val="Numrodepage"/>
        <w:noProof/>
        <w:sz w:val="20"/>
        <w:szCs w:val="20"/>
      </w:rPr>
      <w:t>1</w:t>
    </w:r>
    <w:r w:rsidRPr="00A111B8">
      <w:rPr>
        <w:rStyle w:val="Numrodepage"/>
        <w:sz w:val="20"/>
        <w:szCs w:val="20"/>
      </w:rPr>
      <w:fldChar w:fldCharType="end"/>
    </w:r>
    <w:r w:rsidRPr="00A111B8">
      <w:rPr>
        <w:rStyle w:val="Numrodepage"/>
        <w:sz w:val="20"/>
        <w:szCs w:val="20"/>
      </w:rPr>
      <w:t>/</w:t>
    </w:r>
    <w:r w:rsidRPr="00A111B8">
      <w:rPr>
        <w:rStyle w:val="Numrodepage"/>
        <w:sz w:val="20"/>
        <w:szCs w:val="20"/>
      </w:rPr>
      <w:fldChar w:fldCharType="begin"/>
    </w:r>
    <w:r w:rsidRPr="00A111B8">
      <w:rPr>
        <w:rStyle w:val="Numrodepage"/>
        <w:sz w:val="20"/>
        <w:szCs w:val="20"/>
      </w:rPr>
      <w:instrText xml:space="preserve"> NUMPAGES </w:instrText>
    </w:r>
    <w:r w:rsidRPr="00A111B8">
      <w:rPr>
        <w:rStyle w:val="Numrodepage"/>
        <w:sz w:val="20"/>
        <w:szCs w:val="20"/>
      </w:rPr>
      <w:fldChar w:fldCharType="separate"/>
    </w:r>
    <w:r w:rsidR="00A76CE7">
      <w:rPr>
        <w:rStyle w:val="Numrodepage"/>
        <w:noProof/>
        <w:sz w:val="20"/>
        <w:szCs w:val="20"/>
      </w:rPr>
      <w:t>12</w:t>
    </w:r>
    <w:r w:rsidRPr="00A111B8">
      <w:rPr>
        <w:rStyle w:val="Numrodepage"/>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1F" w:rsidRDefault="00DC4E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4D" w:rsidRDefault="0087294D" w:rsidP="005F6294">
      <w:pPr>
        <w:spacing w:after="0" w:line="240" w:lineRule="auto"/>
      </w:pPr>
      <w:r>
        <w:separator/>
      </w:r>
    </w:p>
  </w:footnote>
  <w:footnote w:type="continuationSeparator" w:id="0">
    <w:p w:rsidR="0087294D" w:rsidRDefault="0087294D" w:rsidP="005F6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1F" w:rsidRDefault="00DC4E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76" w:rsidRDefault="00BC7C42" w:rsidP="00676176">
    <w:pPr>
      <w:pStyle w:val="En-tte"/>
      <w:ind w:left="3252" w:right="849" w:firstLine="3828"/>
      <w:rPr>
        <w:rStyle w:val="Lienhypertexte"/>
        <w:rFonts w:cs="Calibri"/>
        <w:color w:val="E36C0A"/>
        <w:sz w:val="18"/>
      </w:rPr>
    </w:pPr>
    <w:r>
      <w:rPr>
        <w:noProof/>
        <w:lang w:eastAsia="fr-FR"/>
      </w:rPr>
      <w:drawing>
        <wp:anchor distT="0" distB="0" distL="114300" distR="114300" simplePos="0" relativeHeight="251659264" behindDoc="1" locked="0" layoutInCell="1" allowOverlap="1">
          <wp:simplePos x="0" y="0"/>
          <wp:positionH relativeFrom="margin">
            <wp:posOffset>5659755</wp:posOffset>
          </wp:positionH>
          <wp:positionV relativeFrom="margin">
            <wp:posOffset>-442595</wp:posOffset>
          </wp:positionV>
          <wp:extent cx="381000" cy="381000"/>
          <wp:effectExtent l="0" t="0" r="0" b="0"/>
          <wp:wrapNone/>
          <wp:docPr id="1" name="Image 6" descr="Description : Description : C:\Mes documents\ACCOUNTANCY SIMPLY\Projet\logos_Comptazine_FB_TW-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C:\Mes documents\ACCOUNTANCY SIMPLY\Projet\logos_Comptazine_FB_TW-40-x-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676176">
        <w:rPr>
          <w:rStyle w:val="Lienhypertexte"/>
          <w:rFonts w:cs="Calibri"/>
          <w:color w:val="E36C0A"/>
          <w:sz w:val="18"/>
        </w:rPr>
        <w:t>www.comptazine.fr</w:t>
      </w:r>
    </w:hyperlink>
  </w:p>
  <w:p w:rsidR="00DC4E1F" w:rsidRPr="00676176" w:rsidRDefault="00676176" w:rsidP="00676176">
    <w:pPr>
      <w:pStyle w:val="En-tte"/>
      <w:ind w:left="3252" w:right="849" w:firstLine="382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013490" o:spid="_x0000_s2050" type="#_x0000_t75" style="position:absolute;left:0;text-align:left;margin-left:0;margin-top:0;width:495.9pt;height:495.9pt;z-index:-251656192;mso-position-horizontal:center;mso-position-horizontal-relative:margin;mso-position-vertical:center;mso-position-vertical-relative:margin" o:allowincell="f">
          <v:imagedata r:id="rId3" o:title="logos_Comptazine_NB-OPACITE-20-200-x-200"/>
          <w10:wrap anchorx="margin" anchory="margin"/>
        </v:shape>
      </w:pic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1F" w:rsidRDefault="00DC4E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939"/>
    <w:multiLevelType w:val="hybridMultilevel"/>
    <w:tmpl w:val="6EF068D2"/>
    <w:lvl w:ilvl="0" w:tplc="F776F42A">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
    <w:nsid w:val="0F2C4A7E"/>
    <w:multiLevelType w:val="hybridMultilevel"/>
    <w:tmpl w:val="0D60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C557C"/>
    <w:multiLevelType w:val="hybridMultilevel"/>
    <w:tmpl w:val="6EF068D2"/>
    <w:lvl w:ilvl="0" w:tplc="F776F42A">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3">
    <w:nsid w:val="12126A7C"/>
    <w:multiLevelType w:val="hybridMultilevel"/>
    <w:tmpl w:val="0AC8DD1C"/>
    <w:lvl w:ilvl="0" w:tplc="F4C23FCC">
      <w:start w:val="2010"/>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6DE0900"/>
    <w:multiLevelType w:val="hybridMultilevel"/>
    <w:tmpl w:val="CB561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433784"/>
    <w:multiLevelType w:val="hybridMultilevel"/>
    <w:tmpl w:val="44722D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AE06C4"/>
    <w:multiLevelType w:val="hybridMultilevel"/>
    <w:tmpl w:val="4D9E2886"/>
    <w:lvl w:ilvl="0" w:tplc="E330422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4A3FD9"/>
    <w:multiLevelType w:val="hybridMultilevel"/>
    <w:tmpl w:val="0F5C9D4C"/>
    <w:lvl w:ilvl="0" w:tplc="DD92E440">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F95183"/>
    <w:multiLevelType w:val="hybridMultilevel"/>
    <w:tmpl w:val="3F3C3570"/>
    <w:lvl w:ilvl="0" w:tplc="54FA8E8C">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8F2E80"/>
    <w:multiLevelType w:val="hybridMultilevel"/>
    <w:tmpl w:val="F86CDF64"/>
    <w:lvl w:ilvl="0" w:tplc="0930EF7C">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311D3C"/>
    <w:multiLevelType w:val="hybridMultilevel"/>
    <w:tmpl w:val="B0E27DE2"/>
    <w:lvl w:ilvl="0" w:tplc="F3B0696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1741B6D"/>
    <w:multiLevelType w:val="hybridMultilevel"/>
    <w:tmpl w:val="012E8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B6A3CCA"/>
    <w:multiLevelType w:val="hybridMultilevel"/>
    <w:tmpl w:val="4094F710"/>
    <w:lvl w:ilvl="0" w:tplc="A142E17E">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3">
    <w:nsid w:val="63DF2405"/>
    <w:multiLevelType w:val="hybridMultilevel"/>
    <w:tmpl w:val="453C7896"/>
    <w:lvl w:ilvl="0" w:tplc="C308B74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8C87E88"/>
    <w:multiLevelType w:val="hybridMultilevel"/>
    <w:tmpl w:val="F83813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8F66C35"/>
    <w:multiLevelType w:val="hybridMultilevel"/>
    <w:tmpl w:val="F64E96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4"/>
  </w:num>
  <w:num w:numId="5">
    <w:abstractNumId w:val="6"/>
  </w:num>
  <w:num w:numId="6">
    <w:abstractNumId w:val="7"/>
  </w:num>
  <w:num w:numId="7">
    <w:abstractNumId w:val="5"/>
  </w:num>
  <w:num w:numId="8">
    <w:abstractNumId w:val="8"/>
  </w:num>
  <w:num w:numId="9">
    <w:abstractNumId w:val="9"/>
  </w:num>
  <w:num w:numId="10">
    <w:abstractNumId w:val="1"/>
  </w:num>
  <w:num w:numId="11">
    <w:abstractNumId w:val="13"/>
  </w:num>
  <w:num w:numId="12">
    <w:abstractNumId w:val="15"/>
  </w:num>
  <w:num w:numId="13">
    <w:abstractNumId w:val="2"/>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CD"/>
    <w:rsid w:val="00007821"/>
    <w:rsid w:val="0001407C"/>
    <w:rsid w:val="00022841"/>
    <w:rsid w:val="00024A10"/>
    <w:rsid w:val="0002697A"/>
    <w:rsid w:val="00032DD4"/>
    <w:rsid w:val="0006064D"/>
    <w:rsid w:val="00065E40"/>
    <w:rsid w:val="00087CC9"/>
    <w:rsid w:val="000B4869"/>
    <w:rsid w:val="000D0221"/>
    <w:rsid w:val="000E26C1"/>
    <w:rsid w:val="00110EA2"/>
    <w:rsid w:val="00126B76"/>
    <w:rsid w:val="0015202B"/>
    <w:rsid w:val="00172404"/>
    <w:rsid w:val="00196386"/>
    <w:rsid w:val="001B54F2"/>
    <w:rsid w:val="001B77A6"/>
    <w:rsid w:val="001D58DB"/>
    <w:rsid w:val="001E54FC"/>
    <w:rsid w:val="00212869"/>
    <w:rsid w:val="00240B4A"/>
    <w:rsid w:val="002461FA"/>
    <w:rsid w:val="00286845"/>
    <w:rsid w:val="002A6065"/>
    <w:rsid w:val="002A798C"/>
    <w:rsid w:val="002B19F8"/>
    <w:rsid w:val="002C06BE"/>
    <w:rsid w:val="002C34BB"/>
    <w:rsid w:val="002F6095"/>
    <w:rsid w:val="00332A88"/>
    <w:rsid w:val="00344EAB"/>
    <w:rsid w:val="003502B1"/>
    <w:rsid w:val="00360BCB"/>
    <w:rsid w:val="00363049"/>
    <w:rsid w:val="00363D14"/>
    <w:rsid w:val="003857A0"/>
    <w:rsid w:val="00392A0B"/>
    <w:rsid w:val="003B0BC8"/>
    <w:rsid w:val="003B2417"/>
    <w:rsid w:val="003B2F9A"/>
    <w:rsid w:val="003B3A10"/>
    <w:rsid w:val="003B4036"/>
    <w:rsid w:val="003B6A8E"/>
    <w:rsid w:val="003D581C"/>
    <w:rsid w:val="003E17BC"/>
    <w:rsid w:val="003E5072"/>
    <w:rsid w:val="004225EE"/>
    <w:rsid w:val="00450518"/>
    <w:rsid w:val="004516E5"/>
    <w:rsid w:val="00475C7F"/>
    <w:rsid w:val="004832CD"/>
    <w:rsid w:val="00484DD9"/>
    <w:rsid w:val="004863DE"/>
    <w:rsid w:val="0048781C"/>
    <w:rsid w:val="00494FA6"/>
    <w:rsid w:val="0049579F"/>
    <w:rsid w:val="004A0733"/>
    <w:rsid w:val="004C4645"/>
    <w:rsid w:val="004D033B"/>
    <w:rsid w:val="004D1DC8"/>
    <w:rsid w:val="004D4619"/>
    <w:rsid w:val="004F6107"/>
    <w:rsid w:val="00506121"/>
    <w:rsid w:val="005272A2"/>
    <w:rsid w:val="00535059"/>
    <w:rsid w:val="005406D5"/>
    <w:rsid w:val="00561F61"/>
    <w:rsid w:val="00571180"/>
    <w:rsid w:val="00576B53"/>
    <w:rsid w:val="00591193"/>
    <w:rsid w:val="005C2218"/>
    <w:rsid w:val="005C4CE0"/>
    <w:rsid w:val="005D2E4F"/>
    <w:rsid w:val="005F6294"/>
    <w:rsid w:val="00606F4E"/>
    <w:rsid w:val="00611A72"/>
    <w:rsid w:val="00667CD8"/>
    <w:rsid w:val="00676176"/>
    <w:rsid w:val="00681BC3"/>
    <w:rsid w:val="006A783D"/>
    <w:rsid w:val="006B0C8A"/>
    <w:rsid w:val="006B7E21"/>
    <w:rsid w:val="006C3200"/>
    <w:rsid w:val="006D73BC"/>
    <w:rsid w:val="006E5E81"/>
    <w:rsid w:val="00700AAA"/>
    <w:rsid w:val="0070714D"/>
    <w:rsid w:val="00707FC0"/>
    <w:rsid w:val="007106BE"/>
    <w:rsid w:val="007415BE"/>
    <w:rsid w:val="007525AC"/>
    <w:rsid w:val="00752F97"/>
    <w:rsid w:val="00767FC5"/>
    <w:rsid w:val="007728DE"/>
    <w:rsid w:val="00792D88"/>
    <w:rsid w:val="00795E59"/>
    <w:rsid w:val="007A3FD9"/>
    <w:rsid w:val="007D17B9"/>
    <w:rsid w:val="00800A60"/>
    <w:rsid w:val="0082322E"/>
    <w:rsid w:val="008344E4"/>
    <w:rsid w:val="0083454A"/>
    <w:rsid w:val="00841980"/>
    <w:rsid w:val="008427BB"/>
    <w:rsid w:val="0087294D"/>
    <w:rsid w:val="00886FB7"/>
    <w:rsid w:val="00887E47"/>
    <w:rsid w:val="008A4160"/>
    <w:rsid w:val="008A565E"/>
    <w:rsid w:val="008B7C62"/>
    <w:rsid w:val="008C7110"/>
    <w:rsid w:val="008D711B"/>
    <w:rsid w:val="008D75DA"/>
    <w:rsid w:val="008E2ECA"/>
    <w:rsid w:val="008F6BBA"/>
    <w:rsid w:val="009146AF"/>
    <w:rsid w:val="00941C87"/>
    <w:rsid w:val="009426FF"/>
    <w:rsid w:val="009802D1"/>
    <w:rsid w:val="00987BE5"/>
    <w:rsid w:val="009A77AE"/>
    <w:rsid w:val="009D2300"/>
    <w:rsid w:val="009D5B5B"/>
    <w:rsid w:val="009E7E86"/>
    <w:rsid w:val="009F0773"/>
    <w:rsid w:val="009F6A8C"/>
    <w:rsid w:val="00A03C3B"/>
    <w:rsid w:val="00A1107F"/>
    <w:rsid w:val="00A12796"/>
    <w:rsid w:val="00A141AA"/>
    <w:rsid w:val="00A1559F"/>
    <w:rsid w:val="00A27398"/>
    <w:rsid w:val="00A27923"/>
    <w:rsid w:val="00A32B13"/>
    <w:rsid w:val="00A41A36"/>
    <w:rsid w:val="00A41E9B"/>
    <w:rsid w:val="00A564D9"/>
    <w:rsid w:val="00A70014"/>
    <w:rsid w:val="00A76CE7"/>
    <w:rsid w:val="00A87468"/>
    <w:rsid w:val="00AB0D0A"/>
    <w:rsid w:val="00AE03F8"/>
    <w:rsid w:val="00AF71C5"/>
    <w:rsid w:val="00B314CE"/>
    <w:rsid w:val="00B33C57"/>
    <w:rsid w:val="00B3429A"/>
    <w:rsid w:val="00B35C5F"/>
    <w:rsid w:val="00B36F4B"/>
    <w:rsid w:val="00B44EE5"/>
    <w:rsid w:val="00B45036"/>
    <w:rsid w:val="00B55ABE"/>
    <w:rsid w:val="00B61519"/>
    <w:rsid w:val="00B63CB4"/>
    <w:rsid w:val="00B733F1"/>
    <w:rsid w:val="00B85F38"/>
    <w:rsid w:val="00B866DE"/>
    <w:rsid w:val="00BC172E"/>
    <w:rsid w:val="00BC7C42"/>
    <w:rsid w:val="00BF0AAC"/>
    <w:rsid w:val="00BF3913"/>
    <w:rsid w:val="00C10DCD"/>
    <w:rsid w:val="00C12877"/>
    <w:rsid w:val="00C153E7"/>
    <w:rsid w:val="00C4139C"/>
    <w:rsid w:val="00C6167E"/>
    <w:rsid w:val="00C911FE"/>
    <w:rsid w:val="00CB31A2"/>
    <w:rsid w:val="00CC2529"/>
    <w:rsid w:val="00CD05DD"/>
    <w:rsid w:val="00D342F4"/>
    <w:rsid w:val="00D4775E"/>
    <w:rsid w:val="00D7202F"/>
    <w:rsid w:val="00D734A0"/>
    <w:rsid w:val="00D8636B"/>
    <w:rsid w:val="00DC4E1F"/>
    <w:rsid w:val="00DF4F5E"/>
    <w:rsid w:val="00E0196C"/>
    <w:rsid w:val="00E03663"/>
    <w:rsid w:val="00E03DB0"/>
    <w:rsid w:val="00E16A28"/>
    <w:rsid w:val="00E26150"/>
    <w:rsid w:val="00E3367E"/>
    <w:rsid w:val="00E456D2"/>
    <w:rsid w:val="00E469A9"/>
    <w:rsid w:val="00E95B95"/>
    <w:rsid w:val="00E976BD"/>
    <w:rsid w:val="00EA11D5"/>
    <w:rsid w:val="00EA4A1D"/>
    <w:rsid w:val="00EA5A92"/>
    <w:rsid w:val="00EB3052"/>
    <w:rsid w:val="00EE2309"/>
    <w:rsid w:val="00EF5077"/>
    <w:rsid w:val="00EF6656"/>
    <w:rsid w:val="00EF7972"/>
    <w:rsid w:val="00F04868"/>
    <w:rsid w:val="00F34A1D"/>
    <w:rsid w:val="00F51427"/>
    <w:rsid w:val="00F57DE0"/>
    <w:rsid w:val="00F60FC0"/>
    <w:rsid w:val="00F62FF8"/>
    <w:rsid w:val="00F908D7"/>
    <w:rsid w:val="00FC11CF"/>
    <w:rsid w:val="00FD2CB6"/>
    <w:rsid w:val="00FF0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CD"/>
    <w:pPr>
      <w:spacing w:after="200" w:line="276" w:lineRule="auto"/>
    </w:pPr>
    <w:rPr>
      <w:sz w:val="22"/>
      <w:szCs w:val="22"/>
      <w:lang w:eastAsia="en-US"/>
    </w:rPr>
  </w:style>
  <w:style w:type="paragraph" w:styleId="Titre1">
    <w:name w:val="heading 1"/>
    <w:basedOn w:val="Normal"/>
    <w:next w:val="Normal"/>
    <w:link w:val="Titre1Car"/>
    <w:qFormat/>
    <w:rsid w:val="00C10DCD"/>
    <w:pPr>
      <w:keepNext/>
      <w:spacing w:after="0" w:line="240" w:lineRule="auto"/>
      <w:jc w:val="both"/>
      <w:outlineLvl w:val="0"/>
    </w:pPr>
    <w:rPr>
      <w:rFonts w:ascii="Times New Roman" w:eastAsia="Times New Roman" w:hAnsi="Times New Roman"/>
      <w:b/>
      <w:bCs/>
      <w:sz w:val="36"/>
      <w:szCs w:val="36"/>
      <w:lang w:eastAsia="fr-FR"/>
    </w:rPr>
  </w:style>
  <w:style w:type="paragraph" w:styleId="Titre3">
    <w:name w:val="heading 3"/>
    <w:basedOn w:val="Normal"/>
    <w:next w:val="Normal"/>
    <w:link w:val="Titre3Car"/>
    <w:uiPriority w:val="9"/>
    <w:semiHidden/>
    <w:unhideWhenUsed/>
    <w:qFormat/>
    <w:rsid w:val="005F6294"/>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DCD"/>
    <w:pPr>
      <w:ind w:left="720"/>
      <w:contextualSpacing/>
    </w:pPr>
  </w:style>
  <w:style w:type="character" w:customStyle="1" w:styleId="Titre1Car">
    <w:name w:val="Titre 1 Car"/>
    <w:basedOn w:val="Policepardfaut"/>
    <w:link w:val="Titre1"/>
    <w:rsid w:val="00C10DC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5F6294"/>
    <w:rPr>
      <w:rFonts w:ascii="Cambria" w:eastAsia="Times New Roman" w:hAnsi="Cambria" w:cs="Times New Roman"/>
      <w:b/>
      <w:bCs/>
      <w:color w:val="4F81BD"/>
    </w:rPr>
  </w:style>
  <w:style w:type="paragraph" w:styleId="Titre">
    <w:name w:val="Title"/>
    <w:basedOn w:val="Normal"/>
    <w:link w:val="TitreCar"/>
    <w:qFormat/>
    <w:rsid w:val="005F6294"/>
    <w:pPr>
      <w:widowControl w:val="0"/>
      <w:overflowPunct w:val="0"/>
      <w:autoSpaceDE w:val="0"/>
      <w:autoSpaceDN w:val="0"/>
      <w:adjustRightInd w:val="0"/>
      <w:spacing w:after="0" w:line="240" w:lineRule="auto"/>
      <w:jc w:val="center"/>
    </w:pPr>
    <w:rPr>
      <w:rFonts w:ascii="Times New Roman" w:eastAsia="Times New Roman" w:hAnsi="Times New Roman"/>
      <w:noProof/>
      <w:sz w:val="28"/>
      <w:szCs w:val="28"/>
      <w:lang w:eastAsia="fr-FR"/>
    </w:rPr>
  </w:style>
  <w:style w:type="character" w:customStyle="1" w:styleId="TitreCar">
    <w:name w:val="Titre Car"/>
    <w:basedOn w:val="Policepardfaut"/>
    <w:link w:val="Titre"/>
    <w:rsid w:val="005F6294"/>
    <w:rPr>
      <w:rFonts w:ascii="Times New Roman" w:eastAsia="Times New Roman" w:hAnsi="Times New Roman" w:cs="Times New Roman"/>
      <w:noProof/>
      <w:sz w:val="28"/>
      <w:szCs w:val="28"/>
      <w:lang w:eastAsia="fr-FR"/>
    </w:rPr>
  </w:style>
  <w:style w:type="paragraph" w:styleId="En-tte">
    <w:name w:val="header"/>
    <w:basedOn w:val="Normal"/>
    <w:link w:val="En-tteCar"/>
    <w:unhideWhenUsed/>
    <w:rsid w:val="005F6294"/>
    <w:pPr>
      <w:tabs>
        <w:tab w:val="center" w:pos="4536"/>
        <w:tab w:val="right" w:pos="9072"/>
      </w:tabs>
      <w:spacing w:after="0" w:line="240" w:lineRule="auto"/>
    </w:pPr>
  </w:style>
  <w:style w:type="character" w:customStyle="1" w:styleId="En-tteCar">
    <w:name w:val="En-tête Car"/>
    <w:basedOn w:val="Policepardfaut"/>
    <w:link w:val="En-tte"/>
    <w:rsid w:val="005F6294"/>
  </w:style>
  <w:style w:type="paragraph" w:styleId="Pieddepage">
    <w:name w:val="footer"/>
    <w:basedOn w:val="Normal"/>
    <w:link w:val="PieddepageCar"/>
    <w:uiPriority w:val="99"/>
    <w:unhideWhenUsed/>
    <w:rsid w:val="005F62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6294"/>
  </w:style>
  <w:style w:type="table" w:styleId="Grilledutableau">
    <w:name w:val="Table Grid"/>
    <w:basedOn w:val="TableauNormal"/>
    <w:uiPriority w:val="59"/>
    <w:rsid w:val="00535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9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87BE5"/>
    <w:rPr>
      <w:rFonts w:ascii="Courier New" w:eastAsia="Times New Roman" w:hAnsi="Courier New" w:cs="Courier New"/>
      <w:sz w:val="20"/>
      <w:szCs w:val="20"/>
      <w:lang w:eastAsia="fr-FR"/>
    </w:rPr>
  </w:style>
  <w:style w:type="character" w:styleId="Numrodepage">
    <w:name w:val="page number"/>
    <w:basedOn w:val="Policepardfaut"/>
    <w:uiPriority w:val="99"/>
    <w:rsid w:val="004D033B"/>
  </w:style>
  <w:style w:type="character" w:styleId="Lienhypertexte">
    <w:name w:val="Hyperlink"/>
    <w:unhideWhenUsed/>
    <w:rsid w:val="006761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CD"/>
    <w:pPr>
      <w:spacing w:after="200" w:line="276" w:lineRule="auto"/>
    </w:pPr>
    <w:rPr>
      <w:sz w:val="22"/>
      <w:szCs w:val="22"/>
      <w:lang w:eastAsia="en-US"/>
    </w:rPr>
  </w:style>
  <w:style w:type="paragraph" w:styleId="Titre1">
    <w:name w:val="heading 1"/>
    <w:basedOn w:val="Normal"/>
    <w:next w:val="Normal"/>
    <w:link w:val="Titre1Car"/>
    <w:qFormat/>
    <w:rsid w:val="00C10DCD"/>
    <w:pPr>
      <w:keepNext/>
      <w:spacing w:after="0" w:line="240" w:lineRule="auto"/>
      <w:jc w:val="both"/>
      <w:outlineLvl w:val="0"/>
    </w:pPr>
    <w:rPr>
      <w:rFonts w:ascii="Times New Roman" w:eastAsia="Times New Roman" w:hAnsi="Times New Roman"/>
      <w:b/>
      <w:bCs/>
      <w:sz w:val="36"/>
      <w:szCs w:val="36"/>
      <w:lang w:eastAsia="fr-FR"/>
    </w:rPr>
  </w:style>
  <w:style w:type="paragraph" w:styleId="Titre3">
    <w:name w:val="heading 3"/>
    <w:basedOn w:val="Normal"/>
    <w:next w:val="Normal"/>
    <w:link w:val="Titre3Car"/>
    <w:uiPriority w:val="9"/>
    <w:semiHidden/>
    <w:unhideWhenUsed/>
    <w:qFormat/>
    <w:rsid w:val="005F6294"/>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DCD"/>
    <w:pPr>
      <w:ind w:left="720"/>
      <w:contextualSpacing/>
    </w:pPr>
  </w:style>
  <w:style w:type="character" w:customStyle="1" w:styleId="Titre1Car">
    <w:name w:val="Titre 1 Car"/>
    <w:basedOn w:val="Policepardfaut"/>
    <w:link w:val="Titre1"/>
    <w:rsid w:val="00C10DC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5F6294"/>
    <w:rPr>
      <w:rFonts w:ascii="Cambria" w:eastAsia="Times New Roman" w:hAnsi="Cambria" w:cs="Times New Roman"/>
      <w:b/>
      <w:bCs/>
      <w:color w:val="4F81BD"/>
    </w:rPr>
  </w:style>
  <w:style w:type="paragraph" w:styleId="Titre">
    <w:name w:val="Title"/>
    <w:basedOn w:val="Normal"/>
    <w:link w:val="TitreCar"/>
    <w:qFormat/>
    <w:rsid w:val="005F6294"/>
    <w:pPr>
      <w:widowControl w:val="0"/>
      <w:overflowPunct w:val="0"/>
      <w:autoSpaceDE w:val="0"/>
      <w:autoSpaceDN w:val="0"/>
      <w:adjustRightInd w:val="0"/>
      <w:spacing w:after="0" w:line="240" w:lineRule="auto"/>
      <w:jc w:val="center"/>
    </w:pPr>
    <w:rPr>
      <w:rFonts w:ascii="Times New Roman" w:eastAsia="Times New Roman" w:hAnsi="Times New Roman"/>
      <w:noProof/>
      <w:sz w:val="28"/>
      <w:szCs w:val="28"/>
      <w:lang w:eastAsia="fr-FR"/>
    </w:rPr>
  </w:style>
  <w:style w:type="character" w:customStyle="1" w:styleId="TitreCar">
    <w:name w:val="Titre Car"/>
    <w:basedOn w:val="Policepardfaut"/>
    <w:link w:val="Titre"/>
    <w:rsid w:val="005F6294"/>
    <w:rPr>
      <w:rFonts w:ascii="Times New Roman" w:eastAsia="Times New Roman" w:hAnsi="Times New Roman" w:cs="Times New Roman"/>
      <w:noProof/>
      <w:sz w:val="28"/>
      <w:szCs w:val="28"/>
      <w:lang w:eastAsia="fr-FR"/>
    </w:rPr>
  </w:style>
  <w:style w:type="paragraph" w:styleId="En-tte">
    <w:name w:val="header"/>
    <w:basedOn w:val="Normal"/>
    <w:link w:val="En-tteCar"/>
    <w:unhideWhenUsed/>
    <w:rsid w:val="005F6294"/>
    <w:pPr>
      <w:tabs>
        <w:tab w:val="center" w:pos="4536"/>
        <w:tab w:val="right" w:pos="9072"/>
      </w:tabs>
      <w:spacing w:after="0" w:line="240" w:lineRule="auto"/>
    </w:pPr>
  </w:style>
  <w:style w:type="character" w:customStyle="1" w:styleId="En-tteCar">
    <w:name w:val="En-tête Car"/>
    <w:basedOn w:val="Policepardfaut"/>
    <w:link w:val="En-tte"/>
    <w:rsid w:val="005F6294"/>
  </w:style>
  <w:style w:type="paragraph" w:styleId="Pieddepage">
    <w:name w:val="footer"/>
    <w:basedOn w:val="Normal"/>
    <w:link w:val="PieddepageCar"/>
    <w:uiPriority w:val="99"/>
    <w:unhideWhenUsed/>
    <w:rsid w:val="005F62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6294"/>
  </w:style>
  <w:style w:type="table" w:styleId="Grilledutableau">
    <w:name w:val="Table Grid"/>
    <w:basedOn w:val="TableauNormal"/>
    <w:uiPriority w:val="59"/>
    <w:rsid w:val="00535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9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87BE5"/>
    <w:rPr>
      <w:rFonts w:ascii="Courier New" w:eastAsia="Times New Roman" w:hAnsi="Courier New" w:cs="Courier New"/>
      <w:sz w:val="20"/>
      <w:szCs w:val="20"/>
      <w:lang w:eastAsia="fr-FR"/>
    </w:rPr>
  </w:style>
  <w:style w:type="character" w:styleId="Numrodepage">
    <w:name w:val="page number"/>
    <w:basedOn w:val="Policepardfaut"/>
    <w:uiPriority w:val="99"/>
    <w:rsid w:val="004D033B"/>
  </w:style>
  <w:style w:type="character" w:styleId="Lienhypertexte">
    <w:name w:val="Hyperlink"/>
    <w:unhideWhenUsed/>
    <w:rsid w:val="00676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72780">
      <w:bodyDiv w:val="1"/>
      <w:marLeft w:val="0"/>
      <w:marRight w:val="0"/>
      <w:marTop w:val="0"/>
      <w:marBottom w:val="0"/>
      <w:divBdr>
        <w:top w:val="none" w:sz="0" w:space="0" w:color="auto"/>
        <w:left w:val="none" w:sz="0" w:space="0" w:color="auto"/>
        <w:bottom w:val="none" w:sz="0" w:space="0" w:color="auto"/>
        <w:right w:val="none" w:sz="0" w:space="0" w:color="auto"/>
      </w:divBdr>
    </w:div>
    <w:div w:id="939067292">
      <w:bodyDiv w:val="1"/>
      <w:marLeft w:val="0"/>
      <w:marRight w:val="0"/>
      <w:marTop w:val="0"/>
      <w:marBottom w:val="0"/>
      <w:divBdr>
        <w:top w:val="none" w:sz="0" w:space="0" w:color="auto"/>
        <w:left w:val="none" w:sz="0" w:space="0" w:color="auto"/>
        <w:bottom w:val="none" w:sz="0" w:space="0" w:color="auto"/>
        <w:right w:val="none" w:sz="0" w:space="0" w:color="auto"/>
      </w:divBdr>
    </w:div>
    <w:div w:id="1298682984">
      <w:bodyDiv w:val="1"/>
      <w:marLeft w:val="0"/>
      <w:marRight w:val="0"/>
      <w:marTop w:val="0"/>
      <w:marBottom w:val="0"/>
      <w:divBdr>
        <w:top w:val="none" w:sz="0" w:space="0" w:color="auto"/>
        <w:left w:val="none" w:sz="0" w:space="0" w:color="auto"/>
        <w:bottom w:val="none" w:sz="0" w:space="0" w:color="auto"/>
        <w:right w:val="none" w:sz="0" w:space="0" w:color="auto"/>
      </w:divBdr>
    </w:div>
    <w:div w:id="16102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4522</Words>
  <Characters>24877</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29341</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Sébastien Demay</cp:lastModifiedBy>
  <cp:revision>3</cp:revision>
  <cp:lastPrinted>2014-04-05T17:19:00Z</cp:lastPrinted>
  <dcterms:created xsi:type="dcterms:W3CDTF">2014-04-05T17:19:00Z</dcterms:created>
  <dcterms:modified xsi:type="dcterms:W3CDTF">2014-04-05T17:19:00Z</dcterms:modified>
</cp:coreProperties>
</file>