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:rsidR="00B0772C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475E0">
        <w:rPr>
          <w:rFonts w:ascii="Arial" w:hAnsi="Arial" w:cs="Arial"/>
          <w:b/>
          <w:bCs/>
          <w:sz w:val="36"/>
          <w:szCs w:val="36"/>
        </w:rPr>
        <w:t>B</w:t>
      </w:r>
      <w:r w:rsidR="00C75734" w:rsidRPr="00E475E0">
        <w:rPr>
          <w:rFonts w:ascii="Arial" w:hAnsi="Arial" w:cs="Arial"/>
          <w:b/>
          <w:bCs/>
          <w:sz w:val="36"/>
          <w:szCs w:val="36"/>
        </w:rPr>
        <w:t>TS</w:t>
      </w:r>
    </w:p>
    <w:p w:rsidR="005D4C4F" w:rsidRPr="00E475E0" w:rsidRDefault="005D4C4F" w:rsidP="005D4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Default="00C75734" w:rsidP="00C75734">
      <w:pPr>
        <w:rPr>
          <w:rFonts w:ascii="Arial" w:hAnsi="Arial" w:cs="Arial"/>
        </w:rPr>
      </w:pPr>
    </w:p>
    <w:p w:rsidR="002F1021" w:rsidRPr="00E475E0" w:rsidRDefault="002F1021" w:rsidP="00C75734">
      <w:pPr>
        <w:rPr>
          <w:rFonts w:ascii="Arial" w:hAnsi="Arial" w:cs="Arial"/>
        </w:rPr>
      </w:pPr>
    </w:p>
    <w:p w:rsidR="00C75734" w:rsidRPr="00E475E0" w:rsidRDefault="002F1021" w:rsidP="00C7573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ANGLAIS</w:t>
      </w:r>
    </w:p>
    <w:p w:rsidR="00C75734" w:rsidRPr="00E475E0" w:rsidRDefault="00C75734" w:rsidP="00C75734">
      <w:pPr>
        <w:rPr>
          <w:rFonts w:ascii="Arial" w:hAnsi="Arial" w:cs="Arial"/>
        </w:rPr>
      </w:pP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>SESSION 20</w:t>
      </w:r>
      <w:r w:rsidR="009213D7">
        <w:rPr>
          <w:rFonts w:ascii="Arial" w:hAnsi="Arial" w:cs="Arial"/>
          <w:b/>
          <w:bCs/>
          <w:sz w:val="28"/>
          <w:szCs w:val="28"/>
        </w:rPr>
        <w:t>0</w:t>
      </w:r>
      <w:r w:rsidR="00672AF4">
        <w:rPr>
          <w:rFonts w:ascii="Arial" w:hAnsi="Arial" w:cs="Arial"/>
          <w:b/>
          <w:bCs/>
          <w:sz w:val="28"/>
          <w:szCs w:val="28"/>
        </w:rPr>
        <w:t>4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E475E0">
        <w:rPr>
          <w:rFonts w:ascii="Arial" w:hAnsi="Arial" w:cs="Arial"/>
          <w:sz w:val="28"/>
          <w:szCs w:val="28"/>
        </w:rPr>
        <w:t>_______</w:t>
      </w:r>
    </w:p>
    <w:p w:rsidR="00C75734" w:rsidRPr="00E475E0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475E0"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F1021">
        <w:rPr>
          <w:rFonts w:ascii="Arial" w:hAnsi="Arial" w:cs="Arial"/>
          <w:b/>
          <w:bCs/>
          <w:sz w:val="28"/>
          <w:szCs w:val="28"/>
        </w:rPr>
        <w:t>2</w:t>
      </w:r>
      <w:r w:rsidRPr="00E475E0"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EC50A3" w:rsidRDefault="00EC50A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929"/>
        <w:gridCol w:w="3070"/>
      </w:tblGrid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color w:val="343434"/>
              </w:rPr>
              <w:t xml:space="preserve">Management des 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nités commerciales</w:t>
            </w:r>
          </w:p>
        </w:tc>
        <w:tc>
          <w:tcPr>
            <w:tcW w:w="929" w:type="dxa"/>
            <w:vMerge w:val="restart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1,5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Ass</w:t>
            </w:r>
            <w:r w:rsidRPr="002F1021">
              <w:rPr>
                <w:rFonts w:ascii="Arial" w:hAnsi="Arial" w:cs="Arial"/>
                <w:color w:val="181818"/>
              </w:rPr>
              <w:t>u</w:t>
            </w:r>
            <w:r w:rsidRPr="002F1021">
              <w:rPr>
                <w:rFonts w:ascii="Arial" w:hAnsi="Arial" w:cs="Arial"/>
                <w:color w:val="343434"/>
              </w:rPr>
              <w:t>rance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Banque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Communication</w:t>
            </w:r>
            <w:r w:rsidR="00304C71">
              <w:rPr>
                <w:rFonts w:ascii="Arial" w:hAnsi="Arial" w:cs="Arial"/>
                <w:color w:val="343434"/>
              </w:rPr>
              <w:t xml:space="preserve"> des entreprises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304C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 xml:space="preserve">Coefficient : </w:t>
            </w:r>
            <w:r w:rsidR="00304C71">
              <w:rPr>
                <w:rFonts w:ascii="Arial" w:hAnsi="Arial" w:cs="Arial"/>
                <w:bCs/>
              </w:rPr>
              <w:t>1</w:t>
            </w:r>
          </w:p>
        </w:tc>
      </w:tr>
      <w:tr w:rsidR="002F1021" w:rsidRPr="002F1021" w:rsidTr="002F1021">
        <w:trPr>
          <w:trHeight w:val="567"/>
        </w:trPr>
        <w:tc>
          <w:tcPr>
            <w:tcW w:w="5211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343434"/>
              </w:rPr>
            </w:pPr>
            <w:r w:rsidRPr="002F1021">
              <w:rPr>
                <w:rFonts w:ascii="Arial" w:hAnsi="Arial" w:cs="Arial"/>
                <w:color w:val="343434"/>
              </w:rPr>
              <w:t>Professions immobilières</w:t>
            </w:r>
          </w:p>
        </w:tc>
        <w:tc>
          <w:tcPr>
            <w:tcW w:w="929" w:type="dxa"/>
            <w:vMerge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070" w:type="dxa"/>
            <w:vAlign w:val="center"/>
          </w:tcPr>
          <w:p w:rsidR="002F1021" w:rsidRPr="002F1021" w:rsidRDefault="002F1021" w:rsidP="002F10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2F1021">
              <w:rPr>
                <w:rFonts w:ascii="Arial" w:hAnsi="Arial" w:cs="Arial"/>
                <w:bCs/>
              </w:rPr>
              <w:t>Coefficient : 1</w:t>
            </w:r>
          </w:p>
        </w:tc>
      </w:tr>
    </w:tbl>
    <w:p w:rsidR="002F1021" w:rsidRPr="00E475E0" w:rsidRDefault="002F1021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0772C" w:rsidRPr="00E475E0" w:rsidRDefault="00C75734" w:rsidP="00C75734">
      <w:pPr>
        <w:jc w:val="center"/>
        <w:rPr>
          <w:rFonts w:ascii="Arial" w:hAnsi="Arial" w:cs="Arial"/>
          <w:sz w:val="22"/>
          <w:szCs w:val="22"/>
        </w:rPr>
      </w:pPr>
      <w:r w:rsidRPr="00E475E0">
        <w:rPr>
          <w:rFonts w:ascii="Arial" w:hAnsi="Arial" w:cs="Arial"/>
          <w:sz w:val="28"/>
          <w:szCs w:val="28"/>
        </w:rPr>
        <w:t>________</w:t>
      </w:r>
    </w:p>
    <w:p w:rsidR="00B0772C" w:rsidRPr="00E475E0" w:rsidRDefault="00B0772C">
      <w:pPr>
        <w:jc w:val="center"/>
        <w:rPr>
          <w:rFonts w:ascii="Arial" w:hAnsi="Arial" w:cs="Arial"/>
          <w:sz w:val="22"/>
          <w:szCs w:val="22"/>
        </w:rPr>
      </w:pPr>
    </w:p>
    <w:p w:rsidR="00C75734" w:rsidRPr="00E475E0" w:rsidRDefault="00C75734" w:rsidP="00C75734">
      <w:pPr>
        <w:rPr>
          <w:rFonts w:ascii="Arial" w:hAnsi="Arial" w:cs="Arial"/>
          <w:b/>
          <w:bCs/>
        </w:rPr>
      </w:pP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i/>
          <w:iCs/>
          <w:color w:val="343434"/>
          <w:sz w:val="23"/>
          <w:szCs w:val="23"/>
        </w:rPr>
      </w:pPr>
      <w:r>
        <w:rPr>
          <w:rFonts w:ascii="Arial" w:hAnsi="Arial" w:cs="Arial"/>
          <w:i/>
          <w:iCs/>
          <w:color w:val="343434"/>
          <w:sz w:val="23"/>
          <w:szCs w:val="23"/>
        </w:rPr>
        <w:t>Dictionnaire bilingue autorisé</w:t>
      </w:r>
    </w:p>
    <w:p w:rsidR="002F1021" w:rsidRDefault="002F1021" w:rsidP="002F102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181818"/>
          <w:sz w:val="23"/>
          <w:szCs w:val="23"/>
        </w:rPr>
      </w:pPr>
    </w:p>
    <w:p w:rsidR="002F1021" w:rsidRDefault="002F1021" w:rsidP="002F1021">
      <w:pPr>
        <w:jc w:val="center"/>
        <w:rPr>
          <w:rFonts w:ascii="Arial" w:hAnsi="Arial" w:cs="Arial"/>
          <w:b/>
          <w:bCs/>
          <w:i/>
          <w:iCs/>
          <w:color w:val="181818"/>
          <w:sz w:val="25"/>
          <w:szCs w:val="25"/>
        </w:rPr>
      </w:pPr>
    </w:p>
    <w:p w:rsidR="00304C71" w:rsidRPr="00304C71" w:rsidRDefault="002F1021" w:rsidP="00CB01F4">
      <w:pPr>
        <w:jc w:val="center"/>
        <w:rPr>
          <w:rFonts w:ascii="Arial" w:hAnsi="Arial" w:cs="Arial"/>
          <w:b/>
          <w:lang w:val="en-US"/>
        </w:rPr>
        <w:sectPr w:rsidR="00304C71" w:rsidRPr="00304C71" w:rsidSect="002F1021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Calcula</w:t>
      </w:r>
      <w:r w:rsidRPr="00CB01F4">
        <w:rPr>
          <w:rFonts w:ascii="Arial" w:hAnsi="Arial" w:cs="Arial"/>
          <w:b/>
          <w:bCs/>
          <w:i/>
          <w:iCs/>
          <w:color w:val="343434"/>
          <w:sz w:val="25"/>
          <w:szCs w:val="25"/>
          <w:lang w:val="en-US"/>
        </w:rPr>
        <w:t>t</w:t>
      </w:r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rice</w:t>
      </w:r>
      <w:proofErr w:type="spellEnd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 xml:space="preserve"> </w:t>
      </w:r>
      <w:proofErr w:type="spellStart"/>
      <w:r w:rsidRPr="00CB01F4">
        <w:rPr>
          <w:rFonts w:ascii="Arial" w:hAnsi="Arial" w:cs="Arial"/>
          <w:b/>
          <w:bCs/>
          <w:i/>
          <w:iCs/>
          <w:color w:val="181818"/>
          <w:sz w:val="25"/>
          <w:szCs w:val="25"/>
          <w:lang w:val="en-US"/>
        </w:rPr>
        <w:t>interdite</w:t>
      </w:r>
      <w:proofErr w:type="spellEnd"/>
      <w:r w:rsidR="00E475E0" w:rsidRPr="00CB01F4">
        <w:rPr>
          <w:rFonts w:ascii="Arial" w:hAnsi="Arial" w:cs="Arial"/>
          <w:lang w:val="en-US"/>
        </w:rPr>
        <w:br w:type="page"/>
      </w:r>
    </w:p>
    <w:p w:rsidR="004957E4" w:rsidRPr="00CB01F4" w:rsidRDefault="00672AF4" w:rsidP="001B06F1">
      <w:pPr>
        <w:suppressLineNumbers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161616"/>
          <w:sz w:val="28"/>
          <w:szCs w:val="28"/>
          <w:lang w:val="en-US"/>
        </w:rPr>
      </w:pPr>
      <w:r w:rsidRPr="00672AF4">
        <w:rPr>
          <w:rFonts w:ascii="Arial" w:hAnsi="Arial" w:cs="Arial"/>
          <w:b/>
          <w:bCs/>
          <w:color w:val="161616"/>
          <w:sz w:val="28"/>
          <w:szCs w:val="28"/>
          <w:lang w:val="en-US"/>
        </w:rPr>
        <w:lastRenderedPageBreak/>
        <w:t>A SWITCH IN TIME</w:t>
      </w:r>
    </w:p>
    <w:p w:rsidR="00672AF4" w:rsidRPr="00584F6F" w:rsidRDefault="00672AF4" w:rsidP="001B06F1">
      <w:pPr>
        <w:spacing w:after="240"/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Fed up with working in the same industry year after year? Or perhaps you're about to be made redundant. Don't despair. As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Nic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Paton reports, it's never too late to make a fresh start.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Stuart Lawton-Davies has switched industries three times since being made redundant from oil and gas business Trafalgar House, and he has never looked back.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"</w:t>
      </w:r>
      <w:proofErr w:type="spellStart"/>
      <w:proofErr w:type="gramStart"/>
      <w:r w:rsidRPr="00584F6F">
        <w:rPr>
          <w:rFonts w:ascii="Arial" w:hAnsi="Arial" w:cs="Arial"/>
          <w:iCs/>
          <w:sz w:val="22"/>
          <w:szCs w:val="22"/>
          <w:lang w:val="en-US"/>
        </w:rPr>
        <w:t>lt</w:t>
      </w:r>
      <w:proofErr w:type="spellEnd"/>
      <w:proofErr w:type="gram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depends on your expertise, but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l'd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say people are more prepared t</w:t>
      </w:r>
      <w:r w:rsidR="001B06F1">
        <w:rPr>
          <w:rFonts w:ascii="Arial" w:hAnsi="Arial" w:cs="Arial"/>
          <w:iCs/>
          <w:sz w:val="22"/>
          <w:szCs w:val="22"/>
          <w:lang w:val="en-US"/>
        </w:rPr>
        <w:t>o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switch industries now.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You have to take the bull by the horns and be prepared to look at other areas and get on with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your life," says the 37 -year-old </w:t>
      </w:r>
      <w:r w:rsidR="001B06F1" w:rsidRPr="00584F6F">
        <w:rPr>
          <w:rFonts w:ascii="Arial" w:hAnsi="Arial" w:cs="Arial"/>
          <w:iCs/>
          <w:sz w:val="22"/>
          <w:szCs w:val="22"/>
          <w:lang w:val="en-US"/>
        </w:rPr>
        <w:t>internal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communications specialist.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Since that first redundancy in 1999,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Mr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Lawton-Davies has landed jobs in the travel industry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and, since February, with chemist chain Moss Pharmacy. "The fact that </w:t>
      </w:r>
      <w:r w:rsidR="001B06F1">
        <w:rPr>
          <w:rFonts w:ascii="Arial" w:hAnsi="Arial" w:cs="Arial"/>
          <w:iCs/>
          <w:sz w:val="22"/>
          <w:szCs w:val="22"/>
          <w:lang w:val="en-US"/>
        </w:rPr>
        <w:t>I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had done it once gave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me confidence t</w:t>
      </w:r>
      <w:r w:rsidR="001B06F1">
        <w:rPr>
          <w:rFonts w:ascii="Arial" w:hAnsi="Arial" w:cs="Arial"/>
          <w:iCs/>
          <w:sz w:val="22"/>
          <w:szCs w:val="22"/>
          <w:lang w:val="en-US"/>
        </w:rPr>
        <w:t>o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think </w:t>
      </w:r>
      <w:r w:rsidR="001B06F1">
        <w:rPr>
          <w:rFonts w:ascii="Arial" w:hAnsi="Arial" w:cs="Arial"/>
          <w:iCs/>
          <w:sz w:val="22"/>
          <w:szCs w:val="22"/>
          <w:lang w:val="en-US"/>
        </w:rPr>
        <w:t xml:space="preserve">I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could do it again. And </w:t>
      </w:r>
      <w:r w:rsidR="001B06F1">
        <w:rPr>
          <w:rFonts w:ascii="Arial" w:hAnsi="Arial" w:cs="Arial"/>
          <w:iCs/>
          <w:sz w:val="22"/>
          <w:szCs w:val="22"/>
          <w:lang w:val="en-US"/>
        </w:rPr>
        <w:t>I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have a good grounding in communications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skills that can be transferred across," he adds.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A generation ago it was almost unheard of, and almost certainly frowned upon, to leap about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from industry to industry. Once you'd got your skill or found your niche you stuck with it. Not </w:t>
      </w:r>
      <w:r w:rsidR="001B06F1" w:rsidRPr="00584F6F">
        <w:rPr>
          <w:rFonts w:ascii="Arial" w:hAnsi="Arial" w:cs="Arial"/>
          <w:iCs/>
          <w:sz w:val="22"/>
          <w:szCs w:val="22"/>
          <w:lang w:val="en-US"/>
        </w:rPr>
        <w:t>anymore</w:t>
      </w:r>
      <w:r w:rsidRPr="00584F6F">
        <w:rPr>
          <w:rFonts w:ascii="Arial" w:hAnsi="Arial" w:cs="Arial"/>
          <w:iCs/>
          <w:sz w:val="22"/>
          <w:szCs w:val="22"/>
          <w:lang w:val="en-US"/>
        </w:rPr>
        <w:t>. The end of the job for life and the increasing transferability of many skills mean that the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type of career path pursued by the likes of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Mr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Lawton-Davies is becoming much more common.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With the employment market</w:t>
      </w:r>
      <w:r w:rsidR="001B06F1">
        <w:rPr>
          <w:rFonts w:ascii="Arial" w:hAnsi="Arial" w:cs="Arial"/>
          <w:iCs/>
          <w:sz w:val="22"/>
          <w:szCs w:val="22"/>
          <w:lang w:val="en-US"/>
        </w:rPr>
        <w:t xml:space="preserve"> still hugely volatile- the CBI</w:t>
      </w:r>
      <w:r w:rsidR="001B06F1">
        <w:rPr>
          <w:rStyle w:val="Appelnotedebasdep"/>
          <w:rFonts w:ascii="Arial" w:hAnsi="Arial" w:cs="Arial"/>
          <w:iCs/>
          <w:sz w:val="22"/>
          <w:szCs w:val="22"/>
          <w:lang w:val="en-US"/>
        </w:rPr>
        <w:footnoteReference w:id="1"/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has estimated there will be 86,000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jobs </w:t>
      </w:r>
      <w:r w:rsidR="001B06F1">
        <w:rPr>
          <w:rFonts w:ascii="Arial" w:hAnsi="Arial" w:cs="Arial"/>
          <w:iCs/>
          <w:sz w:val="22"/>
          <w:szCs w:val="22"/>
          <w:lang w:val="en-US"/>
        </w:rPr>
        <w:t>c</w:t>
      </w:r>
      <w:r w:rsidRPr="00584F6F">
        <w:rPr>
          <w:rFonts w:ascii="Arial" w:hAnsi="Arial" w:cs="Arial"/>
          <w:iCs/>
          <w:sz w:val="22"/>
          <w:szCs w:val="22"/>
          <w:lang w:val="en-US"/>
        </w:rPr>
        <w:t>ut in the first half of this year - people are also increasingly finding they have to switch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industries just to stay in work.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Redundancy is a common cause for changing jobs and there is no longer any shame attached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to shifting industry. Employers increasingly welcome the fresh thinking that someone coming in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from another sector can bring, argues Victoria Gill, an adviser with the Chartered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lnstitute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of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Personnel and Development.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The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lnstitute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will next month publish a study showing how having experience in another sector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can help you get up the career ladder more quickly. "People are being much more flexible in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general in looking at working in different regions, abroad or in </w:t>
      </w:r>
      <w:r w:rsidR="001B06F1">
        <w:rPr>
          <w:rFonts w:ascii="Arial" w:hAnsi="Arial" w:cs="Arial"/>
          <w:iCs/>
          <w:sz w:val="22"/>
          <w:szCs w:val="22"/>
          <w:lang w:val="en-US"/>
        </w:rPr>
        <w:t>o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ther industries," says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Ms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Gill.</w:t>
      </w:r>
    </w:p>
    <w:p w:rsidR="00672AF4" w:rsidRPr="00584F6F" w:rsidRDefault="00672AF4" w:rsidP="001B06F1">
      <w:pPr>
        <w:rPr>
          <w:rFonts w:ascii="Arial" w:hAnsi="Arial" w:cs="Arial"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>The trend towards work-life balance is also encouraging people to look again at their careers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and whether they want to switch to something more fulfilling,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Mr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proofErr w:type="spellStart"/>
      <w:r w:rsidRPr="00584F6F">
        <w:rPr>
          <w:rFonts w:ascii="Arial" w:hAnsi="Arial" w:cs="Arial"/>
          <w:iCs/>
          <w:sz w:val="22"/>
          <w:szCs w:val="22"/>
          <w:lang w:val="en-US"/>
        </w:rPr>
        <w:t>Lidington</w:t>
      </w:r>
      <w:proofErr w:type="spell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suggests. "</w:t>
      </w:r>
      <w:proofErr w:type="spellStart"/>
      <w:proofErr w:type="gramStart"/>
      <w:r w:rsidRPr="00584F6F">
        <w:rPr>
          <w:rFonts w:ascii="Arial" w:hAnsi="Arial" w:cs="Arial"/>
          <w:iCs/>
          <w:sz w:val="22"/>
          <w:szCs w:val="22"/>
          <w:lang w:val="en-US"/>
        </w:rPr>
        <w:t>lt's</w:t>
      </w:r>
      <w:proofErr w:type="spellEnd"/>
      <w:proofErr w:type="gram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not just</w:t>
      </w:r>
      <w:r w:rsidR="00584F6F" w:rsidRPr="00584F6F">
        <w:rPr>
          <w:rFonts w:ascii="Arial" w:hAnsi="Arial" w:cs="Arial"/>
          <w:iCs/>
          <w:sz w:val="22"/>
          <w:szCs w:val="22"/>
          <w:lang w:val="en-US"/>
        </w:rPr>
        <w:t xml:space="preserve"> </w:t>
      </w:r>
      <w:r w:rsidRPr="00584F6F">
        <w:rPr>
          <w:rFonts w:ascii="Arial" w:hAnsi="Arial" w:cs="Arial"/>
          <w:iCs/>
          <w:sz w:val="22"/>
          <w:szCs w:val="22"/>
          <w:lang w:val="en-US"/>
        </w:rPr>
        <w:t>about finding rewards, but about emotional rewards t</w:t>
      </w:r>
      <w:r w:rsidR="001B06F1">
        <w:rPr>
          <w:rFonts w:ascii="Arial" w:hAnsi="Arial" w:cs="Arial"/>
          <w:iCs/>
          <w:sz w:val="22"/>
          <w:szCs w:val="22"/>
          <w:lang w:val="en-US"/>
        </w:rPr>
        <w:t>o</w:t>
      </w:r>
      <w:r w:rsidRPr="00584F6F">
        <w:rPr>
          <w:rFonts w:ascii="Arial" w:hAnsi="Arial" w:cs="Arial"/>
          <w:iCs/>
          <w:sz w:val="22"/>
          <w:szCs w:val="22"/>
          <w:lang w:val="en-US"/>
        </w:rPr>
        <w:t>o, about lifestyle."</w:t>
      </w:r>
    </w:p>
    <w:p w:rsidR="00672AF4" w:rsidRPr="00584F6F" w:rsidRDefault="00672AF4" w:rsidP="001B06F1">
      <w:pPr>
        <w:jc w:val="right"/>
        <w:rPr>
          <w:rFonts w:ascii="Arial" w:hAnsi="Arial" w:cs="Arial"/>
          <w:iCs/>
          <w:sz w:val="22"/>
          <w:szCs w:val="22"/>
          <w:lang w:val="en-US"/>
        </w:rPr>
      </w:pPr>
    </w:p>
    <w:p w:rsidR="00CB01F4" w:rsidRPr="00584F6F" w:rsidRDefault="00672AF4" w:rsidP="001B06F1">
      <w:pPr>
        <w:jc w:val="right"/>
        <w:rPr>
          <w:rFonts w:ascii="Arial" w:hAnsi="Arial" w:cs="Arial"/>
          <w:i/>
          <w:iCs/>
          <w:sz w:val="22"/>
          <w:szCs w:val="22"/>
          <w:lang w:val="en-US"/>
        </w:rPr>
      </w:pPr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Adapted from </w:t>
      </w:r>
      <w:proofErr w:type="gramStart"/>
      <w:r w:rsidRPr="00584F6F">
        <w:rPr>
          <w:rFonts w:ascii="Arial" w:hAnsi="Arial" w:cs="Arial"/>
          <w:iCs/>
          <w:sz w:val="22"/>
          <w:szCs w:val="22"/>
          <w:lang w:val="en-US"/>
        </w:rPr>
        <w:t>The</w:t>
      </w:r>
      <w:proofErr w:type="gramEnd"/>
      <w:r w:rsidRPr="00584F6F">
        <w:rPr>
          <w:rFonts w:ascii="Arial" w:hAnsi="Arial" w:cs="Arial"/>
          <w:iCs/>
          <w:sz w:val="22"/>
          <w:szCs w:val="22"/>
          <w:lang w:val="en-US"/>
        </w:rPr>
        <w:t xml:space="preserve"> Guardian, May 31, 2003</w:t>
      </w:r>
      <w:r w:rsidR="00CB01F4" w:rsidRPr="00584F6F">
        <w:rPr>
          <w:rFonts w:ascii="Arial" w:hAnsi="Arial" w:cs="Arial"/>
          <w:i/>
          <w:iCs/>
          <w:sz w:val="22"/>
          <w:szCs w:val="22"/>
          <w:lang w:val="en-US"/>
        </w:rPr>
        <w:br w:type="page"/>
      </w:r>
    </w:p>
    <w:p w:rsidR="00CB01F4" w:rsidRPr="00584F6F" w:rsidRDefault="00CB01F4" w:rsidP="001B06F1">
      <w:pPr>
        <w:jc w:val="right"/>
        <w:rPr>
          <w:rFonts w:ascii="Arial" w:hAnsi="Arial" w:cs="Arial"/>
          <w:sz w:val="22"/>
          <w:szCs w:val="22"/>
          <w:lang w:val="en-US"/>
        </w:rPr>
        <w:sectPr w:rsidR="00CB01F4" w:rsidRPr="00584F6F" w:rsidSect="00CB01F4">
          <w:headerReference w:type="default" r:id="rId11"/>
          <w:pgSz w:w="11906" w:h="16838"/>
          <w:pgMar w:top="1418" w:right="1418" w:bottom="1418" w:left="1418" w:header="709" w:footer="709" w:gutter="0"/>
          <w:lnNumType w:countBy="5"/>
          <w:cols w:space="708"/>
          <w:docGrid w:linePitch="360"/>
        </w:sectPr>
      </w:pPr>
    </w:p>
    <w:p w:rsidR="00CB01F4" w:rsidRPr="002F1021" w:rsidRDefault="00CB01F4" w:rsidP="00CB01F4">
      <w:pPr>
        <w:jc w:val="center"/>
        <w:rPr>
          <w:rFonts w:ascii="Arial" w:hAnsi="Arial" w:cs="Arial"/>
        </w:rPr>
      </w:pPr>
      <w:r w:rsidRPr="002F1021">
        <w:rPr>
          <w:rFonts w:ascii="Arial" w:hAnsi="Arial" w:cs="Arial"/>
        </w:rPr>
        <w:lastRenderedPageBreak/>
        <w:t>TRAVAIL À FAIRE PAR LE CANDIDAT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COMPREHENSION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 xml:space="preserve">A rédiger en </w:t>
      </w:r>
      <w:r w:rsidRPr="002F1021">
        <w:rPr>
          <w:rFonts w:ascii="Arial" w:hAnsi="Arial" w:cs="Arial"/>
          <w:b/>
          <w:i/>
        </w:rPr>
        <w:t>FRANÇAIS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Après avoir lu attentivement l'article, vous en dégagerez les idées essentielles en</w:t>
      </w:r>
    </w:p>
    <w:p w:rsidR="00CB01F4" w:rsidRPr="002F1021" w:rsidRDefault="00CB01F4" w:rsidP="00CB01F4">
      <w:pPr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Pr="002F1021">
        <w:rPr>
          <w:rFonts w:ascii="Arial" w:hAnsi="Arial" w:cs="Arial"/>
        </w:rPr>
        <w:t>0 mots (+ ou - 10%).</w:t>
      </w: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Vous indiquerez le nombre de mots utilisés.</w:t>
      </w:r>
    </w:p>
    <w:p w:rsidR="00CB01F4" w:rsidRPr="002F1021" w:rsidRDefault="00CB01F4" w:rsidP="00CB01F4">
      <w:pPr>
        <w:rPr>
          <w:rFonts w:ascii="Arial" w:hAnsi="Arial" w:cs="Arial"/>
        </w:rPr>
      </w:pPr>
      <w:r w:rsidRPr="002F1021">
        <w:rPr>
          <w:rFonts w:ascii="Arial" w:hAnsi="Arial" w:cs="Arial"/>
        </w:rPr>
        <w:t>Toute présentation sous forme de notes sera pénalisée.</w:t>
      </w:r>
    </w:p>
    <w:p w:rsidR="00CB01F4" w:rsidRDefault="00CB01F4" w:rsidP="00CB01F4">
      <w:pPr>
        <w:rPr>
          <w:rFonts w:ascii="Arial" w:hAnsi="Arial" w:cs="Arial"/>
        </w:rPr>
      </w:pPr>
    </w:p>
    <w:p w:rsidR="00CB01F4" w:rsidRDefault="00CB01F4" w:rsidP="00CB01F4">
      <w:pPr>
        <w:rPr>
          <w:rFonts w:ascii="Arial" w:hAnsi="Arial" w:cs="Arial"/>
        </w:rPr>
      </w:pPr>
    </w:p>
    <w:p w:rsidR="00CB01F4" w:rsidRPr="002F1021" w:rsidRDefault="00CB01F4" w:rsidP="00CB01F4">
      <w:pPr>
        <w:numPr>
          <w:ilvl w:val="0"/>
          <w:numId w:val="39"/>
        </w:numPr>
        <w:rPr>
          <w:rFonts w:ascii="Arial" w:hAnsi="Arial" w:cs="Arial"/>
          <w:b/>
        </w:rPr>
      </w:pPr>
      <w:r w:rsidRPr="002F1021">
        <w:rPr>
          <w:rFonts w:ascii="Arial" w:hAnsi="Arial" w:cs="Arial"/>
          <w:b/>
        </w:rPr>
        <w:t xml:space="preserve">EXPRESSION </w:t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</w:r>
      <w:r w:rsidRPr="002F1021">
        <w:rPr>
          <w:rFonts w:ascii="Arial" w:hAnsi="Arial" w:cs="Arial"/>
          <w:b/>
        </w:rPr>
        <w:tab/>
        <w:t>10 points</w:t>
      </w:r>
    </w:p>
    <w:p w:rsidR="00CB01F4" w:rsidRDefault="00CB01F4" w:rsidP="00CB01F4">
      <w:pPr>
        <w:rPr>
          <w:rFonts w:ascii="Arial" w:hAnsi="Arial" w:cs="Arial"/>
        </w:rPr>
      </w:pPr>
    </w:p>
    <w:p w:rsidR="001B06F1" w:rsidRPr="001B06F1" w:rsidRDefault="001B06F1" w:rsidP="001B06F1">
      <w:pPr>
        <w:rPr>
          <w:rFonts w:ascii="Arial" w:hAnsi="Arial" w:cs="Arial"/>
          <w:lang w:val="en-US"/>
        </w:rPr>
      </w:pPr>
      <w:r w:rsidRPr="001B06F1">
        <w:rPr>
          <w:rFonts w:ascii="Arial" w:hAnsi="Arial" w:cs="Arial"/>
          <w:lang w:val="en-US"/>
        </w:rPr>
        <w:t>Read the statement of an American millionaire who was in London in August 2003 to tell the British</w:t>
      </w:r>
      <w:r>
        <w:rPr>
          <w:rFonts w:ascii="Arial" w:hAnsi="Arial" w:cs="Arial"/>
          <w:lang w:val="en-US"/>
        </w:rPr>
        <w:t xml:space="preserve"> </w:t>
      </w:r>
      <w:r w:rsidRPr="001B06F1">
        <w:rPr>
          <w:rFonts w:ascii="Arial" w:hAnsi="Arial" w:cs="Arial"/>
          <w:lang w:val="en-US"/>
        </w:rPr>
        <w:t>how to get rich.</w:t>
      </w:r>
    </w:p>
    <w:p w:rsidR="001B06F1" w:rsidRDefault="001B06F1" w:rsidP="001B06F1">
      <w:pPr>
        <w:rPr>
          <w:rFonts w:ascii="Arial" w:hAnsi="Arial" w:cs="Arial"/>
          <w:lang w:val="en-US"/>
        </w:rPr>
      </w:pPr>
    </w:p>
    <w:p w:rsidR="001B06F1" w:rsidRDefault="001B06F1" w:rsidP="001B06F1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“The most dange</w:t>
      </w:r>
      <w:r w:rsidRPr="001B06F1">
        <w:rPr>
          <w:rFonts w:ascii="Arial" w:hAnsi="Arial" w:cs="Arial"/>
          <w:lang w:val="en-US"/>
        </w:rPr>
        <w:t>rous advice you can give a child is to go to school, do we</w:t>
      </w:r>
      <w:r>
        <w:rPr>
          <w:rFonts w:ascii="Arial" w:hAnsi="Arial" w:cs="Arial"/>
          <w:lang w:val="en-US"/>
        </w:rPr>
        <w:t>l</w:t>
      </w:r>
      <w:r w:rsidRPr="001B06F1">
        <w:rPr>
          <w:rFonts w:ascii="Arial" w:hAnsi="Arial" w:cs="Arial"/>
          <w:lang w:val="en-US"/>
        </w:rPr>
        <w:t>l and look for a safe,</w:t>
      </w:r>
      <w:r>
        <w:rPr>
          <w:rFonts w:ascii="Arial" w:hAnsi="Arial" w:cs="Arial"/>
          <w:lang w:val="en-US"/>
        </w:rPr>
        <w:t xml:space="preserve"> secure job.”</w:t>
      </w:r>
    </w:p>
    <w:p w:rsidR="001B06F1" w:rsidRPr="001B06F1" w:rsidRDefault="001B06F1" w:rsidP="001B06F1">
      <w:pPr>
        <w:rPr>
          <w:rFonts w:ascii="Arial" w:hAnsi="Arial" w:cs="Arial"/>
          <w:lang w:val="en-US"/>
        </w:rPr>
      </w:pPr>
    </w:p>
    <w:p w:rsidR="001B06F1" w:rsidRPr="001B06F1" w:rsidRDefault="001B06F1" w:rsidP="001B06F1">
      <w:pPr>
        <w:rPr>
          <w:rFonts w:ascii="Arial" w:hAnsi="Arial" w:cs="Arial"/>
          <w:lang w:val="en-US"/>
        </w:rPr>
      </w:pPr>
      <w:r w:rsidRPr="001B06F1">
        <w:rPr>
          <w:rFonts w:ascii="Arial" w:hAnsi="Arial" w:cs="Arial"/>
          <w:lang w:val="en-US"/>
        </w:rPr>
        <w:t xml:space="preserve">Answer the following question in </w:t>
      </w:r>
      <w:r w:rsidRPr="001B06F1">
        <w:rPr>
          <w:rFonts w:ascii="Arial" w:hAnsi="Arial" w:cs="Arial"/>
          <w:b/>
          <w:lang w:val="en-US"/>
        </w:rPr>
        <w:t>ENGLISH</w:t>
      </w:r>
      <w:r w:rsidRPr="001B06F1">
        <w:rPr>
          <w:rFonts w:ascii="Arial" w:hAnsi="Arial" w:cs="Arial"/>
          <w:lang w:val="en-US"/>
        </w:rPr>
        <w:t>:</w:t>
      </w:r>
    </w:p>
    <w:p w:rsidR="001B06F1" w:rsidRDefault="001B06F1" w:rsidP="001B06F1">
      <w:pPr>
        <w:rPr>
          <w:rFonts w:ascii="Arial" w:hAnsi="Arial" w:cs="Arial"/>
          <w:lang w:val="en-US"/>
        </w:rPr>
      </w:pPr>
    </w:p>
    <w:p w:rsidR="001B06F1" w:rsidRPr="001B06F1" w:rsidRDefault="001B06F1" w:rsidP="001B06F1">
      <w:pPr>
        <w:rPr>
          <w:rFonts w:ascii="Arial" w:hAnsi="Arial" w:cs="Arial"/>
          <w:lang w:val="en-US"/>
        </w:rPr>
      </w:pPr>
      <w:r w:rsidRPr="001B06F1">
        <w:rPr>
          <w:rFonts w:ascii="Arial" w:hAnsi="Arial" w:cs="Arial"/>
          <w:lang w:val="en-US"/>
        </w:rPr>
        <w:t>Explain what this statement means, and say whether you agree or disagree with it as far as your</w:t>
      </w:r>
      <w:r>
        <w:rPr>
          <w:rFonts w:ascii="Arial" w:hAnsi="Arial" w:cs="Arial"/>
          <w:lang w:val="en-US"/>
        </w:rPr>
        <w:t xml:space="preserve"> </w:t>
      </w:r>
      <w:r w:rsidRPr="001B06F1">
        <w:rPr>
          <w:rFonts w:ascii="Arial" w:hAnsi="Arial" w:cs="Arial"/>
          <w:lang w:val="en-US"/>
        </w:rPr>
        <w:t>professional experience and your future job are concerned.</w:t>
      </w:r>
    </w:p>
    <w:p w:rsidR="001B06F1" w:rsidRDefault="001B06F1" w:rsidP="001B06F1">
      <w:pPr>
        <w:rPr>
          <w:rFonts w:ascii="Arial" w:hAnsi="Arial" w:cs="Arial"/>
          <w:lang w:val="en-US"/>
        </w:rPr>
      </w:pPr>
    </w:p>
    <w:p w:rsidR="005C475B" w:rsidRPr="00597913" w:rsidRDefault="001B06F1" w:rsidP="001B06F1">
      <w:pPr>
        <w:rPr>
          <w:rFonts w:ascii="Arial" w:hAnsi="Arial" w:cs="Arial"/>
          <w:b/>
          <w:i/>
          <w:lang w:val="en-US"/>
        </w:rPr>
      </w:pPr>
      <w:r w:rsidRPr="001B06F1">
        <w:rPr>
          <w:rFonts w:ascii="Arial" w:hAnsi="Arial" w:cs="Arial"/>
        </w:rPr>
        <w:t xml:space="preserve">(250 </w:t>
      </w:r>
      <w:proofErr w:type="spellStart"/>
      <w:r w:rsidRPr="001B06F1">
        <w:rPr>
          <w:rFonts w:ascii="Arial" w:hAnsi="Arial" w:cs="Arial"/>
        </w:rPr>
        <w:t>words</w:t>
      </w:r>
      <w:proofErr w:type="spellEnd"/>
      <w:r w:rsidRPr="001B06F1">
        <w:rPr>
          <w:rFonts w:ascii="Arial" w:hAnsi="Arial" w:cs="Arial"/>
        </w:rPr>
        <w:t xml:space="preserve"> </w:t>
      </w:r>
      <w:proofErr w:type="spellStart"/>
      <w:r w:rsidRPr="001B06F1">
        <w:rPr>
          <w:rFonts w:ascii="Arial" w:hAnsi="Arial" w:cs="Arial"/>
        </w:rPr>
        <w:t>at</w:t>
      </w:r>
      <w:proofErr w:type="spellEnd"/>
      <w:r w:rsidRPr="001B06F1">
        <w:rPr>
          <w:rFonts w:ascii="Arial" w:hAnsi="Arial" w:cs="Arial"/>
        </w:rPr>
        <w:t xml:space="preserve"> least)</w:t>
      </w:r>
    </w:p>
    <w:sectPr w:rsidR="005C475B" w:rsidRPr="00597913" w:rsidSect="00CB01F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F2B" w:rsidRDefault="00420F2B">
      <w:r>
        <w:separator/>
      </w:r>
    </w:p>
  </w:endnote>
  <w:endnote w:type="continuationSeparator" w:id="0">
    <w:p w:rsidR="00420F2B" w:rsidRDefault="0042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993EB0" w:rsidP="00327EA2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 w:rsidR="002F1021">
      <w:rPr>
        <w:sz w:val="20"/>
      </w:rPr>
      <w:t>BTS 20</w:t>
    </w:r>
    <w:r w:rsidR="00672AF4">
      <w:rPr>
        <w:sz w:val="20"/>
      </w:rPr>
      <w:t>04</w:t>
    </w:r>
    <w:r>
      <w:rPr>
        <w:sz w:val="20"/>
      </w:rPr>
      <w:t xml:space="preserve"> – EPREUVE </w:t>
    </w:r>
    <w:r w:rsidR="00000C0D">
      <w:rPr>
        <w:sz w:val="20"/>
      </w:rPr>
      <w:t>2</w:t>
    </w:r>
    <w:r>
      <w:rPr>
        <w:sz w:val="20"/>
      </w:rPr>
      <w:t xml:space="preserve"> – </w:t>
    </w:r>
    <w:r w:rsidR="00000C0D">
      <w:rPr>
        <w:sz w:val="20"/>
      </w:rPr>
      <w:t>Anglais</w:t>
    </w:r>
    <w:r>
      <w:rPr>
        <w:sz w:val="20"/>
      </w:rPr>
      <w:t xml:space="preserve"> 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DF32D2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DF32D2">
      <w:rPr>
        <w:rStyle w:val="Numrodepage"/>
        <w:noProof/>
        <w:sz w:val="20"/>
      </w:rPr>
      <w:t>3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F2B" w:rsidRDefault="00420F2B">
      <w:r>
        <w:separator/>
      </w:r>
    </w:p>
  </w:footnote>
  <w:footnote w:type="continuationSeparator" w:id="0">
    <w:p w:rsidR="00420F2B" w:rsidRDefault="00420F2B">
      <w:r>
        <w:continuationSeparator/>
      </w:r>
    </w:p>
  </w:footnote>
  <w:footnote w:id="1">
    <w:p w:rsidR="001B06F1" w:rsidRPr="001B06F1" w:rsidRDefault="001B06F1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1B06F1">
        <w:rPr>
          <w:lang w:val="en-US"/>
        </w:rPr>
        <w:t xml:space="preserve"> CBI: Confederation of British Industry, the managers' union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B0" w:rsidRDefault="00D161B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D164BC2" wp14:editId="5B655E1E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4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993EB0"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420F2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1" type="#_x0000_t75" style="position:absolute;left:0;text-align:left;margin-left:0;margin-top:0;width:495.9pt;height:495.9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  <w:p w:rsidR="00993EB0" w:rsidRDefault="00993EB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F4" w:rsidRDefault="00CB01F4" w:rsidP="00327EA2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9DD101" wp14:editId="5167FE0F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9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672AF4">
      <w:rPr>
        <w:noProof/>
      </w:rPr>
      <w:drawing>
        <wp:anchor distT="0" distB="0" distL="114300" distR="114300" simplePos="0" relativeHeight="251658240" behindDoc="1" locked="0" layoutInCell="0" allowOverlap="1" wp14:anchorId="1D8A7877" wp14:editId="643C401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10" name="Image 10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01F4" w:rsidRDefault="00CB01F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1.7pt;height:19.7pt;visibility:visible" o:bullet="t">
        <v:imagedata r:id="rId1" o:title=""/>
      </v:shape>
    </w:pict>
  </w:numPicBullet>
  <w:abstractNum w:abstractNumId="0">
    <w:nsid w:val="000E3B4B"/>
    <w:multiLevelType w:val="hybridMultilevel"/>
    <w:tmpl w:val="ECC4A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6EE0"/>
    <w:multiLevelType w:val="hybridMultilevel"/>
    <w:tmpl w:val="AE2AF086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1F047B"/>
    <w:multiLevelType w:val="hybridMultilevel"/>
    <w:tmpl w:val="312CDEB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0C09D4"/>
    <w:multiLevelType w:val="hybridMultilevel"/>
    <w:tmpl w:val="9B827A8A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7512A"/>
    <w:multiLevelType w:val="hybridMultilevel"/>
    <w:tmpl w:val="A8066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150464"/>
    <w:multiLevelType w:val="hybridMultilevel"/>
    <w:tmpl w:val="4632830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96EFB"/>
    <w:multiLevelType w:val="hybridMultilevel"/>
    <w:tmpl w:val="B2B8C33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322964"/>
    <w:multiLevelType w:val="hybridMultilevel"/>
    <w:tmpl w:val="3748550A"/>
    <w:lvl w:ilvl="0" w:tplc="905CA19A">
      <w:numFmt w:val="bullet"/>
      <w:lvlText w:val="-"/>
      <w:lvlJc w:val="left"/>
      <w:pPr>
        <w:ind w:left="242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22A4164D"/>
    <w:multiLevelType w:val="hybridMultilevel"/>
    <w:tmpl w:val="5D2E2F4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28282E"/>
    <w:multiLevelType w:val="hybridMultilevel"/>
    <w:tmpl w:val="435EE03A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677EC9"/>
    <w:multiLevelType w:val="hybridMultilevel"/>
    <w:tmpl w:val="8ACE6378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1443F5"/>
    <w:multiLevelType w:val="hybridMultilevel"/>
    <w:tmpl w:val="A7169AC2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345C5"/>
    <w:multiLevelType w:val="hybridMultilevel"/>
    <w:tmpl w:val="72C8D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7031AD"/>
    <w:multiLevelType w:val="hybridMultilevel"/>
    <w:tmpl w:val="FC248E6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C3BFE"/>
    <w:multiLevelType w:val="hybridMultilevel"/>
    <w:tmpl w:val="7D8E2EDE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476A3A"/>
    <w:multiLevelType w:val="hybridMultilevel"/>
    <w:tmpl w:val="4126AE00"/>
    <w:lvl w:ilvl="0" w:tplc="50764E32">
      <w:start w:val="1"/>
      <w:numFmt w:val="decimal"/>
      <w:lvlText w:val="(%1)"/>
      <w:lvlJc w:val="left"/>
      <w:pPr>
        <w:ind w:left="720" w:hanging="360"/>
      </w:pPr>
      <w:rPr>
        <w:rFonts w:hint="default"/>
        <w:i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1A17A61"/>
    <w:multiLevelType w:val="hybridMultilevel"/>
    <w:tmpl w:val="2E0E43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49626EFE"/>
    <w:multiLevelType w:val="hybridMultilevel"/>
    <w:tmpl w:val="9DC63044"/>
    <w:lvl w:ilvl="0" w:tplc="905CA19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AAF5D78"/>
    <w:multiLevelType w:val="hybridMultilevel"/>
    <w:tmpl w:val="0D90CAB8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3A4036"/>
    <w:multiLevelType w:val="hybridMultilevel"/>
    <w:tmpl w:val="2876AE3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8540B9"/>
    <w:multiLevelType w:val="hybridMultilevel"/>
    <w:tmpl w:val="5D1C93D0"/>
    <w:lvl w:ilvl="0" w:tplc="905CA1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B602BE"/>
    <w:multiLevelType w:val="hybridMultilevel"/>
    <w:tmpl w:val="AEBA9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4C7E51"/>
    <w:multiLevelType w:val="hybridMultilevel"/>
    <w:tmpl w:val="448AF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3B2179"/>
    <w:multiLevelType w:val="hybridMultilevel"/>
    <w:tmpl w:val="8C8698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6F1412"/>
    <w:multiLevelType w:val="hybridMultilevel"/>
    <w:tmpl w:val="70BEA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5060"/>
    <w:multiLevelType w:val="hybridMultilevel"/>
    <w:tmpl w:val="92C8A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307776"/>
    <w:multiLevelType w:val="hybridMultilevel"/>
    <w:tmpl w:val="5CA464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EA3CA8"/>
    <w:multiLevelType w:val="hybridMultilevel"/>
    <w:tmpl w:val="794CB9DE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8D670E"/>
    <w:multiLevelType w:val="hybridMultilevel"/>
    <w:tmpl w:val="CF2078EA"/>
    <w:lvl w:ilvl="0" w:tplc="0792B2F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CE2BA8"/>
    <w:multiLevelType w:val="hybridMultilevel"/>
    <w:tmpl w:val="A36049F6"/>
    <w:lvl w:ilvl="0" w:tplc="B78AA048">
      <w:start w:val="1"/>
      <w:numFmt w:val="decimal"/>
      <w:lvlText w:val="%1."/>
      <w:lvlJc w:val="left"/>
      <w:pPr>
        <w:ind w:left="780" w:hanging="360"/>
      </w:pPr>
      <w:rPr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0EB6E18"/>
    <w:multiLevelType w:val="hybridMultilevel"/>
    <w:tmpl w:val="AA588E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DC0C7B"/>
    <w:multiLevelType w:val="hybridMultilevel"/>
    <w:tmpl w:val="1A547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33B66"/>
    <w:multiLevelType w:val="hybridMultilevel"/>
    <w:tmpl w:val="0068045A"/>
    <w:lvl w:ilvl="0" w:tplc="0792B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3E7B04"/>
    <w:multiLevelType w:val="hybridMultilevel"/>
    <w:tmpl w:val="45AEA2A6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4260C"/>
    <w:multiLevelType w:val="hybridMultilevel"/>
    <w:tmpl w:val="750A83A2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32A04"/>
    <w:multiLevelType w:val="hybridMultilevel"/>
    <w:tmpl w:val="32F066C0"/>
    <w:lvl w:ilvl="0" w:tplc="905CA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9D1A66"/>
    <w:multiLevelType w:val="hybridMultilevel"/>
    <w:tmpl w:val="D7F0B4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805B9"/>
    <w:multiLevelType w:val="hybridMultilevel"/>
    <w:tmpl w:val="F8323D5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6A6E97"/>
    <w:multiLevelType w:val="hybridMultilevel"/>
    <w:tmpl w:val="B9D22F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35"/>
  </w:num>
  <w:num w:numId="4">
    <w:abstractNumId w:val="8"/>
  </w:num>
  <w:num w:numId="5">
    <w:abstractNumId w:val="0"/>
  </w:num>
  <w:num w:numId="6">
    <w:abstractNumId w:val="17"/>
  </w:num>
  <w:num w:numId="7">
    <w:abstractNumId w:val="32"/>
  </w:num>
  <w:num w:numId="8">
    <w:abstractNumId w:val="1"/>
  </w:num>
  <w:num w:numId="9">
    <w:abstractNumId w:val="6"/>
  </w:num>
  <w:num w:numId="10">
    <w:abstractNumId w:val="24"/>
  </w:num>
  <w:num w:numId="11">
    <w:abstractNumId w:val="27"/>
  </w:num>
  <w:num w:numId="12">
    <w:abstractNumId w:val="15"/>
  </w:num>
  <w:num w:numId="13">
    <w:abstractNumId w:val="38"/>
  </w:num>
  <w:num w:numId="14">
    <w:abstractNumId w:val="19"/>
  </w:num>
  <w:num w:numId="15">
    <w:abstractNumId w:val="12"/>
  </w:num>
  <w:num w:numId="16">
    <w:abstractNumId w:val="10"/>
  </w:num>
  <w:num w:numId="17">
    <w:abstractNumId w:val="33"/>
  </w:num>
  <w:num w:numId="18">
    <w:abstractNumId w:val="30"/>
  </w:num>
  <w:num w:numId="19">
    <w:abstractNumId w:val="29"/>
  </w:num>
  <w:num w:numId="20">
    <w:abstractNumId w:val="37"/>
  </w:num>
  <w:num w:numId="21">
    <w:abstractNumId w:val="7"/>
  </w:num>
  <w:num w:numId="22">
    <w:abstractNumId w:val="22"/>
  </w:num>
  <w:num w:numId="23">
    <w:abstractNumId w:val="14"/>
  </w:num>
  <w:num w:numId="24">
    <w:abstractNumId w:val="9"/>
  </w:num>
  <w:num w:numId="25">
    <w:abstractNumId w:val="20"/>
  </w:num>
  <w:num w:numId="26">
    <w:abstractNumId w:val="4"/>
  </w:num>
  <w:num w:numId="27">
    <w:abstractNumId w:val="3"/>
  </w:num>
  <w:num w:numId="28">
    <w:abstractNumId w:val="25"/>
  </w:num>
  <w:num w:numId="29">
    <w:abstractNumId w:val="21"/>
  </w:num>
  <w:num w:numId="30">
    <w:abstractNumId w:val="13"/>
  </w:num>
  <w:num w:numId="31">
    <w:abstractNumId w:val="5"/>
  </w:num>
  <w:num w:numId="32">
    <w:abstractNumId w:val="11"/>
  </w:num>
  <w:num w:numId="33">
    <w:abstractNumId w:val="2"/>
  </w:num>
  <w:num w:numId="34">
    <w:abstractNumId w:val="28"/>
  </w:num>
  <w:num w:numId="35">
    <w:abstractNumId w:val="40"/>
  </w:num>
  <w:num w:numId="36">
    <w:abstractNumId w:val="26"/>
  </w:num>
  <w:num w:numId="37">
    <w:abstractNumId w:val="23"/>
  </w:num>
  <w:num w:numId="38">
    <w:abstractNumId w:val="34"/>
  </w:num>
  <w:num w:numId="39">
    <w:abstractNumId w:val="39"/>
  </w:num>
  <w:num w:numId="40">
    <w:abstractNumId w:val="3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0C0D"/>
    <w:rsid w:val="00011BC2"/>
    <w:rsid w:val="00024DBA"/>
    <w:rsid w:val="0006126D"/>
    <w:rsid w:val="00092392"/>
    <w:rsid w:val="000C25DC"/>
    <w:rsid w:val="001169D3"/>
    <w:rsid w:val="00120D8F"/>
    <w:rsid w:val="001268F8"/>
    <w:rsid w:val="001618CA"/>
    <w:rsid w:val="001623FF"/>
    <w:rsid w:val="001803BC"/>
    <w:rsid w:val="001B06F1"/>
    <w:rsid w:val="001B6432"/>
    <w:rsid w:val="001F09DC"/>
    <w:rsid w:val="00220430"/>
    <w:rsid w:val="00220720"/>
    <w:rsid w:val="00241F80"/>
    <w:rsid w:val="00267F93"/>
    <w:rsid w:val="002A5CC9"/>
    <w:rsid w:val="002C0748"/>
    <w:rsid w:val="002C6A9B"/>
    <w:rsid w:val="002E646B"/>
    <w:rsid w:val="002F1021"/>
    <w:rsid w:val="00300DBB"/>
    <w:rsid w:val="00302F79"/>
    <w:rsid w:val="00304C71"/>
    <w:rsid w:val="00306DE8"/>
    <w:rsid w:val="0031669D"/>
    <w:rsid w:val="00327EA2"/>
    <w:rsid w:val="00331F00"/>
    <w:rsid w:val="00351CD3"/>
    <w:rsid w:val="003628F0"/>
    <w:rsid w:val="0037034F"/>
    <w:rsid w:val="003B1A78"/>
    <w:rsid w:val="00420F2B"/>
    <w:rsid w:val="00440604"/>
    <w:rsid w:val="00442619"/>
    <w:rsid w:val="00455C22"/>
    <w:rsid w:val="00466F89"/>
    <w:rsid w:val="00487D3A"/>
    <w:rsid w:val="0049403B"/>
    <w:rsid w:val="004957E4"/>
    <w:rsid w:val="004974BD"/>
    <w:rsid w:val="004E452A"/>
    <w:rsid w:val="004F1EE6"/>
    <w:rsid w:val="004F3400"/>
    <w:rsid w:val="00501A8B"/>
    <w:rsid w:val="00510AEE"/>
    <w:rsid w:val="00513DEF"/>
    <w:rsid w:val="00550918"/>
    <w:rsid w:val="0055120D"/>
    <w:rsid w:val="00556BB3"/>
    <w:rsid w:val="00584F6F"/>
    <w:rsid w:val="00597913"/>
    <w:rsid w:val="005C475B"/>
    <w:rsid w:val="005C7E38"/>
    <w:rsid w:val="005D4C4F"/>
    <w:rsid w:val="005D6E4E"/>
    <w:rsid w:val="005E203C"/>
    <w:rsid w:val="00644703"/>
    <w:rsid w:val="00644AA4"/>
    <w:rsid w:val="00645F9D"/>
    <w:rsid w:val="00663C61"/>
    <w:rsid w:val="00672AF4"/>
    <w:rsid w:val="00686D65"/>
    <w:rsid w:val="006B443F"/>
    <w:rsid w:val="006C7F16"/>
    <w:rsid w:val="006D5DC2"/>
    <w:rsid w:val="006E0BA8"/>
    <w:rsid w:val="006E2D30"/>
    <w:rsid w:val="006E66C1"/>
    <w:rsid w:val="006F6CE9"/>
    <w:rsid w:val="00704E17"/>
    <w:rsid w:val="00711736"/>
    <w:rsid w:val="0071609A"/>
    <w:rsid w:val="00750EC4"/>
    <w:rsid w:val="0075145A"/>
    <w:rsid w:val="00752C4A"/>
    <w:rsid w:val="007545FA"/>
    <w:rsid w:val="00771BFC"/>
    <w:rsid w:val="00774713"/>
    <w:rsid w:val="00776D89"/>
    <w:rsid w:val="00787344"/>
    <w:rsid w:val="007D3682"/>
    <w:rsid w:val="00814B29"/>
    <w:rsid w:val="008165BE"/>
    <w:rsid w:val="008219CB"/>
    <w:rsid w:val="0082564A"/>
    <w:rsid w:val="00832FB7"/>
    <w:rsid w:val="00852D9C"/>
    <w:rsid w:val="008A3541"/>
    <w:rsid w:val="008E1BE3"/>
    <w:rsid w:val="00920076"/>
    <w:rsid w:val="009213D7"/>
    <w:rsid w:val="0093432D"/>
    <w:rsid w:val="00937BBB"/>
    <w:rsid w:val="00940783"/>
    <w:rsid w:val="00945596"/>
    <w:rsid w:val="00946BB2"/>
    <w:rsid w:val="00981059"/>
    <w:rsid w:val="00993EB0"/>
    <w:rsid w:val="009B5CA0"/>
    <w:rsid w:val="009C61AA"/>
    <w:rsid w:val="009D4AA3"/>
    <w:rsid w:val="00A153D0"/>
    <w:rsid w:val="00A159A0"/>
    <w:rsid w:val="00A41F5F"/>
    <w:rsid w:val="00A7121D"/>
    <w:rsid w:val="00AC643E"/>
    <w:rsid w:val="00AE2F44"/>
    <w:rsid w:val="00B056C6"/>
    <w:rsid w:val="00B0772C"/>
    <w:rsid w:val="00B21790"/>
    <w:rsid w:val="00B255BC"/>
    <w:rsid w:val="00B309DB"/>
    <w:rsid w:val="00B357DD"/>
    <w:rsid w:val="00B36592"/>
    <w:rsid w:val="00B44AE5"/>
    <w:rsid w:val="00B7457D"/>
    <w:rsid w:val="00B753B4"/>
    <w:rsid w:val="00C10719"/>
    <w:rsid w:val="00C354A5"/>
    <w:rsid w:val="00C43696"/>
    <w:rsid w:val="00C57456"/>
    <w:rsid w:val="00C60E49"/>
    <w:rsid w:val="00C7079A"/>
    <w:rsid w:val="00C75734"/>
    <w:rsid w:val="00C85017"/>
    <w:rsid w:val="00C9517D"/>
    <w:rsid w:val="00C95301"/>
    <w:rsid w:val="00C964EB"/>
    <w:rsid w:val="00CB01F4"/>
    <w:rsid w:val="00CB184C"/>
    <w:rsid w:val="00CB397A"/>
    <w:rsid w:val="00CB4970"/>
    <w:rsid w:val="00CC2DFA"/>
    <w:rsid w:val="00CE4C7C"/>
    <w:rsid w:val="00CF042D"/>
    <w:rsid w:val="00D1473E"/>
    <w:rsid w:val="00D14D77"/>
    <w:rsid w:val="00D161B4"/>
    <w:rsid w:val="00D2425D"/>
    <w:rsid w:val="00D34615"/>
    <w:rsid w:val="00D50100"/>
    <w:rsid w:val="00D52109"/>
    <w:rsid w:val="00D53534"/>
    <w:rsid w:val="00D61D17"/>
    <w:rsid w:val="00D96904"/>
    <w:rsid w:val="00DB0589"/>
    <w:rsid w:val="00DC52DD"/>
    <w:rsid w:val="00DD35A4"/>
    <w:rsid w:val="00DF0AE4"/>
    <w:rsid w:val="00DF32D2"/>
    <w:rsid w:val="00DF42D9"/>
    <w:rsid w:val="00E12E2F"/>
    <w:rsid w:val="00E32DE1"/>
    <w:rsid w:val="00E34144"/>
    <w:rsid w:val="00E43323"/>
    <w:rsid w:val="00E475E0"/>
    <w:rsid w:val="00E55FB3"/>
    <w:rsid w:val="00E86484"/>
    <w:rsid w:val="00E9324B"/>
    <w:rsid w:val="00EA2717"/>
    <w:rsid w:val="00EC50A3"/>
    <w:rsid w:val="00EC75A2"/>
    <w:rsid w:val="00ED7BE3"/>
    <w:rsid w:val="00EE035B"/>
    <w:rsid w:val="00F04F8E"/>
    <w:rsid w:val="00F43BDF"/>
    <w:rsid w:val="00F5348A"/>
    <w:rsid w:val="00F9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D4C4F"/>
    <w:pPr>
      <w:ind w:left="720"/>
      <w:contextualSpacing/>
    </w:pPr>
  </w:style>
  <w:style w:type="character" w:styleId="Textedelespacerserv">
    <w:name w:val="Placeholder Text"/>
    <w:uiPriority w:val="99"/>
    <w:semiHidden/>
    <w:rsid w:val="00CE4C7C"/>
    <w:rPr>
      <w:color w:val="808080"/>
    </w:rPr>
  </w:style>
  <w:style w:type="character" w:styleId="Numrodeligne">
    <w:name w:val="line number"/>
    <w:basedOn w:val="Policepardfaut"/>
    <w:rsid w:val="00B4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A1B2-E278-4803-A037-19630621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3545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11</cp:revision>
  <cp:lastPrinted>2012-12-06T11:26:00Z</cp:lastPrinted>
  <dcterms:created xsi:type="dcterms:W3CDTF">2012-12-10T08:44:00Z</dcterms:created>
  <dcterms:modified xsi:type="dcterms:W3CDTF">2012-12-10T19:08:00Z</dcterms:modified>
</cp:coreProperties>
</file>