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72C" w:rsidRDefault="00B0772C">
      <w:pPr>
        <w:pStyle w:val="Titre1"/>
      </w:pPr>
    </w:p>
    <w:p w:rsidR="00C75734" w:rsidRPr="00C75734" w:rsidRDefault="00C75734" w:rsidP="00C75734"/>
    <w:p w:rsidR="00C75734" w:rsidRDefault="00C75734" w:rsidP="00C7573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36"/>
          <w:szCs w:val="36"/>
        </w:rPr>
      </w:pPr>
    </w:p>
    <w:p w:rsidR="00C75734" w:rsidRPr="00C75734" w:rsidRDefault="00C75734" w:rsidP="003D0C63">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center"/>
        <w:rPr>
          <w:rFonts w:ascii="Arial" w:hAnsi="Arial" w:cs="Arial"/>
          <w:b/>
          <w:bCs/>
          <w:sz w:val="36"/>
          <w:szCs w:val="36"/>
        </w:rPr>
      </w:pPr>
      <w:r>
        <w:rPr>
          <w:rFonts w:ascii="Arial" w:hAnsi="Arial" w:cs="Arial"/>
          <w:b/>
          <w:bCs/>
          <w:sz w:val="36"/>
          <w:szCs w:val="36"/>
        </w:rPr>
        <w:t>BREVET DE TECHNICIEN SUPÉRIEUR</w:t>
      </w:r>
    </w:p>
    <w:p w:rsidR="003D0C63" w:rsidRPr="003D0C63" w:rsidRDefault="003D0C63" w:rsidP="003D0C63">
      <w:pPr>
        <w:pStyle w:val="Titre1"/>
        <w:pBdr>
          <w:top w:val="single" w:sz="4" w:space="1" w:color="auto"/>
          <w:left w:val="single" w:sz="4" w:space="4" w:color="auto"/>
          <w:bottom w:val="single" w:sz="4" w:space="1" w:color="auto"/>
          <w:right w:val="single" w:sz="4" w:space="4" w:color="auto"/>
        </w:pBdr>
        <w:spacing w:line="276" w:lineRule="auto"/>
        <w:jc w:val="center"/>
        <w:rPr>
          <w:rFonts w:ascii="Arial" w:hAnsi="Arial" w:cs="Arial"/>
          <w:b w:val="0"/>
          <w:bCs w:val="0"/>
        </w:rPr>
      </w:pPr>
      <w:r w:rsidRPr="003D0C63">
        <w:rPr>
          <w:rFonts w:ascii="Arial" w:hAnsi="Arial" w:cs="Arial"/>
          <w:b w:val="0"/>
          <w:bCs w:val="0"/>
        </w:rPr>
        <w:t>BANQUE</w:t>
      </w:r>
    </w:p>
    <w:p w:rsidR="00B0772C" w:rsidRDefault="003D0C63" w:rsidP="003D0C63">
      <w:pPr>
        <w:pStyle w:val="Titre1"/>
        <w:pBdr>
          <w:top w:val="single" w:sz="4" w:space="1" w:color="auto"/>
          <w:left w:val="single" w:sz="4" w:space="4" w:color="auto"/>
          <w:bottom w:val="single" w:sz="4" w:space="1" w:color="auto"/>
          <w:right w:val="single" w:sz="4" w:space="4" w:color="auto"/>
        </w:pBdr>
        <w:spacing w:line="276" w:lineRule="auto"/>
        <w:jc w:val="center"/>
        <w:rPr>
          <w:rFonts w:ascii="Arial" w:hAnsi="Arial" w:cs="Arial"/>
          <w:b w:val="0"/>
          <w:bCs w:val="0"/>
        </w:rPr>
      </w:pPr>
      <w:r w:rsidRPr="003D0C63">
        <w:rPr>
          <w:rFonts w:ascii="Arial" w:hAnsi="Arial" w:cs="Arial"/>
          <w:b w:val="0"/>
          <w:bCs w:val="0"/>
        </w:rPr>
        <w:t>PROFESSIONS IMMOBILIÈRES</w:t>
      </w:r>
    </w:p>
    <w:p w:rsidR="00C75734" w:rsidRPr="00C75734" w:rsidRDefault="00C75734" w:rsidP="00C75734"/>
    <w:p w:rsidR="00C75734" w:rsidRDefault="00C75734" w:rsidP="00C75734"/>
    <w:p w:rsidR="00C75734" w:rsidRDefault="00C75734" w:rsidP="00C75734"/>
    <w:p w:rsidR="00C75734" w:rsidRPr="00C75734" w:rsidRDefault="00C75734" w:rsidP="00C75734"/>
    <w:p w:rsidR="003D0C63" w:rsidRPr="003D0C63" w:rsidRDefault="003D0C63" w:rsidP="003D0C63">
      <w:pPr>
        <w:jc w:val="center"/>
        <w:rPr>
          <w:rFonts w:ascii="Arial" w:hAnsi="Arial" w:cs="Arial"/>
          <w:b/>
          <w:bCs/>
          <w:sz w:val="36"/>
          <w:szCs w:val="36"/>
        </w:rPr>
      </w:pPr>
      <w:r w:rsidRPr="003D0C63">
        <w:rPr>
          <w:rFonts w:ascii="Arial" w:hAnsi="Arial" w:cs="Arial"/>
          <w:b/>
          <w:bCs/>
          <w:sz w:val="36"/>
          <w:szCs w:val="36"/>
        </w:rPr>
        <w:t>ECONOMIE GENERALE ET</w:t>
      </w:r>
    </w:p>
    <w:p w:rsidR="00C75734" w:rsidRPr="00C75734" w:rsidRDefault="003D0C63" w:rsidP="003D0C63">
      <w:pPr>
        <w:jc w:val="center"/>
      </w:pPr>
      <w:r w:rsidRPr="003D0C63">
        <w:rPr>
          <w:rFonts w:ascii="Arial" w:hAnsi="Arial" w:cs="Arial"/>
          <w:b/>
          <w:bCs/>
          <w:sz w:val="36"/>
          <w:szCs w:val="36"/>
        </w:rPr>
        <w:t>ECONOMIE D'ENTREPRISE</w:t>
      </w:r>
    </w:p>
    <w:p w:rsidR="00B0772C" w:rsidRDefault="00B0772C">
      <w:pPr>
        <w:pStyle w:val="Titre1"/>
        <w:rPr>
          <w:sz w:val="48"/>
        </w:rPr>
      </w:pPr>
    </w:p>
    <w:p w:rsidR="00C75734" w:rsidRDefault="00C75734" w:rsidP="00C75734"/>
    <w:p w:rsidR="00C75734" w:rsidRDefault="00C75734" w:rsidP="00C75734"/>
    <w:p w:rsidR="00C75734" w:rsidRDefault="00C75734" w:rsidP="00C75734"/>
    <w:p w:rsidR="00C75734" w:rsidRPr="00C75734" w:rsidRDefault="00C75734" w:rsidP="00C75734"/>
    <w:p w:rsidR="00C75734" w:rsidRDefault="00C75734" w:rsidP="00C75734">
      <w:pPr>
        <w:autoSpaceDE w:val="0"/>
        <w:autoSpaceDN w:val="0"/>
        <w:adjustRightInd w:val="0"/>
        <w:jc w:val="center"/>
        <w:rPr>
          <w:rFonts w:ascii="Arial" w:hAnsi="Arial" w:cs="Arial"/>
          <w:b/>
          <w:bCs/>
          <w:sz w:val="28"/>
          <w:szCs w:val="28"/>
        </w:rPr>
      </w:pPr>
      <w:r>
        <w:rPr>
          <w:rFonts w:ascii="Arial" w:hAnsi="Arial" w:cs="Arial"/>
          <w:b/>
          <w:bCs/>
          <w:sz w:val="28"/>
          <w:szCs w:val="28"/>
        </w:rPr>
        <w:t>SESSION 20</w:t>
      </w:r>
      <w:r w:rsidR="00B5492C">
        <w:rPr>
          <w:rFonts w:ascii="Arial" w:hAnsi="Arial" w:cs="Arial"/>
          <w:b/>
          <w:bCs/>
          <w:sz w:val="28"/>
          <w:szCs w:val="28"/>
        </w:rPr>
        <w:t>0</w:t>
      </w:r>
      <w:r w:rsidR="003C312F">
        <w:rPr>
          <w:rFonts w:ascii="Arial" w:hAnsi="Arial" w:cs="Arial"/>
          <w:b/>
          <w:bCs/>
          <w:sz w:val="28"/>
          <w:szCs w:val="28"/>
        </w:rPr>
        <w:t>4</w:t>
      </w:r>
      <w:bookmarkStart w:id="0" w:name="_GoBack"/>
      <w:bookmarkEnd w:id="0"/>
    </w:p>
    <w:p w:rsidR="00C75734" w:rsidRDefault="00C75734" w:rsidP="00C75734">
      <w:pPr>
        <w:autoSpaceDE w:val="0"/>
        <w:autoSpaceDN w:val="0"/>
        <w:adjustRightInd w:val="0"/>
        <w:jc w:val="center"/>
        <w:rPr>
          <w:rFonts w:ascii="Arial" w:hAnsi="Arial" w:cs="Arial"/>
          <w:sz w:val="28"/>
          <w:szCs w:val="28"/>
        </w:rPr>
      </w:pPr>
      <w:r>
        <w:rPr>
          <w:rFonts w:ascii="Arial" w:hAnsi="Arial" w:cs="Arial"/>
          <w:sz w:val="28"/>
          <w:szCs w:val="28"/>
        </w:rPr>
        <w:t>________</w:t>
      </w:r>
    </w:p>
    <w:p w:rsidR="00C75734" w:rsidRDefault="00C75734" w:rsidP="00C75734">
      <w:pPr>
        <w:autoSpaceDE w:val="0"/>
        <w:autoSpaceDN w:val="0"/>
        <w:adjustRightInd w:val="0"/>
        <w:jc w:val="center"/>
        <w:rPr>
          <w:rFonts w:ascii="Arial" w:hAnsi="Arial" w:cs="Arial"/>
          <w:sz w:val="28"/>
          <w:szCs w:val="28"/>
        </w:rPr>
      </w:pPr>
    </w:p>
    <w:p w:rsidR="00C75734" w:rsidRDefault="00C75734" w:rsidP="00C75734">
      <w:pPr>
        <w:autoSpaceDE w:val="0"/>
        <w:autoSpaceDN w:val="0"/>
        <w:adjustRightInd w:val="0"/>
        <w:jc w:val="center"/>
        <w:rPr>
          <w:rFonts w:ascii="Arial" w:hAnsi="Arial" w:cs="Arial"/>
          <w:sz w:val="28"/>
          <w:szCs w:val="28"/>
        </w:rPr>
      </w:pPr>
    </w:p>
    <w:p w:rsidR="00C75734" w:rsidRDefault="00C75734" w:rsidP="00C75734">
      <w:pPr>
        <w:autoSpaceDE w:val="0"/>
        <w:autoSpaceDN w:val="0"/>
        <w:adjustRightInd w:val="0"/>
        <w:jc w:val="center"/>
        <w:rPr>
          <w:rFonts w:ascii="Arial" w:hAnsi="Arial" w:cs="Arial"/>
          <w:b/>
          <w:bCs/>
          <w:sz w:val="28"/>
          <w:szCs w:val="28"/>
        </w:rPr>
      </w:pPr>
      <w:r>
        <w:rPr>
          <w:rFonts w:ascii="Arial" w:hAnsi="Arial" w:cs="Arial"/>
          <w:b/>
          <w:bCs/>
          <w:sz w:val="28"/>
          <w:szCs w:val="28"/>
        </w:rPr>
        <w:t xml:space="preserve">Durée : </w:t>
      </w:r>
      <w:r w:rsidR="003D0C63">
        <w:rPr>
          <w:rFonts w:ascii="Arial" w:hAnsi="Arial" w:cs="Arial"/>
          <w:b/>
          <w:bCs/>
          <w:sz w:val="28"/>
          <w:szCs w:val="28"/>
        </w:rPr>
        <w:t>3</w:t>
      </w:r>
      <w:r>
        <w:rPr>
          <w:rFonts w:ascii="Arial" w:hAnsi="Arial" w:cs="Arial"/>
          <w:b/>
          <w:bCs/>
          <w:sz w:val="28"/>
          <w:szCs w:val="28"/>
        </w:rPr>
        <w:t xml:space="preserve"> heures</w:t>
      </w:r>
    </w:p>
    <w:p w:rsidR="003D0C63" w:rsidRDefault="003D0C63" w:rsidP="00C75734">
      <w:pPr>
        <w:autoSpaceDE w:val="0"/>
        <w:autoSpaceDN w:val="0"/>
        <w:adjustRightInd w:val="0"/>
        <w:jc w:val="center"/>
        <w:rPr>
          <w:rFonts w:ascii="Arial" w:hAnsi="Arial" w:cs="Arial"/>
          <w:b/>
          <w:bCs/>
          <w:sz w:val="28"/>
          <w:szCs w:val="28"/>
        </w:rPr>
      </w:pPr>
    </w:p>
    <w:p w:rsidR="00B5492C" w:rsidRPr="003D0C63" w:rsidRDefault="00B5492C" w:rsidP="00B5492C">
      <w:pPr>
        <w:autoSpaceDE w:val="0"/>
        <w:autoSpaceDN w:val="0"/>
        <w:adjustRightInd w:val="0"/>
        <w:jc w:val="center"/>
        <w:rPr>
          <w:rFonts w:ascii="Arial" w:hAnsi="Arial" w:cs="Arial"/>
          <w:b/>
          <w:bCs/>
          <w:sz w:val="28"/>
          <w:szCs w:val="28"/>
        </w:rPr>
      </w:pPr>
      <w:r w:rsidRPr="003D0C63">
        <w:rPr>
          <w:rFonts w:ascii="Arial" w:hAnsi="Arial" w:cs="Arial"/>
          <w:b/>
          <w:bCs/>
          <w:sz w:val="28"/>
          <w:szCs w:val="28"/>
        </w:rPr>
        <w:t xml:space="preserve">Coefficient 2 : BTS </w:t>
      </w:r>
      <w:r>
        <w:rPr>
          <w:rFonts w:ascii="Arial" w:hAnsi="Arial" w:cs="Arial"/>
          <w:b/>
          <w:bCs/>
          <w:sz w:val="28"/>
          <w:szCs w:val="28"/>
        </w:rPr>
        <w:t>Assurance</w:t>
      </w:r>
    </w:p>
    <w:p w:rsidR="003D0C63" w:rsidRPr="003D0C63" w:rsidRDefault="003D0C63" w:rsidP="003D0C63">
      <w:pPr>
        <w:autoSpaceDE w:val="0"/>
        <w:autoSpaceDN w:val="0"/>
        <w:adjustRightInd w:val="0"/>
        <w:jc w:val="center"/>
        <w:rPr>
          <w:rFonts w:ascii="Arial" w:hAnsi="Arial" w:cs="Arial"/>
          <w:b/>
          <w:bCs/>
          <w:sz w:val="28"/>
          <w:szCs w:val="28"/>
        </w:rPr>
      </w:pPr>
      <w:r w:rsidRPr="003D0C63">
        <w:rPr>
          <w:rFonts w:ascii="Arial" w:hAnsi="Arial" w:cs="Arial"/>
          <w:b/>
          <w:bCs/>
          <w:sz w:val="28"/>
          <w:szCs w:val="28"/>
        </w:rPr>
        <w:t>Coefficient 2 : BTS Banque</w:t>
      </w:r>
    </w:p>
    <w:p w:rsidR="003D0C63" w:rsidRDefault="003D0C63" w:rsidP="003D0C63">
      <w:pPr>
        <w:autoSpaceDE w:val="0"/>
        <w:autoSpaceDN w:val="0"/>
        <w:adjustRightInd w:val="0"/>
        <w:jc w:val="center"/>
        <w:rPr>
          <w:rFonts w:ascii="Arial" w:hAnsi="Arial" w:cs="Arial"/>
          <w:b/>
          <w:bCs/>
          <w:sz w:val="28"/>
          <w:szCs w:val="28"/>
        </w:rPr>
      </w:pPr>
      <w:r w:rsidRPr="003D0C63">
        <w:rPr>
          <w:rFonts w:ascii="Arial" w:hAnsi="Arial" w:cs="Arial"/>
          <w:b/>
          <w:bCs/>
          <w:sz w:val="28"/>
          <w:szCs w:val="28"/>
        </w:rPr>
        <w:t>Coefficient 3 : BTS Professions immobilières</w:t>
      </w:r>
    </w:p>
    <w:p w:rsidR="00B0772C" w:rsidRDefault="00C75734" w:rsidP="00C75734">
      <w:pPr>
        <w:jc w:val="center"/>
        <w:rPr>
          <w:sz w:val="22"/>
          <w:szCs w:val="22"/>
        </w:rPr>
      </w:pPr>
      <w:r>
        <w:rPr>
          <w:rFonts w:ascii="Arial" w:hAnsi="Arial" w:cs="Arial"/>
          <w:sz w:val="28"/>
          <w:szCs w:val="28"/>
        </w:rPr>
        <w:t>________</w:t>
      </w:r>
    </w:p>
    <w:p w:rsidR="00B0772C" w:rsidRDefault="00B0772C">
      <w:pPr>
        <w:jc w:val="center"/>
        <w:rPr>
          <w:sz w:val="22"/>
          <w:szCs w:val="22"/>
        </w:rPr>
      </w:pPr>
    </w:p>
    <w:p w:rsidR="00C75734" w:rsidRDefault="00C75734" w:rsidP="00C75734">
      <w:pPr>
        <w:rPr>
          <w:rFonts w:ascii="Arial" w:hAnsi="Arial" w:cs="Arial"/>
          <w:b/>
          <w:bCs/>
        </w:rPr>
      </w:pPr>
    </w:p>
    <w:p w:rsidR="00B0772C" w:rsidRDefault="00C75734" w:rsidP="00C75734">
      <w:pPr>
        <w:rPr>
          <w:rFonts w:ascii="Arial" w:hAnsi="Arial" w:cs="Arial"/>
          <w:b/>
          <w:bCs/>
        </w:rPr>
      </w:pPr>
      <w:r>
        <w:rPr>
          <w:rFonts w:ascii="Arial" w:hAnsi="Arial" w:cs="Arial"/>
          <w:b/>
          <w:bCs/>
        </w:rPr>
        <w:t>Aucun matériel autorisé.</w:t>
      </w:r>
    </w:p>
    <w:p w:rsidR="00C75734" w:rsidRDefault="00C75734" w:rsidP="00C75734">
      <w:pPr>
        <w:rPr>
          <w:rFonts w:ascii="Arial" w:hAnsi="Arial" w:cs="Arial"/>
          <w:b/>
          <w:bCs/>
        </w:rPr>
      </w:pPr>
    </w:p>
    <w:p w:rsidR="00C75734" w:rsidRDefault="00C75734" w:rsidP="00C75734">
      <w:pPr>
        <w:rPr>
          <w:rFonts w:ascii="Arial" w:hAnsi="Arial" w:cs="Arial"/>
          <w:b/>
          <w:bCs/>
        </w:rPr>
      </w:pPr>
    </w:p>
    <w:p w:rsidR="006D422B" w:rsidRPr="006D422B" w:rsidRDefault="006D422B" w:rsidP="006D422B">
      <w:pPr>
        <w:spacing w:before="240"/>
        <w:rPr>
          <w:rFonts w:ascii="Arial" w:hAnsi="Arial" w:cs="Arial"/>
          <w:b/>
          <w:bCs/>
          <w:sz w:val="20"/>
        </w:rPr>
      </w:pPr>
      <w:r w:rsidRPr="006D422B">
        <w:rPr>
          <w:rFonts w:ascii="Arial" w:hAnsi="Arial" w:cs="Arial"/>
          <w:b/>
          <w:bCs/>
          <w:sz w:val="20"/>
        </w:rPr>
        <w:t>Annexe 1 : Alternatives économiques, hors-série, n°56, 2ème trimestre 2003</w:t>
      </w:r>
    </w:p>
    <w:p w:rsidR="006D422B" w:rsidRPr="006D422B" w:rsidRDefault="006D422B" w:rsidP="006D422B">
      <w:pPr>
        <w:spacing w:before="240"/>
        <w:rPr>
          <w:rFonts w:ascii="Arial" w:hAnsi="Arial" w:cs="Arial"/>
          <w:b/>
          <w:bCs/>
          <w:sz w:val="20"/>
        </w:rPr>
      </w:pPr>
      <w:r w:rsidRPr="006D422B">
        <w:rPr>
          <w:rFonts w:ascii="Arial" w:hAnsi="Arial" w:cs="Arial"/>
          <w:b/>
          <w:bCs/>
          <w:sz w:val="20"/>
        </w:rPr>
        <w:t>Annexe 2 : Liaisons sociales, Bref social n°13976, jeudi 25 septembre 2003</w:t>
      </w:r>
    </w:p>
    <w:p w:rsidR="00FC46B9" w:rsidRPr="006D422B" w:rsidRDefault="006D422B" w:rsidP="006D422B">
      <w:pPr>
        <w:rPr>
          <w:sz w:val="20"/>
        </w:rPr>
      </w:pPr>
      <w:r w:rsidRPr="006D422B">
        <w:rPr>
          <w:rFonts w:ascii="Arial" w:hAnsi="Arial" w:cs="Arial"/>
          <w:b/>
          <w:bCs/>
          <w:sz w:val="20"/>
        </w:rPr>
        <w:t>Commission des comptes de la Sécurité sociale- septembre 2003</w:t>
      </w:r>
    </w:p>
    <w:p w:rsidR="00B0772C" w:rsidRDefault="00B0772C">
      <w:pPr>
        <w:jc w:val="center"/>
      </w:pPr>
    </w:p>
    <w:p w:rsidR="006D422B" w:rsidRDefault="006D422B">
      <w:pPr>
        <w:jc w:val="center"/>
      </w:pPr>
    </w:p>
    <w:p w:rsidR="00C75734" w:rsidRDefault="00C75734" w:rsidP="00C75734">
      <w:pPr>
        <w:autoSpaceDE w:val="0"/>
        <w:autoSpaceDN w:val="0"/>
        <w:adjustRightInd w:val="0"/>
        <w:jc w:val="center"/>
        <w:rPr>
          <w:rFonts w:ascii="Arial" w:hAnsi="Arial" w:cs="Arial"/>
          <w:b/>
          <w:bCs/>
        </w:rPr>
      </w:pPr>
      <w:r>
        <w:rPr>
          <w:rFonts w:ascii="Arial" w:hAnsi="Arial" w:cs="Arial"/>
          <w:b/>
          <w:bCs/>
        </w:rPr>
        <w:t>Dès que le sujet vous est remis, assurez-vous qu’il est complet.</w:t>
      </w:r>
    </w:p>
    <w:p w:rsidR="00B0772C" w:rsidRDefault="00C75734" w:rsidP="00C75734">
      <w:pPr>
        <w:jc w:val="center"/>
      </w:pPr>
      <w:r>
        <w:rPr>
          <w:rFonts w:ascii="Arial" w:hAnsi="Arial" w:cs="Arial"/>
          <w:b/>
          <w:bCs/>
        </w:rPr>
        <w:t xml:space="preserve">Le sujet comporte </w:t>
      </w:r>
      <w:r w:rsidR="006D422B">
        <w:rPr>
          <w:rFonts w:ascii="Arial" w:hAnsi="Arial" w:cs="Arial"/>
          <w:b/>
          <w:bCs/>
        </w:rPr>
        <w:t>5</w:t>
      </w:r>
      <w:r>
        <w:rPr>
          <w:rFonts w:ascii="Arial" w:hAnsi="Arial" w:cs="Arial"/>
          <w:b/>
          <w:bCs/>
        </w:rPr>
        <w:t xml:space="preserve"> pages, numérotées de 1 à </w:t>
      </w:r>
      <w:r w:rsidR="006D422B">
        <w:rPr>
          <w:rFonts w:ascii="Arial" w:hAnsi="Arial" w:cs="Arial"/>
          <w:b/>
          <w:bCs/>
        </w:rPr>
        <w:t>5</w:t>
      </w:r>
      <w:r>
        <w:rPr>
          <w:rFonts w:ascii="Arial" w:hAnsi="Arial" w:cs="Arial"/>
          <w:b/>
          <w:bCs/>
        </w:rPr>
        <w:t>.</w:t>
      </w:r>
    </w:p>
    <w:p w:rsidR="003D0C63" w:rsidRDefault="00B0772C" w:rsidP="003D0C63">
      <w:pPr>
        <w:autoSpaceDE w:val="0"/>
        <w:autoSpaceDN w:val="0"/>
        <w:adjustRightInd w:val="0"/>
        <w:rPr>
          <w:rFonts w:ascii="Arial" w:hAnsi="Arial" w:cs="Arial"/>
          <w:b/>
          <w:bCs/>
          <w:sz w:val="28"/>
          <w:szCs w:val="32"/>
        </w:rPr>
      </w:pPr>
      <w:r>
        <w:br w:type="page"/>
      </w:r>
      <w:r w:rsidR="003D0C63" w:rsidRPr="003D0C63">
        <w:rPr>
          <w:rFonts w:ascii="Arial" w:hAnsi="Arial" w:cs="Arial"/>
          <w:b/>
          <w:bCs/>
          <w:sz w:val="28"/>
          <w:szCs w:val="32"/>
        </w:rPr>
        <w:lastRenderedPageBreak/>
        <w:t>PREMIERE PARTIE: TRAVAIL METHODOLOGIQUE (10 points)</w:t>
      </w:r>
    </w:p>
    <w:p w:rsidR="003D0C63" w:rsidRPr="003D0C63" w:rsidRDefault="003D0C63" w:rsidP="00A23831">
      <w:pPr>
        <w:autoSpaceDE w:val="0"/>
        <w:autoSpaceDN w:val="0"/>
        <w:adjustRightInd w:val="0"/>
        <w:rPr>
          <w:rFonts w:ascii="Arial" w:hAnsi="Arial" w:cs="Arial"/>
          <w:b/>
          <w:bCs/>
          <w:sz w:val="28"/>
          <w:szCs w:val="32"/>
        </w:rPr>
      </w:pPr>
    </w:p>
    <w:p w:rsidR="006D422B" w:rsidRDefault="006D422B" w:rsidP="00046D56">
      <w:pPr>
        <w:pStyle w:val="Paragraphedeliste"/>
        <w:ind w:left="0"/>
        <w:rPr>
          <w:rFonts w:ascii="Arial" w:hAnsi="Arial" w:cs="Arial"/>
          <w:b/>
          <w:bCs/>
          <w:sz w:val="22"/>
          <w:szCs w:val="32"/>
        </w:rPr>
      </w:pPr>
      <w:r w:rsidRPr="006D422B">
        <w:rPr>
          <w:rFonts w:ascii="Arial" w:hAnsi="Arial" w:cs="Arial"/>
          <w:b/>
          <w:bCs/>
          <w:sz w:val="22"/>
          <w:szCs w:val="32"/>
        </w:rPr>
        <w:t>À partir de l'annexe 1 et de vos connaissances :</w:t>
      </w:r>
    </w:p>
    <w:p w:rsidR="00046D56" w:rsidRPr="006D422B" w:rsidRDefault="00046D56" w:rsidP="00046D56">
      <w:pPr>
        <w:pStyle w:val="Paragraphedeliste"/>
        <w:ind w:left="0"/>
        <w:rPr>
          <w:rFonts w:ascii="Arial" w:hAnsi="Arial" w:cs="Arial"/>
          <w:b/>
          <w:bCs/>
          <w:sz w:val="22"/>
          <w:szCs w:val="32"/>
        </w:rPr>
      </w:pPr>
    </w:p>
    <w:p w:rsidR="006D422B" w:rsidRPr="006D422B" w:rsidRDefault="006D422B" w:rsidP="00046D56">
      <w:pPr>
        <w:pStyle w:val="Paragraphedeliste"/>
        <w:numPr>
          <w:ilvl w:val="0"/>
          <w:numId w:val="9"/>
        </w:numPr>
        <w:rPr>
          <w:rFonts w:ascii="Arial" w:hAnsi="Arial" w:cs="Arial"/>
          <w:bCs/>
          <w:sz w:val="22"/>
          <w:szCs w:val="32"/>
        </w:rPr>
      </w:pPr>
      <w:r w:rsidRPr="006D422B">
        <w:rPr>
          <w:rFonts w:ascii="Arial" w:hAnsi="Arial" w:cs="Arial"/>
          <w:bCs/>
          <w:sz w:val="22"/>
          <w:szCs w:val="32"/>
        </w:rPr>
        <w:t>Commentez le graphique.</w:t>
      </w:r>
    </w:p>
    <w:p w:rsidR="006D422B" w:rsidRPr="006D422B" w:rsidRDefault="006D422B" w:rsidP="00046D56">
      <w:pPr>
        <w:pStyle w:val="Paragraphedeliste"/>
        <w:numPr>
          <w:ilvl w:val="0"/>
          <w:numId w:val="9"/>
        </w:numPr>
        <w:rPr>
          <w:rFonts w:ascii="Arial" w:hAnsi="Arial" w:cs="Arial"/>
          <w:bCs/>
          <w:sz w:val="22"/>
          <w:szCs w:val="32"/>
        </w:rPr>
      </w:pPr>
      <w:r w:rsidRPr="006D422B">
        <w:rPr>
          <w:rFonts w:ascii="Arial" w:hAnsi="Arial" w:cs="Arial"/>
          <w:bCs/>
          <w:sz w:val="22"/>
          <w:szCs w:val="32"/>
        </w:rPr>
        <w:t>Décrivez le rôle que peut jouer l'État dans un système d'économie de marché.</w:t>
      </w:r>
    </w:p>
    <w:p w:rsidR="006D422B" w:rsidRDefault="006D422B" w:rsidP="00046D56">
      <w:pPr>
        <w:pStyle w:val="Paragraphedeliste"/>
        <w:numPr>
          <w:ilvl w:val="0"/>
          <w:numId w:val="9"/>
        </w:numPr>
        <w:rPr>
          <w:rFonts w:ascii="Arial" w:hAnsi="Arial" w:cs="Arial"/>
          <w:bCs/>
          <w:sz w:val="22"/>
          <w:szCs w:val="32"/>
        </w:rPr>
      </w:pPr>
      <w:r w:rsidRPr="006D422B">
        <w:rPr>
          <w:rFonts w:ascii="Arial" w:hAnsi="Arial" w:cs="Arial"/>
          <w:bCs/>
          <w:sz w:val="22"/>
          <w:szCs w:val="32"/>
        </w:rPr>
        <w:t>Expliquez en quoi les prélèvements obligatoires peuvent être un frein à la croissance.</w:t>
      </w:r>
    </w:p>
    <w:p w:rsidR="00046D56" w:rsidRPr="00046D56" w:rsidRDefault="00046D56" w:rsidP="00046D56">
      <w:pPr>
        <w:rPr>
          <w:rFonts w:ascii="Arial" w:hAnsi="Arial" w:cs="Arial"/>
          <w:bCs/>
          <w:sz w:val="22"/>
          <w:szCs w:val="32"/>
        </w:rPr>
      </w:pPr>
    </w:p>
    <w:p w:rsidR="006D422B" w:rsidRDefault="006D422B" w:rsidP="00046D56">
      <w:pPr>
        <w:pStyle w:val="Paragraphedeliste"/>
        <w:ind w:left="0"/>
        <w:rPr>
          <w:rFonts w:ascii="Arial" w:hAnsi="Arial" w:cs="Arial"/>
          <w:b/>
          <w:bCs/>
          <w:sz w:val="22"/>
          <w:szCs w:val="32"/>
        </w:rPr>
      </w:pPr>
      <w:r w:rsidRPr="006D422B">
        <w:rPr>
          <w:rFonts w:ascii="Arial" w:hAnsi="Arial" w:cs="Arial"/>
          <w:b/>
          <w:bCs/>
          <w:sz w:val="22"/>
          <w:szCs w:val="32"/>
        </w:rPr>
        <w:t>À partir de l'annexe 2 et de vos connaissances :</w:t>
      </w:r>
    </w:p>
    <w:p w:rsidR="00046D56" w:rsidRPr="006D422B" w:rsidRDefault="00046D56" w:rsidP="00046D56">
      <w:pPr>
        <w:pStyle w:val="Paragraphedeliste"/>
        <w:ind w:left="0"/>
        <w:rPr>
          <w:rFonts w:ascii="Arial" w:hAnsi="Arial" w:cs="Arial"/>
          <w:b/>
          <w:bCs/>
          <w:sz w:val="22"/>
          <w:szCs w:val="32"/>
        </w:rPr>
      </w:pPr>
    </w:p>
    <w:p w:rsidR="006D422B" w:rsidRDefault="006D422B" w:rsidP="00046D56">
      <w:pPr>
        <w:pStyle w:val="Paragraphedeliste"/>
        <w:numPr>
          <w:ilvl w:val="0"/>
          <w:numId w:val="9"/>
        </w:numPr>
        <w:rPr>
          <w:rFonts w:ascii="Arial" w:hAnsi="Arial" w:cs="Arial"/>
          <w:bCs/>
          <w:sz w:val="22"/>
          <w:szCs w:val="32"/>
        </w:rPr>
      </w:pPr>
      <w:r w:rsidRPr="006D422B">
        <w:rPr>
          <w:rFonts w:ascii="Arial" w:hAnsi="Arial" w:cs="Arial"/>
          <w:bCs/>
          <w:sz w:val="22"/>
          <w:szCs w:val="32"/>
        </w:rPr>
        <w:t>Analysez 1' évolution des dépenses de santé de 1997 à 2002 et exposez les causes de cette</w:t>
      </w:r>
      <w:r w:rsidR="00046D56">
        <w:rPr>
          <w:rFonts w:ascii="Arial" w:hAnsi="Arial" w:cs="Arial"/>
          <w:bCs/>
          <w:sz w:val="22"/>
          <w:szCs w:val="32"/>
        </w:rPr>
        <w:t xml:space="preserve"> </w:t>
      </w:r>
      <w:r w:rsidRPr="006D422B">
        <w:rPr>
          <w:rFonts w:ascii="Arial" w:hAnsi="Arial" w:cs="Arial"/>
          <w:bCs/>
          <w:sz w:val="22"/>
          <w:szCs w:val="32"/>
        </w:rPr>
        <w:t>évolution.</w:t>
      </w:r>
    </w:p>
    <w:p w:rsidR="00046D56" w:rsidRPr="00046D56" w:rsidRDefault="00046D56" w:rsidP="00046D56">
      <w:pPr>
        <w:rPr>
          <w:rFonts w:ascii="Arial" w:hAnsi="Arial" w:cs="Arial"/>
          <w:bCs/>
          <w:sz w:val="22"/>
          <w:szCs w:val="32"/>
        </w:rPr>
      </w:pPr>
    </w:p>
    <w:p w:rsidR="00FC46B9" w:rsidRPr="00FC46B9" w:rsidRDefault="006D422B" w:rsidP="00046D56">
      <w:pPr>
        <w:pStyle w:val="Paragraphedeliste"/>
        <w:ind w:left="0"/>
        <w:rPr>
          <w:rFonts w:ascii="Arial" w:hAnsi="Arial" w:cs="Arial"/>
          <w:bCs/>
          <w:sz w:val="22"/>
          <w:szCs w:val="32"/>
        </w:rPr>
      </w:pPr>
      <w:r w:rsidRPr="006D422B">
        <w:rPr>
          <w:rFonts w:ascii="Arial" w:hAnsi="Arial" w:cs="Arial"/>
          <w:bCs/>
          <w:sz w:val="22"/>
          <w:szCs w:val="32"/>
        </w:rPr>
        <w:t>Recherchez les mesures préconisées par le gouvernement pour sortir de cette impasse.</w:t>
      </w:r>
    </w:p>
    <w:p w:rsidR="00FC46B9" w:rsidRPr="00FC46B9" w:rsidRDefault="00FC46B9" w:rsidP="00FC46B9">
      <w:pPr>
        <w:rPr>
          <w:rFonts w:ascii="Arial" w:hAnsi="Arial" w:cs="Arial"/>
          <w:bCs/>
          <w:sz w:val="22"/>
          <w:szCs w:val="32"/>
        </w:rPr>
      </w:pPr>
    </w:p>
    <w:p w:rsidR="00AF67B6" w:rsidRPr="00A23831" w:rsidRDefault="00AF67B6" w:rsidP="003D0C63">
      <w:pPr>
        <w:autoSpaceDE w:val="0"/>
        <w:autoSpaceDN w:val="0"/>
        <w:adjustRightInd w:val="0"/>
        <w:rPr>
          <w:rFonts w:ascii="Arial" w:hAnsi="Arial" w:cs="Arial"/>
          <w:b/>
          <w:bCs/>
          <w:szCs w:val="32"/>
        </w:rPr>
      </w:pPr>
    </w:p>
    <w:p w:rsidR="00AF67B6" w:rsidRDefault="00AF67B6" w:rsidP="003D0C63">
      <w:pPr>
        <w:autoSpaceDE w:val="0"/>
        <w:autoSpaceDN w:val="0"/>
        <w:adjustRightInd w:val="0"/>
        <w:rPr>
          <w:rFonts w:ascii="Arial" w:hAnsi="Arial" w:cs="Arial"/>
          <w:b/>
          <w:bCs/>
          <w:sz w:val="28"/>
          <w:szCs w:val="32"/>
        </w:rPr>
      </w:pPr>
    </w:p>
    <w:p w:rsidR="003D0C63" w:rsidRDefault="003D0C63" w:rsidP="003D0C63">
      <w:pPr>
        <w:autoSpaceDE w:val="0"/>
        <w:autoSpaceDN w:val="0"/>
        <w:adjustRightInd w:val="0"/>
        <w:rPr>
          <w:rFonts w:ascii="Arial" w:hAnsi="Arial" w:cs="Arial"/>
          <w:b/>
          <w:bCs/>
          <w:sz w:val="28"/>
          <w:szCs w:val="32"/>
        </w:rPr>
      </w:pPr>
      <w:r w:rsidRPr="003D0C63">
        <w:rPr>
          <w:rFonts w:ascii="Arial" w:hAnsi="Arial" w:cs="Arial"/>
          <w:b/>
          <w:bCs/>
          <w:sz w:val="28"/>
          <w:szCs w:val="32"/>
        </w:rPr>
        <w:t>DEUXIEME PARTIE: DEVELOPPEMENT STRUCTURE (10 points)</w:t>
      </w:r>
    </w:p>
    <w:p w:rsidR="003D0C63" w:rsidRPr="003D0C63" w:rsidRDefault="003D0C63" w:rsidP="003D0C63">
      <w:pPr>
        <w:autoSpaceDE w:val="0"/>
        <w:autoSpaceDN w:val="0"/>
        <w:adjustRightInd w:val="0"/>
        <w:rPr>
          <w:rFonts w:ascii="Arial" w:hAnsi="Arial" w:cs="Arial"/>
          <w:b/>
          <w:bCs/>
          <w:sz w:val="28"/>
          <w:szCs w:val="32"/>
        </w:rPr>
      </w:pPr>
    </w:p>
    <w:p w:rsidR="009730F3" w:rsidRDefault="009730F3" w:rsidP="009730F3">
      <w:pPr>
        <w:autoSpaceDE w:val="0"/>
        <w:autoSpaceDN w:val="0"/>
        <w:adjustRightInd w:val="0"/>
        <w:rPr>
          <w:rFonts w:ascii="Arial" w:hAnsi="Arial" w:cs="Arial"/>
          <w:bCs/>
          <w:szCs w:val="32"/>
        </w:rPr>
      </w:pPr>
    </w:p>
    <w:p w:rsidR="00046D56" w:rsidRPr="0043526B" w:rsidRDefault="00046D56" w:rsidP="0043526B">
      <w:pPr>
        <w:autoSpaceDE w:val="0"/>
        <w:autoSpaceDN w:val="0"/>
        <w:adjustRightInd w:val="0"/>
        <w:spacing w:before="240"/>
        <w:ind w:firstLine="709"/>
        <w:rPr>
          <w:rFonts w:ascii="Arial" w:hAnsi="Arial" w:cs="Arial"/>
          <w:sz w:val="22"/>
        </w:rPr>
      </w:pPr>
      <w:r w:rsidRPr="0043526B">
        <w:rPr>
          <w:rFonts w:ascii="Arial" w:hAnsi="Arial" w:cs="Arial"/>
          <w:sz w:val="22"/>
        </w:rPr>
        <w:t>L'Oréal- les secrets de la plus belle entreprise française- des labos qui innovent à tour de bras, un marketing rouleau-compresseur, une diversification réussie, une mondialisation totale, des bénéfices au top, c'est la recette universellement reconnue mais jamais égalée du numéro 1 mondial de la beauté (Extrait de Capital- juin 2003).</w:t>
      </w:r>
    </w:p>
    <w:p w:rsidR="00046D56" w:rsidRPr="0043526B" w:rsidRDefault="00046D56" w:rsidP="0043526B">
      <w:pPr>
        <w:autoSpaceDE w:val="0"/>
        <w:autoSpaceDN w:val="0"/>
        <w:adjustRightInd w:val="0"/>
        <w:spacing w:before="240"/>
        <w:ind w:firstLine="709"/>
        <w:rPr>
          <w:rFonts w:ascii="Arial" w:hAnsi="Arial" w:cs="Arial"/>
          <w:sz w:val="22"/>
        </w:rPr>
      </w:pPr>
      <w:r w:rsidRPr="0043526B">
        <w:rPr>
          <w:rFonts w:ascii="Arial" w:hAnsi="Arial" w:cs="Arial"/>
          <w:sz w:val="22"/>
        </w:rPr>
        <w:t xml:space="preserve">En octobre 2002, le groupe Lagardère mettait 1,25 milliards d'euros sur la table pour racheter la branche édition du géant des médias Vivendi </w:t>
      </w:r>
      <w:proofErr w:type="spellStart"/>
      <w:r w:rsidRPr="0043526B">
        <w:rPr>
          <w:rFonts w:ascii="Arial" w:hAnsi="Arial" w:cs="Arial"/>
          <w:sz w:val="22"/>
        </w:rPr>
        <w:t>Universal</w:t>
      </w:r>
      <w:proofErr w:type="spellEnd"/>
      <w:r w:rsidRPr="0043526B">
        <w:rPr>
          <w:rFonts w:ascii="Arial" w:hAnsi="Arial" w:cs="Arial"/>
          <w:sz w:val="22"/>
        </w:rPr>
        <w:t>, contraint de brader ses actifs pour se désendetter [...] (Extrait d'Alternatives économiques- septembre 2003).</w:t>
      </w:r>
    </w:p>
    <w:p w:rsidR="0043526B" w:rsidRDefault="0043526B" w:rsidP="0043526B">
      <w:pPr>
        <w:autoSpaceDE w:val="0"/>
        <w:autoSpaceDN w:val="0"/>
        <w:adjustRightInd w:val="0"/>
        <w:spacing w:before="240"/>
        <w:rPr>
          <w:rFonts w:ascii="Arial" w:hAnsi="Arial" w:cs="Arial"/>
          <w:sz w:val="22"/>
        </w:rPr>
      </w:pPr>
    </w:p>
    <w:p w:rsidR="00046D56" w:rsidRPr="0043526B" w:rsidRDefault="00046D56" w:rsidP="0043526B">
      <w:pPr>
        <w:autoSpaceDE w:val="0"/>
        <w:autoSpaceDN w:val="0"/>
        <w:adjustRightInd w:val="0"/>
        <w:spacing w:before="240"/>
        <w:rPr>
          <w:rFonts w:ascii="Arial" w:hAnsi="Arial" w:cs="Arial"/>
          <w:sz w:val="22"/>
        </w:rPr>
      </w:pPr>
      <w:r w:rsidRPr="0043526B">
        <w:rPr>
          <w:rFonts w:ascii="Arial" w:hAnsi="Arial" w:cs="Arial"/>
          <w:sz w:val="22"/>
        </w:rPr>
        <w:t>Dans un développement structuré, vous traiterez le sujet suivant :</w:t>
      </w:r>
    </w:p>
    <w:p w:rsidR="0043526B" w:rsidRDefault="0043526B" w:rsidP="0043526B">
      <w:pPr>
        <w:autoSpaceDE w:val="0"/>
        <w:autoSpaceDN w:val="0"/>
        <w:adjustRightInd w:val="0"/>
        <w:spacing w:before="240"/>
        <w:rPr>
          <w:rFonts w:ascii="Arial" w:hAnsi="Arial" w:cs="Arial"/>
          <w:b/>
          <w:sz w:val="22"/>
        </w:rPr>
      </w:pPr>
    </w:p>
    <w:p w:rsidR="0043526B" w:rsidRDefault="00046D56" w:rsidP="0043526B">
      <w:pPr>
        <w:autoSpaceDE w:val="0"/>
        <w:autoSpaceDN w:val="0"/>
        <w:adjustRightInd w:val="0"/>
        <w:jc w:val="center"/>
        <w:rPr>
          <w:rFonts w:ascii="Arial" w:hAnsi="Arial" w:cs="Arial"/>
          <w:b/>
          <w:sz w:val="22"/>
        </w:rPr>
      </w:pPr>
      <w:r w:rsidRPr="0043526B">
        <w:rPr>
          <w:rFonts w:ascii="Arial" w:hAnsi="Arial" w:cs="Arial"/>
          <w:b/>
          <w:sz w:val="22"/>
        </w:rPr>
        <w:t>La diversification des activités est-elle</w:t>
      </w:r>
    </w:p>
    <w:p w:rsidR="00C75734" w:rsidRPr="0043526B" w:rsidRDefault="00046D56" w:rsidP="0043526B">
      <w:pPr>
        <w:autoSpaceDE w:val="0"/>
        <w:autoSpaceDN w:val="0"/>
        <w:adjustRightInd w:val="0"/>
        <w:jc w:val="center"/>
        <w:rPr>
          <w:rFonts w:ascii="Arial" w:hAnsi="Arial" w:cs="Arial"/>
          <w:b/>
          <w:sz w:val="22"/>
        </w:rPr>
      </w:pPr>
      <w:proofErr w:type="gramStart"/>
      <w:r w:rsidRPr="0043526B">
        <w:rPr>
          <w:rFonts w:ascii="Arial" w:hAnsi="Arial" w:cs="Arial"/>
          <w:b/>
          <w:sz w:val="22"/>
        </w:rPr>
        <w:t>un</w:t>
      </w:r>
      <w:proofErr w:type="gramEnd"/>
      <w:r w:rsidRPr="0043526B">
        <w:rPr>
          <w:rFonts w:ascii="Arial" w:hAnsi="Arial" w:cs="Arial"/>
          <w:b/>
          <w:sz w:val="22"/>
        </w:rPr>
        <w:t xml:space="preserve"> facteur de réussite pour l'entreprise ?</w:t>
      </w:r>
    </w:p>
    <w:p w:rsidR="0043526B" w:rsidRDefault="003D0C63" w:rsidP="0043526B">
      <w:pPr>
        <w:autoSpaceDE w:val="0"/>
        <w:autoSpaceDN w:val="0"/>
        <w:adjustRightInd w:val="0"/>
        <w:rPr>
          <w:rFonts w:ascii="Arial" w:hAnsi="Arial" w:cs="Arial"/>
          <w:b/>
          <w:bCs/>
          <w:sz w:val="27"/>
          <w:szCs w:val="27"/>
        </w:rPr>
      </w:pPr>
      <w:r>
        <w:rPr>
          <w:rFonts w:ascii="Arial" w:hAnsi="Arial" w:cs="Arial"/>
          <w:b/>
          <w:bCs/>
          <w:sz w:val="28"/>
          <w:szCs w:val="32"/>
          <w:u w:val="single"/>
        </w:rPr>
        <w:br w:type="page"/>
      </w:r>
      <w:r w:rsidR="0043526B">
        <w:rPr>
          <w:rFonts w:ascii="Arial" w:hAnsi="Arial" w:cs="Arial"/>
          <w:b/>
          <w:bCs/>
          <w:sz w:val="27"/>
          <w:szCs w:val="27"/>
        </w:rPr>
        <w:lastRenderedPageBreak/>
        <w:t>Les prélèvements obligatoires freinent-ils la croissance?</w:t>
      </w:r>
    </w:p>
    <w:p w:rsidR="00720D2E" w:rsidRDefault="0043526B" w:rsidP="00720D2E">
      <w:pPr>
        <w:autoSpaceDE w:val="0"/>
        <w:autoSpaceDN w:val="0"/>
        <w:adjustRightInd w:val="0"/>
        <w:jc w:val="center"/>
        <w:rPr>
          <w:rFonts w:ascii="Arial" w:hAnsi="Arial" w:cs="Arial"/>
          <w:b/>
          <w:bCs/>
          <w:sz w:val="27"/>
          <w:szCs w:val="27"/>
        </w:rPr>
      </w:pPr>
      <w:r>
        <w:rPr>
          <w:rFonts w:ascii="Arial" w:hAnsi="Arial" w:cs="Arial"/>
          <w:b/>
          <w:bCs/>
          <w:noProof/>
          <w:sz w:val="27"/>
          <w:szCs w:val="27"/>
        </w:rPr>
        <w:drawing>
          <wp:inline distT="0" distB="0" distL="0" distR="0" wp14:anchorId="13B1FDF5" wp14:editId="2E684A01">
            <wp:extent cx="2200275" cy="16954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1695450"/>
                    </a:xfrm>
                    <a:prstGeom prst="rect">
                      <a:avLst/>
                    </a:prstGeom>
                    <a:noFill/>
                    <a:ln>
                      <a:noFill/>
                    </a:ln>
                  </pic:spPr>
                </pic:pic>
              </a:graphicData>
            </a:graphic>
          </wp:inline>
        </w:drawing>
      </w:r>
    </w:p>
    <w:p w:rsidR="00720D2E" w:rsidRDefault="00720D2E" w:rsidP="00720D2E">
      <w:pPr>
        <w:autoSpaceDE w:val="0"/>
        <w:autoSpaceDN w:val="0"/>
        <w:adjustRightInd w:val="0"/>
        <w:jc w:val="center"/>
        <w:rPr>
          <w:rFonts w:ascii="Arial" w:hAnsi="Arial" w:cs="Arial"/>
          <w:b/>
          <w:bCs/>
          <w:sz w:val="27"/>
          <w:szCs w:val="27"/>
        </w:rPr>
      </w:pPr>
    </w:p>
    <w:p w:rsidR="00720D2E" w:rsidRDefault="00720D2E" w:rsidP="00720D2E">
      <w:pPr>
        <w:autoSpaceDE w:val="0"/>
        <w:autoSpaceDN w:val="0"/>
        <w:adjustRightInd w:val="0"/>
        <w:jc w:val="center"/>
        <w:rPr>
          <w:rFonts w:ascii="Arial" w:hAnsi="Arial" w:cs="Arial"/>
          <w:b/>
          <w:bCs/>
          <w:sz w:val="27"/>
          <w:szCs w:val="27"/>
        </w:rPr>
      </w:pPr>
    </w:p>
    <w:p w:rsidR="00720D2E" w:rsidRPr="00720D2E" w:rsidRDefault="00720D2E" w:rsidP="00720D2E">
      <w:pPr>
        <w:autoSpaceDE w:val="0"/>
        <w:autoSpaceDN w:val="0"/>
        <w:adjustRightInd w:val="0"/>
        <w:rPr>
          <w:rFonts w:ascii="Arial" w:hAnsi="Arial" w:cs="Arial"/>
          <w:b/>
          <w:bCs/>
          <w:sz w:val="27"/>
          <w:szCs w:val="27"/>
        </w:rPr>
        <w:sectPr w:rsidR="00720D2E" w:rsidRPr="00720D2E">
          <w:headerReference w:type="default" r:id="rId10"/>
          <w:footerReference w:type="even" r:id="rId11"/>
          <w:footerReference w:type="default" r:id="rId12"/>
          <w:pgSz w:w="11906" w:h="16838"/>
          <w:pgMar w:top="1417" w:right="1417" w:bottom="1417" w:left="1417" w:header="708" w:footer="708" w:gutter="0"/>
          <w:cols w:space="708"/>
          <w:docGrid w:linePitch="360"/>
        </w:sectPr>
      </w:pPr>
    </w:p>
    <w:p w:rsidR="0043526B" w:rsidRPr="00720D2E" w:rsidRDefault="0043526B" w:rsidP="00720D2E">
      <w:pPr>
        <w:autoSpaceDE w:val="0"/>
        <w:autoSpaceDN w:val="0"/>
        <w:adjustRightInd w:val="0"/>
        <w:spacing w:before="240"/>
        <w:ind w:left="-284" w:right="-283"/>
        <w:jc w:val="both"/>
        <w:rPr>
          <w:rFonts w:ascii="Arial" w:hAnsi="Arial" w:cs="Arial"/>
          <w:sz w:val="20"/>
          <w:szCs w:val="21"/>
        </w:rPr>
      </w:pPr>
      <w:r w:rsidRPr="00720D2E">
        <w:rPr>
          <w:rFonts w:ascii="Arial" w:hAnsi="Arial" w:cs="Arial"/>
          <w:sz w:val="20"/>
          <w:szCs w:val="21"/>
        </w:rPr>
        <w:lastRenderedPageBreak/>
        <w:t>Si le capitalisme se caractérise par l'essor de l'économie marchande et de l'entreprise privée, l'État a toujours joué un rôle essentiel dans le développement économique et social.</w:t>
      </w:r>
    </w:p>
    <w:p w:rsidR="0043526B" w:rsidRPr="00720D2E" w:rsidRDefault="0043526B" w:rsidP="00720D2E">
      <w:pPr>
        <w:autoSpaceDE w:val="0"/>
        <w:autoSpaceDN w:val="0"/>
        <w:adjustRightInd w:val="0"/>
        <w:spacing w:before="240"/>
        <w:ind w:left="-284" w:right="-283"/>
        <w:jc w:val="both"/>
        <w:rPr>
          <w:rFonts w:ascii="Arial" w:hAnsi="Arial" w:cs="Arial"/>
          <w:sz w:val="20"/>
          <w:szCs w:val="21"/>
        </w:rPr>
      </w:pPr>
      <w:r w:rsidRPr="00720D2E">
        <w:rPr>
          <w:rFonts w:ascii="Arial" w:hAnsi="Arial" w:cs="Arial"/>
          <w:sz w:val="20"/>
          <w:szCs w:val="21"/>
        </w:rPr>
        <w:t>Au point qu'aujourd'hui, dans toutes les démocraties, la bonne marche de l'économie et le niveau de l'emploi sont parmi les enjeux majeurs du débat politique.</w:t>
      </w:r>
    </w:p>
    <w:p w:rsidR="0043526B" w:rsidRPr="00720D2E" w:rsidRDefault="0043526B" w:rsidP="00720D2E">
      <w:pPr>
        <w:autoSpaceDE w:val="0"/>
        <w:autoSpaceDN w:val="0"/>
        <w:adjustRightInd w:val="0"/>
        <w:spacing w:before="240"/>
        <w:ind w:left="-284" w:right="-283"/>
        <w:jc w:val="both"/>
        <w:rPr>
          <w:rFonts w:ascii="Arial" w:hAnsi="Arial" w:cs="Arial"/>
          <w:sz w:val="20"/>
          <w:szCs w:val="21"/>
        </w:rPr>
      </w:pPr>
      <w:r w:rsidRPr="00720D2E">
        <w:rPr>
          <w:rFonts w:ascii="Arial" w:hAnsi="Arial" w:cs="Arial"/>
          <w:sz w:val="20"/>
          <w:szCs w:val="21"/>
        </w:rPr>
        <w:t>Certes, les théories libérales qui plaident en faveur d'un Etat modeste sont revenues à la mode depuis le début des années 80, mais, en pratique, tous les gouvernements continuent de se considérer en charge de l'état de l'économie. Une responsabilité qui ne se limite pas à la conduite de la politique économique : l'ensemble des administrations (État, collectivités locales, sécurité sociale) pèse un poids croissant dans la production et dans l'allocation des richesses, comme en témoigne le niveau atteint par les prélèvements obligatoires dans toutes les économies développées. Alors que le taux de ces prélèvements était de l'ordre de 10% au début du XIXe siècle dans les pays les plus avancés, il est désormais trois à cinq fois supérieur.</w:t>
      </w:r>
    </w:p>
    <w:p w:rsidR="0043526B" w:rsidRPr="00720D2E" w:rsidRDefault="0043526B" w:rsidP="00720D2E">
      <w:pPr>
        <w:autoSpaceDE w:val="0"/>
        <w:autoSpaceDN w:val="0"/>
        <w:adjustRightInd w:val="0"/>
        <w:spacing w:before="240"/>
        <w:ind w:left="-284" w:right="-283"/>
        <w:jc w:val="both"/>
        <w:rPr>
          <w:rFonts w:ascii="Arial" w:hAnsi="Arial" w:cs="Arial"/>
          <w:b/>
          <w:sz w:val="20"/>
          <w:szCs w:val="21"/>
        </w:rPr>
      </w:pPr>
      <w:r w:rsidRPr="00720D2E">
        <w:rPr>
          <w:rFonts w:ascii="Arial" w:hAnsi="Arial" w:cs="Arial"/>
          <w:b/>
          <w:sz w:val="20"/>
          <w:szCs w:val="21"/>
        </w:rPr>
        <w:lastRenderedPageBreak/>
        <w:t>Au nom de la justice sociale</w:t>
      </w:r>
    </w:p>
    <w:p w:rsidR="0043526B" w:rsidRPr="00720D2E" w:rsidRDefault="0043526B" w:rsidP="00720D2E">
      <w:pPr>
        <w:autoSpaceDE w:val="0"/>
        <w:autoSpaceDN w:val="0"/>
        <w:adjustRightInd w:val="0"/>
        <w:spacing w:before="240"/>
        <w:ind w:left="-284" w:right="-283"/>
        <w:jc w:val="both"/>
        <w:rPr>
          <w:rFonts w:ascii="Arial" w:hAnsi="Arial" w:cs="Arial"/>
          <w:sz w:val="20"/>
          <w:szCs w:val="21"/>
        </w:rPr>
      </w:pPr>
      <w:r w:rsidRPr="00720D2E">
        <w:rPr>
          <w:rFonts w:ascii="Arial" w:hAnsi="Arial" w:cs="Arial"/>
          <w:sz w:val="20"/>
          <w:szCs w:val="21"/>
        </w:rPr>
        <w:t>La théorie économique dominante admet que l'action de l'État se justifie au nom de la justice sociale, en considérant que le marché est toujours plus efficace pour produire ou distribuer des biens et des services. La dialectique Etat-marché ne peut cependant se résumer à une opposition entre justice et efficacité. Le bon fonctionnement des marchés dans une économie développée suppose que l'État définisse et fasse respecter le cadre institutionnel dans lequel les agents privés opèrent. Il doit aussi produire les biens publics indispensables à une croissance durable : formation de la main d'œuvre, santé publique, infrastructures, qualité de l'environnement. Des biens que le marché ne produit pas spontanément de manière satisfaisante. [ ... ]</w:t>
      </w:r>
    </w:p>
    <w:p w:rsidR="0043526B" w:rsidRPr="00720D2E" w:rsidRDefault="0043526B" w:rsidP="00720D2E">
      <w:pPr>
        <w:autoSpaceDE w:val="0"/>
        <w:autoSpaceDN w:val="0"/>
        <w:adjustRightInd w:val="0"/>
        <w:spacing w:before="240"/>
        <w:ind w:left="-284" w:right="-283"/>
        <w:jc w:val="both"/>
        <w:rPr>
          <w:rFonts w:ascii="Arial" w:hAnsi="Arial" w:cs="Arial"/>
          <w:sz w:val="20"/>
          <w:szCs w:val="21"/>
        </w:rPr>
      </w:pPr>
      <w:r w:rsidRPr="00720D2E">
        <w:rPr>
          <w:rFonts w:ascii="Arial" w:hAnsi="Arial" w:cs="Arial"/>
          <w:sz w:val="20"/>
          <w:szCs w:val="21"/>
        </w:rPr>
        <w:t xml:space="preserve">C'est pourquoi, au fur et à mesure de leur développement, les pays consacrent une part croissante de leurs richesses (c'est-à-dire du travail humain) à produire de l'éducation, de la santé des infrastructures, de l'entretien de l'environnement, de la prise en charge des personnes âgées, etc... Des dépenses qui ont </w:t>
      </w:r>
      <w:r w:rsidRPr="00720D2E">
        <w:rPr>
          <w:rFonts w:ascii="Arial" w:hAnsi="Arial" w:cs="Arial"/>
          <w:sz w:val="20"/>
          <w:szCs w:val="21"/>
        </w:rPr>
        <w:lastRenderedPageBreak/>
        <w:t>pratiquement partout en commun d'être financées en partie, sinon en totalité, par l'impôt ou les cotisations sociales.</w:t>
      </w:r>
    </w:p>
    <w:p w:rsidR="0043526B" w:rsidRPr="00720D2E" w:rsidRDefault="0043526B" w:rsidP="00720D2E">
      <w:pPr>
        <w:autoSpaceDE w:val="0"/>
        <w:autoSpaceDN w:val="0"/>
        <w:adjustRightInd w:val="0"/>
        <w:spacing w:before="240"/>
        <w:ind w:left="-284" w:right="-283"/>
        <w:jc w:val="both"/>
        <w:rPr>
          <w:rFonts w:ascii="Arial" w:hAnsi="Arial" w:cs="Arial"/>
          <w:b/>
          <w:sz w:val="20"/>
          <w:szCs w:val="21"/>
        </w:rPr>
      </w:pPr>
      <w:r w:rsidRPr="00720D2E">
        <w:rPr>
          <w:rFonts w:ascii="Arial" w:hAnsi="Arial" w:cs="Arial"/>
          <w:b/>
          <w:sz w:val="20"/>
          <w:szCs w:val="21"/>
        </w:rPr>
        <w:t>Une affaire de comparaison</w:t>
      </w:r>
    </w:p>
    <w:p w:rsidR="0043526B" w:rsidRPr="00720D2E" w:rsidRDefault="0043526B" w:rsidP="00720D2E">
      <w:pPr>
        <w:autoSpaceDE w:val="0"/>
        <w:autoSpaceDN w:val="0"/>
        <w:adjustRightInd w:val="0"/>
        <w:spacing w:before="240"/>
        <w:ind w:left="-284" w:right="-283"/>
        <w:jc w:val="both"/>
        <w:rPr>
          <w:rFonts w:ascii="Arial" w:hAnsi="Arial" w:cs="Arial"/>
          <w:sz w:val="20"/>
          <w:szCs w:val="21"/>
        </w:rPr>
      </w:pPr>
      <w:r w:rsidRPr="00720D2E">
        <w:rPr>
          <w:rFonts w:ascii="Arial" w:hAnsi="Arial" w:cs="Arial"/>
          <w:sz w:val="20"/>
          <w:szCs w:val="21"/>
        </w:rPr>
        <w:t xml:space="preserve">La hausse des prélèvements qui en résulte pose-t-elle problème ? Au niveau individuel, elle est toujours douloureuse, parce qu'elle réduit la part du revenu dont chacun peut disposer librement. Pour ce qui concerne l'efficacité générale de l'économie, la hausse des prélèvements obligatoires est dénoncée comme une menace pour la croissance, parce qu'elle </w:t>
      </w:r>
      <w:proofErr w:type="spellStart"/>
      <w:r w:rsidRPr="00720D2E">
        <w:rPr>
          <w:rFonts w:ascii="Arial" w:hAnsi="Arial" w:cs="Arial"/>
          <w:sz w:val="20"/>
          <w:szCs w:val="21"/>
        </w:rPr>
        <w:t>désinciterait</w:t>
      </w:r>
      <w:proofErr w:type="spellEnd"/>
      <w:r w:rsidRPr="00720D2E">
        <w:rPr>
          <w:rFonts w:ascii="Arial" w:hAnsi="Arial" w:cs="Arial"/>
          <w:sz w:val="20"/>
          <w:szCs w:val="21"/>
        </w:rPr>
        <w:t xml:space="preserve"> les agents à travailler plus et à créer davantage de richesses. L'économiste américain Arthur </w:t>
      </w:r>
      <w:proofErr w:type="spellStart"/>
      <w:r w:rsidRPr="00720D2E">
        <w:rPr>
          <w:rFonts w:ascii="Arial" w:hAnsi="Arial" w:cs="Arial"/>
          <w:sz w:val="20"/>
          <w:szCs w:val="21"/>
        </w:rPr>
        <w:t>Laffer</w:t>
      </w:r>
      <w:proofErr w:type="spellEnd"/>
      <w:r w:rsidRPr="00720D2E">
        <w:rPr>
          <w:rFonts w:ascii="Arial" w:hAnsi="Arial" w:cs="Arial"/>
          <w:sz w:val="20"/>
          <w:szCs w:val="21"/>
        </w:rPr>
        <w:t xml:space="preserve"> est ainsi devenu célèbre en formulant l'idée qu'une trop forte hausse de l'impôt, par son effet négatif sur l'activité économique, réduirait en fait la masse globale des recettes fiscales.</w:t>
      </w:r>
    </w:p>
    <w:p w:rsidR="00FC46B9" w:rsidRDefault="0043526B" w:rsidP="00720D2E">
      <w:pPr>
        <w:autoSpaceDE w:val="0"/>
        <w:autoSpaceDN w:val="0"/>
        <w:adjustRightInd w:val="0"/>
        <w:spacing w:before="240"/>
        <w:ind w:left="-284" w:right="-283"/>
        <w:jc w:val="both"/>
        <w:rPr>
          <w:rFonts w:ascii="Arial" w:hAnsi="Arial" w:cs="Arial"/>
          <w:sz w:val="20"/>
          <w:szCs w:val="21"/>
        </w:rPr>
      </w:pPr>
      <w:r w:rsidRPr="00720D2E">
        <w:rPr>
          <w:rFonts w:ascii="Arial" w:hAnsi="Arial" w:cs="Arial"/>
          <w:sz w:val="20"/>
          <w:szCs w:val="21"/>
        </w:rPr>
        <w:t>L'existence d'un lien de causalité entre le taux de prélèvements obligatoires et la croissance ne se vérifie pas empiriquement. Cette idée repose sur une analyse simpliste des comportements humains. On ne travaille pas uniquement en fonction du revenu. La motivation au travail dépend d'autres facteurs</w:t>
      </w:r>
      <w:proofErr w:type="gramStart"/>
      <w:r w:rsidRPr="00720D2E">
        <w:rPr>
          <w:rFonts w:ascii="Arial" w:hAnsi="Arial" w:cs="Arial"/>
          <w:sz w:val="20"/>
          <w:szCs w:val="21"/>
        </w:rPr>
        <w:t>.[</w:t>
      </w:r>
      <w:proofErr w:type="gramEnd"/>
      <w:r w:rsidRPr="00720D2E">
        <w:rPr>
          <w:rFonts w:ascii="Arial" w:hAnsi="Arial" w:cs="Arial"/>
          <w:sz w:val="20"/>
          <w:szCs w:val="21"/>
        </w:rPr>
        <w:t xml:space="preserve"> ... ]</w:t>
      </w:r>
    </w:p>
    <w:p w:rsidR="00720D2E" w:rsidRDefault="00720D2E" w:rsidP="00720D2E">
      <w:pPr>
        <w:autoSpaceDE w:val="0"/>
        <w:autoSpaceDN w:val="0"/>
        <w:adjustRightInd w:val="0"/>
        <w:spacing w:before="240"/>
        <w:ind w:left="-284" w:right="-283"/>
        <w:jc w:val="both"/>
        <w:rPr>
          <w:rFonts w:ascii="Arial" w:hAnsi="Arial" w:cs="Arial"/>
          <w:sz w:val="20"/>
          <w:szCs w:val="20"/>
        </w:rPr>
        <w:sectPr w:rsidR="00720D2E" w:rsidSect="00720D2E">
          <w:type w:val="continuous"/>
          <w:pgSz w:w="11906" w:h="16838"/>
          <w:pgMar w:top="1417" w:right="1417" w:bottom="1417" w:left="1417" w:header="708" w:footer="708" w:gutter="0"/>
          <w:cols w:num="3" w:space="708"/>
          <w:docGrid w:linePitch="360"/>
        </w:sectPr>
      </w:pPr>
    </w:p>
    <w:p w:rsidR="00720D2E" w:rsidRDefault="00720D2E" w:rsidP="00720D2E">
      <w:pPr>
        <w:autoSpaceDE w:val="0"/>
        <w:autoSpaceDN w:val="0"/>
        <w:adjustRightInd w:val="0"/>
        <w:spacing w:before="240"/>
        <w:ind w:left="-284" w:right="-283"/>
        <w:jc w:val="center"/>
        <w:rPr>
          <w:b/>
          <w:sz w:val="21"/>
          <w:szCs w:val="21"/>
        </w:rPr>
      </w:pPr>
      <w:r w:rsidRPr="00720D2E">
        <w:rPr>
          <w:rFonts w:ascii="Arial" w:hAnsi="Arial" w:cs="Arial"/>
          <w:b/>
          <w:sz w:val="20"/>
          <w:szCs w:val="20"/>
        </w:rPr>
        <w:lastRenderedPageBreak/>
        <w:t>Alternatives économiques- hors-série n°56</w:t>
      </w:r>
      <w:r>
        <w:rPr>
          <w:rFonts w:ascii="Arial" w:hAnsi="Arial" w:cs="Arial"/>
          <w:b/>
          <w:sz w:val="20"/>
          <w:szCs w:val="20"/>
        </w:rPr>
        <w:t xml:space="preserve"> </w:t>
      </w:r>
      <w:r w:rsidRPr="00720D2E">
        <w:rPr>
          <w:rFonts w:ascii="Arial" w:hAnsi="Arial" w:cs="Arial"/>
          <w:b/>
          <w:sz w:val="20"/>
          <w:szCs w:val="20"/>
        </w:rPr>
        <w:t xml:space="preserve">- </w:t>
      </w:r>
      <w:r w:rsidRPr="00720D2E">
        <w:rPr>
          <w:b/>
          <w:sz w:val="21"/>
          <w:szCs w:val="21"/>
        </w:rPr>
        <w:t xml:space="preserve">2e </w:t>
      </w:r>
      <w:r w:rsidRPr="00720D2E">
        <w:rPr>
          <w:rFonts w:ascii="Arial" w:hAnsi="Arial" w:cs="Arial"/>
          <w:b/>
          <w:sz w:val="20"/>
          <w:szCs w:val="20"/>
        </w:rPr>
        <w:t xml:space="preserve">trimestre </w:t>
      </w:r>
      <w:r w:rsidRPr="00720D2E">
        <w:rPr>
          <w:b/>
          <w:sz w:val="21"/>
          <w:szCs w:val="21"/>
        </w:rPr>
        <w:t>2003</w:t>
      </w:r>
    </w:p>
    <w:p w:rsidR="00720D2E" w:rsidRDefault="00720D2E" w:rsidP="00720D2E">
      <w:r>
        <w:br w:type="page"/>
      </w:r>
    </w:p>
    <w:p w:rsidR="00720D2E" w:rsidRPr="00720D2E" w:rsidRDefault="00720D2E" w:rsidP="00720D2E">
      <w:pPr>
        <w:autoSpaceDE w:val="0"/>
        <w:autoSpaceDN w:val="0"/>
        <w:adjustRightInd w:val="0"/>
        <w:spacing w:before="240"/>
        <w:ind w:left="-284" w:right="-283"/>
        <w:rPr>
          <w:b/>
          <w:sz w:val="21"/>
          <w:szCs w:val="21"/>
        </w:rPr>
      </w:pPr>
      <w:r w:rsidRPr="00720D2E">
        <w:rPr>
          <w:b/>
          <w:sz w:val="21"/>
          <w:szCs w:val="21"/>
        </w:rPr>
        <w:lastRenderedPageBreak/>
        <w:t>PROJETS</w:t>
      </w:r>
    </w:p>
    <w:p w:rsidR="00720D2E" w:rsidRDefault="00720D2E" w:rsidP="00720D2E">
      <w:pPr>
        <w:autoSpaceDE w:val="0"/>
        <w:autoSpaceDN w:val="0"/>
        <w:adjustRightInd w:val="0"/>
        <w:spacing w:before="240"/>
        <w:ind w:left="-284" w:right="-283"/>
        <w:rPr>
          <w:b/>
          <w:sz w:val="21"/>
          <w:szCs w:val="21"/>
        </w:rPr>
      </w:pPr>
      <w:r w:rsidRPr="00720D2E">
        <w:rPr>
          <w:b/>
          <w:sz w:val="21"/>
          <w:szCs w:val="21"/>
        </w:rPr>
        <w:t>Principales mesures du PLFSS 2004 (projet de loi de financement de la sécurité</w:t>
      </w:r>
      <w:r>
        <w:rPr>
          <w:b/>
          <w:sz w:val="21"/>
          <w:szCs w:val="21"/>
        </w:rPr>
        <w:t xml:space="preserve"> </w:t>
      </w:r>
      <w:r w:rsidRPr="00720D2E">
        <w:rPr>
          <w:b/>
          <w:sz w:val="21"/>
          <w:szCs w:val="21"/>
        </w:rPr>
        <w:t>sociale)</w:t>
      </w:r>
    </w:p>
    <w:p w:rsidR="00720D2E" w:rsidRDefault="00720D2E" w:rsidP="00720D2E">
      <w:pPr>
        <w:autoSpaceDE w:val="0"/>
        <w:autoSpaceDN w:val="0"/>
        <w:adjustRightInd w:val="0"/>
        <w:spacing w:before="240"/>
        <w:ind w:left="-284" w:right="-283"/>
        <w:rPr>
          <w:b/>
          <w:sz w:val="21"/>
          <w:szCs w:val="21"/>
        </w:rPr>
      </w:pPr>
    </w:p>
    <w:p w:rsidR="00720D2E" w:rsidRDefault="00720D2E" w:rsidP="00720D2E">
      <w:pPr>
        <w:autoSpaceDE w:val="0"/>
        <w:autoSpaceDN w:val="0"/>
        <w:adjustRightInd w:val="0"/>
        <w:ind w:left="-284"/>
        <w:rPr>
          <w:rFonts w:ascii="Arial" w:hAnsi="Arial" w:cs="Arial"/>
          <w:sz w:val="20"/>
          <w:szCs w:val="20"/>
        </w:rPr>
      </w:pPr>
      <w:r>
        <w:rPr>
          <w:rFonts w:ascii="Arial" w:hAnsi="Arial" w:cs="Arial"/>
          <w:sz w:val="20"/>
          <w:szCs w:val="20"/>
        </w:rPr>
        <w:t xml:space="preserve">Ce projet de loi comporte essentiellement des mesures d'urgence destinées </w:t>
      </w:r>
      <w:r>
        <w:rPr>
          <w:sz w:val="21"/>
          <w:szCs w:val="21"/>
        </w:rPr>
        <w:t xml:space="preserve">à </w:t>
      </w:r>
      <w:r>
        <w:rPr>
          <w:rFonts w:ascii="Arial" w:hAnsi="Arial" w:cs="Arial"/>
          <w:sz w:val="20"/>
          <w:szCs w:val="20"/>
        </w:rPr>
        <w:t xml:space="preserve">stabiliser le déficit prévisionnel de la branche maladie en 2004. Le déficit du régime général devrait être limité </w:t>
      </w:r>
      <w:r>
        <w:rPr>
          <w:rFonts w:ascii="Arial" w:hAnsi="Arial" w:cs="Arial"/>
          <w:sz w:val="19"/>
          <w:szCs w:val="19"/>
        </w:rPr>
        <w:t xml:space="preserve">à </w:t>
      </w:r>
      <w:r>
        <w:rPr>
          <w:rFonts w:ascii="Arial" w:hAnsi="Arial" w:cs="Arial"/>
          <w:sz w:val="20"/>
          <w:szCs w:val="20"/>
        </w:rPr>
        <w:t>11 ,2 milliards d'euros en 2004 après les mesures du PLFSS (au lieu d'atteindre 14,7 milliards d'euros</w:t>
      </w:r>
      <w:proofErr w:type="gramStart"/>
      <w:r>
        <w:rPr>
          <w:rFonts w:ascii="Arial" w:hAnsi="Arial" w:cs="Arial"/>
          <w:sz w:val="20"/>
          <w:szCs w:val="20"/>
        </w:rPr>
        <w:t>)[</w:t>
      </w:r>
      <w:proofErr w:type="gramEnd"/>
      <w:r>
        <w:rPr>
          <w:rFonts w:ascii="Arial" w:hAnsi="Arial" w:cs="Arial"/>
          <w:sz w:val="20"/>
          <w:szCs w:val="20"/>
        </w:rPr>
        <w:t xml:space="preserve"> ... ]</w:t>
      </w:r>
    </w:p>
    <w:p w:rsidR="00720D2E" w:rsidRDefault="00720D2E" w:rsidP="00720D2E">
      <w:pPr>
        <w:autoSpaceDE w:val="0"/>
        <w:autoSpaceDN w:val="0"/>
        <w:adjustRightInd w:val="0"/>
        <w:ind w:left="-284"/>
        <w:rPr>
          <w:rFonts w:ascii="Arial" w:hAnsi="Arial" w:cs="Arial"/>
          <w:sz w:val="20"/>
          <w:szCs w:val="20"/>
        </w:rPr>
      </w:pPr>
    </w:p>
    <w:p w:rsidR="00720D2E" w:rsidRPr="00720D2E" w:rsidRDefault="00720D2E" w:rsidP="00720D2E">
      <w:pPr>
        <w:autoSpaceDE w:val="0"/>
        <w:autoSpaceDN w:val="0"/>
        <w:adjustRightInd w:val="0"/>
        <w:ind w:left="-284"/>
        <w:rPr>
          <w:rFonts w:ascii="Arial" w:hAnsi="Arial" w:cs="Arial"/>
          <w:b/>
          <w:bCs/>
          <w:sz w:val="19"/>
          <w:szCs w:val="19"/>
          <w:u w:val="single"/>
        </w:rPr>
      </w:pPr>
      <w:r w:rsidRPr="00720D2E">
        <w:rPr>
          <w:rFonts w:ascii="Arial" w:hAnsi="Arial" w:cs="Arial"/>
          <w:b/>
          <w:bCs/>
          <w:sz w:val="19"/>
          <w:szCs w:val="19"/>
          <w:u w:val="single"/>
        </w:rPr>
        <w:t>Stabiliser les comptes de l'assurance maladie</w:t>
      </w:r>
    </w:p>
    <w:p w:rsidR="00720D2E" w:rsidRDefault="00720D2E" w:rsidP="00720D2E">
      <w:pPr>
        <w:autoSpaceDE w:val="0"/>
        <w:autoSpaceDN w:val="0"/>
        <w:adjustRightInd w:val="0"/>
        <w:ind w:left="-284"/>
        <w:rPr>
          <w:rFonts w:ascii="Arial" w:hAnsi="Arial" w:cs="Arial"/>
          <w:b/>
          <w:bCs/>
          <w:sz w:val="19"/>
          <w:szCs w:val="19"/>
        </w:rPr>
      </w:pPr>
    </w:p>
    <w:p w:rsidR="00720D2E" w:rsidRDefault="00720D2E" w:rsidP="00720D2E">
      <w:pPr>
        <w:autoSpaceDE w:val="0"/>
        <w:autoSpaceDN w:val="0"/>
        <w:adjustRightInd w:val="0"/>
        <w:ind w:left="-284"/>
        <w:rPr>
          <w:rFonts w:ascii="Arial" w:hAnsi="Arial" w:cs="Arial"/>
          <w:sz w:val="20"/>
          <w:szCs w:val="20"/>
        </w:rPr>
      </w:pPr>
      <w:r>
        <w:rPr>
          <w:rFonts w:ascii="Arial" w:hAnsi="Arial" w:cs="Arial"/>
          <w:sz w:val="20"/>
          <w:szCs w:val="20"/>
        </w:rPr>
        <w:t xml:space="preserve">Le PLFSS prévoit des mesures destinées </w:t>
      </w:r>
      <w:r>
        <w:rPr>
          <w:sz w:val="21"/>
          <w:szCs w:val="21"/>
        </w:rPr>
        <w:t xml:space="preserve">à </w:t>
      </w:r>
      <w:r>
        <w:rPr>
          <w:rFonts w:ascii="Arial" w:hAnsi="Arial" w:cs="Arial"/>
          <w:sz w:val="20"/>
          <w:szCs w:val="20"/>
        </w:rPr>
        <w:t xml:space="preserve">modérer les dépenses maladie </w:t>
      </w:r>
      <w:r>
        <w:rPr>
          <w:sz w:val="21"/>
          <w:szCs w:val="21"/>
        </w:rPr>
        <w:t xml:space="preserve">à </w:t>
      </w:r>
      <w:r>
        <w:rPr>
          <w:rFonts w:ascii="Arial" w:hAnsi="Arial" w:cs="Arial"/>
          <w:sz w:val="20"/>
          <w:szCs w:val="20"/>
        </w:rPr>
        <w:t>hauteur de 1,8 milliards d'€ :</w:t>
      </w:r>
    </w:p>
    <w:p w:rsidR="00720D2E" w:rsidRDefault="00720D2E" w:rsidP="00720D2E">
      <w:pPr>
        <w:pStyle w:val="Paragraphedeliste"/>
        <w:numPr>
          <w:ilvl w:val="0"/>
          <w:numId w:val="11"/>
        </w:numPr>
        <w:autoSpaceDE w:val="0"/>
        <w:autoSpaceDN w:val="0"/>
        <w:adjustRightInd w:val="0"/>
        <w:rPr>
          <w:rFonts w:ascii="Arial" w:hAnsi="Arial" w:cs="Arial"/>
          <w:sz w:val="20"/>
          <w:szCs w:val="20"/>
        </w:rPr>
      </w:pPr>
      <w:r w:rsidRPr="00720D2E">
        <w:rPr>
          <w:rFonts w:ascii="Arial" w:hAnsi="Arial" w:cs="Arial"/>
          <w:sz w:val="20"/>
          <w:szCs w:val="20"/>
        </w:rPr>
        <w:t xml:space="preserve">Revalorisation du forfait journalier </w:t>
      </w:r>
      <w:r w:rsidRPr="00720D2E">
        <w:rPr>
          <w:sz w:val="21"/>
          <w:szCs w:val="21"/>
        </w:rPr>
        <w:t xml:space="preserve">à </w:t>
      </w:r>
      <w:r w:rsidRPr="00720D2E">
        <w:rPr>
          <w:rFonts w:ascii="Arial" w:hAnsi="Arial" w:cs="Arial"/>
          <w:sz w:val="20"/>
          <w:szCs w:val="20"/>
        </w:rPr>
        <w:t xml:space="preserve">l'hôpital qui passera de 10,67 € </w:t>
      </w:r>
      <w:r w:rsidRPr="00720D2E">
        <w:rPr>
          <w:sz w:val="21"/>
          <w:szCs w:val="21"/>
        </w:rPr>
        <w:t xml:space="preserve">à </w:t>
      </w:r>
      <w:r w:rsidRPr="00720D2E">
        <w:rPr>
          <w:rFonts w:ascii="Arial" w:hAnsi="Arial" w:cs="Arial"/>
          <w:sz w:val="20"/>
          <w:szCs w:val="20"/>
        </w:rPr>
        <w:t>13 € (150 millions d' € d'économies pour le régime général). Cependant, une réduction du forfait est prévue pour les séjours psychiatriques afin d'éviter de pénaliser les malades qui alternent hospitalisation et</w:t>
      </w:r>
      <w:r>
        <w:rPr>
          <w:rFonts w:ascii="Arial" w:hAnsi="Arial" w:cs="Arial"/>
          <w:sz w:val="20"/>
          <w:szCs w:val="20"/>
        </w:rPr>
        <w:t xml:space="preserve"> </w:t>
      </w:r>
      <w:r w:rsidRPr="00720D2E">
        <w:rPr>
          <w:rFonts w:ascii="Arial" w:hAnsi="Arial" w:cs="Arial"/>
          <w:sz w:val="20"/>
          <w:szCs w:val="20"/>
        </w:rPr>
        <w:t>intégration en ville.</w:t>
      </w:r>
    </w:p>
    <w:p w:rsidR="00720D2E" w:rsidRPr="00720D2E" w:rsidRDefault="00720D2E" w:rsidP="00720D2E">
      <w:pPr>
        <w:pStyle w:val="Paragraphedeliste"/>
        <w:numPr>
          <w:ilvl w:val="0"/>
          <w:numId w:val="11"/>
        </w:numPr>
        <w:autoSpaceDE w:val="0"/>
        <w:autoSpaceDN w:val="0"/>
        <w:adjustRightInd w:val="0"/>
        <w:rPr>
          <w:rFonts w:ascii="Arial" w:hAnsi="Arial" w:cs="Arial"/>
          <w:sz w:val="20"/>
          <w:szCs w:val="20"/>
        </w:rPr>
      </w:pPr>
      <w:r w:rsidRPr="00720D2E">
        <w:rPr>
          <w:rFonts w:ascii="Arial" w:hAnsi="Arial" w:cs="Arial"/>
          <w:sz w:val="20"/>
          <w:szCs w:val="20"/>
        </w:rPr>
        <w:t xml:space="preserve">Baisse de 65 </w:t>
      </w:r>
      <w:r w:rsidRPr="00720D2E">
        <w:rPr>
          <w:sz w:val="21"/>
          <w:szCs w:val="21"/>
        </w:rPr>
        <w:t xml:space="preserve">à </w:t>
      </w:r>
      <w:r w:rsidRPr="00720D2E">
        <w:rPr>
          <w:rFonts w:ascii="Arial" w:hAnsi="Arial" w:cs="Arial"/>
          <w:sz w:val="20"/>
          <w:szCs w:val="20"/>
        </w:rPr>
        <w:t>35% du remboursement de l'homéopathie (70 millions d'€ d'économie tous régimes).</w:t>
      </w:r>
    </w:p>
    <w:p w:rsidR="00720D2E" w:rsidRPr="00720D2E" w:rsidRDefault="00720D2E" w:rsidP="00720D2E">
      <w:pPr>
        <w:pStyle w:val="Paragraphedeliste"/>
        <w:numPr>
          <w:ilvl w:val="0"/>
          <w:numId w:val="11"/>
        </w:numPr>
        <w:autoSpaceDE w:val="0"/>
        <w:autoSpaceDN w:val="0"/>
        <w:adjustRightInd w:val="0"/>
        <w:rPr>
          <w:rFonts w:ascii="Arial" w:hAnsi="Arial" w:cs="Arial"/>
          <w:sz w:val="20"/>
          <w:szCs w:val="20"/>
        </w:rPr>
      </w:pPr>
      <w:r w:rsidRPr="00720D2E">
        <w:rPr>
          <w:rFonts w:ascii="Arial" w:hAnsi="Arial" w:cs="Arial"/>
          <w:sz w:val="20"/>
          <w:szCs w:val="20"/>
        </w:rPr>
        <w:t>Baisse des marges des grossistes répartiteurs (83 millions d'€ d'économie pour le régime général).</w:t>
      </w:r>
    </w:p>
    <w:p w:rsidR="00720D2E" w:rsidRPr="00720D2E" w:rsidRDefault="00720D2E" w:rsidP="00720D2E">
      <w:pPr>
        <w:pStyle w:val="Paragraphedeliste"/>
        <w:numPr>
          <w:ilvl w:val="0"/>
          <w:numId w:val="11"/>
        </w:numPr>
        <w:autoSpaceDE w:val="0"/>
        <w:autoSpaceDN w:val="0"/>
        <w:adjustRightInd w:val="0"/>
        <w:rPr>
          <w:rFonts w:ascii="Arial" w:hAnsi="Arial" w:cs="Arial"/>
          <w:sz w:val="20"/>
          <w:szCs w:val="20"/>
        </w:rPr>
      </w:pPr>
      <w:r w:rsidRPr="00720D2E">
        <w:rPr>
          <w:rFonts w:ascii="Arial" w:hAnsi="Arial" w:cs="Arial"/>
          <w:sz w:val="20"/>
          <w:szCs w:val="20"/>
        </w:rPr>
        <w:t>Limitation de la prise en charge à 100% aux actes médicaux les plus coûteux, dont la cotation est supérieure à 50, et aux soins réalisés dans les seules périodes d'hospitalisation au cours de laquelle l'acte est réalisé ou consécutives à cette hospitalisation (mesure réglementaire). Les autres soins non liés à l'acte exonérant seront remboursés selon le droit commun (500 millions d'€</w:t>
      </w:r>
      <w:r>
        <w:rPr>
          <w:rFonts w:ascii="Arial" w:hAnsi="Arial" w:cs="Arial"/>
          <w:sz w:val="20"/>
          <w:szCs w:val="20"/>
        </w:rPr>
        <w:t xml:space="preserve"> </w:t>
      </w:r>
      <w:r w:rsidRPr="00720D2E">
        <w:rPr>
          <w:rFonts w:ascii="Arial" w:hAnsi="Arial" w:cs="Arial"/>
          <w:sz w:val="20"/>
          <w:szCs w:val="20"/>
        </w:rPr>
        <w:t>d'économie pour le régime général).</w:t>
      </w:r>
    </w:p>
    <w:p w:rsidR="00720D2E" w:rsidRPr="00720D2E" w:rsidRDefault="00720D2E" w:rsidP="00720D2E">
      <w:pPr>
        <w:pStyle w:val="Paragraphedeliste"/>
        <w:numPr>
          <w:ilvl w:val="0"/>
          <w:numId w:val="11"/>
        </w:numPr>
        <w:autoSpaceDE w:val="0"/>
        <w:autoSpaceDN w:val="0"/>
        <w:adjustRightInd w:val="0"/>
        <w:rPr>
          <w:rFonts w:ascii="Arial" w:hAnsi="Arial" w:cs="Arial"/>
          <w:sz w:val="20"/>
          <w:szCs w:val="20"/>
        </w:rPr>
      </w:pPr>
      <w:r w:rsidRPr="00720D2E">
        <w:rPr>
          <w:rFonts w:ascii="Arial" w:hAnsi="Arial" w:cs="Arial"/>
          <w:sz w:val="20"/>
          <w:szCs w:val="20"/>
        </w:rPr>
        <w:t>Meilleur contrôle des admissions en Affection Longue durée (ALD) et des arrêts de travail [...]</w:t>
      </w:r>
    </w:p>
    <w:p w:rsidR="00720D2E" w:rsidRPr="00720D2E" w:rsidRDefault="00720D2E" w:rsidP="00720D2E">
      <w:pPr>
        <w:pStyle w:val="Paragraphedeliste"/>
        <w:numPr>
          <w:ilvl w:val="0"/>
          <w:numId w:val="11"/>
        </w:numPr>
        <w:autoSpaceDE w:val="0"/>
        <w:autoSpaceDN w:val="0"/>
        <w:adjustRightInd w:val="0"/>
        <w:rPr>
          <w:rFonts w:ascii="Arial" w:hAnsi="Arial" w:cs="Arial"/>
          <w:sz w:val="20"/>
          <w:szCs w:val="20"/>
        </w:rPr>
      </w:pPr>
      <w:r w:rsidRPr="00720D2E">
        <w:rPr>
          <w:rFonts w:ascii="Arial" w:hAnsi="Arial" w:cs="Arial"/>
          <w:sz w:val="20"/>
          <w:szCs w:val="20"/>
        </w:rPr>
        <w:t>Développement des accords de bon usage des soins.</w:t>
      </w:r>
    </w:p>
    <w:p w:rsidR="00720D2E" w:rsidRPr="00720D2E" w:rsidRDefault="00720D2E" w:rsidP="00720D2E">
      <w:pPr>
        <w:pStyle w:val="Paragraphedeliste"/>
        <w:numPr>
          <w:ilvl w:val="0"/>
          <w:numId w:val="11"/>
        </w:numPr>
        <w:autoSpaceDE w:val="0"/>
        <w:autoSpaceDN w:val="0"/>
        <w:adjustRightInd w:val="0"/>
        <w:rPr>
          <w:rFonts w:ascii="Arial" w:hAnsi="Arial" w:cs="Arial"/>
          <w:sz w:val="20"/>
          <w:szCs w:val="20"/>
        </w:rPr>
      </w:pPr>
      <w:r w:rsidRPr="00720D2E">
        <w:rPr>
          <w:rFonts w:ascii="Arial" w:hAnsi="Arial" w:cs="Arial"/>
          <w:sz w:val="20"/>
          <w:szCs w:val="20"/>
        </w:rPr>
        <w:t>Poursuite de la politique de déremboursement des médicaments à service médical rendu insuffisant.</w:t>
      </w:r>
    </w:p>
    <w:p w:rsidR="00720D2E" w:rsidRPr="00720D2E" w:rsidRDefault="00720D2E" w:rsidP="00720D2E">
      <w:pPr>
        <w:pStyle w:val="Paragraphedeliste"/>
        <w:numPr>
          <w:ilvl w:val="0"/>
          <w:numId w:val="11"/>
        </w:numPr>
        <w:autoSpaceDE w:val="0"/>
        <w:autoSpaceDN w:val="0"/>
        <w:adjustRightInd w:val="0"/>
        <w:rPr>
          <w:rFonts w:ascii="Arial" w:hAnsi="Arial" w:cs="Arial"/>
          <w:sz w:val="20"/>
          <w:szCs w:val="20"/>
        </w:rPr>
      </w:pPr>
      <w:r w:rsidRPr="00720D2E">
        <w:rPr>
          <w:rFonts w:ascii="Arial" w:hAnsi="Arial" w:cs="Arial"/>
          <w:sz w:val="20"/>
          <w:szCs w:val="20"/>
        </w:rPr>
        <w:t>Augmentation du nombre de groupes génériques sous tarif forfaitaire de responsabilité, et inscription possible dans le groupe génériques dès l'obtention de l'autorisation de mise sur le marché par le</w:t>
      </w:r>
      <w:r>
        <w:rPr>
          <w:rFonts w:ascii="Arial" w:hAnsi="Arial" w:cs="Arial"/>
          <w:sz w:val="20"/>
          <w:szCs w:val="20"/>
        </w:rPr>
        <w:t xml:space="preserve"> </w:t>
      </w:r>
      <w:r w:rsidRPr="00720D2E">
        <w:rPr>
          <w:rFonts w:ascii="Arial" w:hAnsi="Arial" w:cs="Arial"/>
          <w:sz w:val="20"/>
          <w:szCs w:val="20"/>
        </w:rPr>
        <w:t>générique.</w:t>
      </w:r>
    </w:p>
    <w:p w:rsidR="00720D2E" w:rsidRPr="00720D2E" w:rsidRDefault="00720D2E" w:rsidP="00720D2E">
      <w:pPr>
        <w:pStyle w:val="Paragraphedeliste"/>
        <w:numPr>
          <w:ilvl w:val="0"/>
          <w:numId w:val="11"/>
        </w:numPr>
        <w:autoSpaceDE w:val="0"/>
        <w:autoSpaceDN w:val="0"/>
        <w:adjustRightInd w:val="0"/>
        <w:rPr>
          <w:rFonts w:ascii="Arial" w:hAnsi="Arial" w:cs="Arial"/>
          <w:sz w:val="20"/>
          <w:szCs w:val="20"/>
        </w:rPr>
      </w:pPr>
      <w:r w:rsidRPr="00720D2E">
        <w:rPr>
          <w:rFonts w:ascii="Arial" w:hAnsi="Arial" w:cs="Arial"/>
          <w:sz w:val="20"/>
          <w:szCs w:val="20"/>
        </w:rPr>
        <w:t>Mise en œuvre de mesures de gain de productivité et d'économie dans la gestion administrative de</w:t>
      </w:r>
      <w:r>
        <w:rPr>
          <w:rFonts w:ascii="Arial" w:hAnsi="Arial" w:cs="Arial"/>
          <w:sz w:val="20"/>
          <w:szCs w:val="20"/>
        </w:rPr>
        <w:t xml:space="preserve"> </w:t>
      </w:r>
      <w:r w:rsidRPr="00720D2E">
        <w:rPr>
          <w:rFonts w:ascii="Arial" w:hAnsi="Arial" w:cs="Arial"/>
          <w:sz w:val="20"/>
          <w:szCs w:val="20"/>
        </w:rPr>
        <w:t>la CNAM (60 millions d'€ d'économie).</w:t>
      </w:r>
    </w:p>
    <w:p w:rsidR="00720D2E" w:rsidRDefault="00720D2E" w:rsidP="00720D2E">
      <w:pPr>
        <w:pStyle w:val="Paragraphedeliste"/>
        <w:numPr>
          <w:ilvl w:val="0"/>
          <w:numId w:val="11"/>
        </w:numPr>
        <w:autoSpaceDE w:val="0"/>
        <w:autoSpaceDN w:val="0"/>
        <w:adjustRightInd w:val="0"/>
        <w:rPr>
          <w:rFonts w:ascii="Arial" w:hAnsi="Arial" w:cs="Arial"/>
          <w:sz w:val="20"/>
          <w:szCs w:val="20"/>
        </w:rPr>
      </w:pPr>
      <w:r w:rsidRPr="00720D2E">
        <w:rPr>
          <w:rFonts w:ascii="Arial" w:hAnsi="Arial" w:cs="Arial"/>
          <w:sz w:val="20"/>
          <w:szCs w:val="20"/>
        </w:rPr>
        <w:t>Responsabilisation des assurés par l'exclusion du remboursement des actes effectués en dehors de</w:t>
      </w:r>
      <w:r>
        <w:rPr>
          <w:rFonts w:ascii="Arial" w:hAnsi="Arial" w:cs="Arial"/>
          <w:sz w:val="20"/>
          <w:szCs w:val="20"/>
        </w:rPr>
        <w:t xml:space="preserve"> </w:t>
      </w:r>
      <w:r w:rsidRPr="00720D2E">
        <w:rPr>
          <w:rFonts w:ascii="Arial" w:hAnsi="Arial" w:cs="Arial"/>
          <w:sz w:val="20"/>
          <w:szCs w:val="20"/>
        </w:rPr>
        <w:t>toute justification médicale (obtention d'un certificat médical pour une licence sportive, etc.).</w:t>
      </w:r>
    </w:p>
    <w:p w:rsidR="00720D2E" w:rsidRPr="00720D2E" w:rsidRDefault="00720D2E" w:rsidP="00720D2E">
      <w:pPr>
        <w:autoSpaceDE w:val="0"/>
        <w:autoSpaceDN w:val="0"/>
        <w:adjustRightInd w:val="0"/>
        <w:ind w:left="-284"/>
        <w:rPr>
          <w:rFonts w:ascii="Arial" w:hAnsi="Arial" w:cs="Arial"/>
          <w:sz w:val="20"/>
          <w:szCs w:val="20"/>
        </w:rPr>
      </w:pPr>
    </w:p>
    <w:p w:rsidR="00720D2E" w:rsidRPr="00720D2E" w:rsidRDefault="00720D2E" w:rsidP="00720D2E">
      <w:pPr>
        <w:autoSpaceDE w:val="0"/>
        <w:autoSpaceDN w:val="0"/>
        <w:adjustRightInd w:val="0"/>
        <w:ind w:left="-284"/>
        <w:rPr>
          <w:rFonts w:ascii="Arial" w:hAnsi="Arial" w:cs="Arial"/>
          <w:b/>
          <w:bCs/>
          <w:sz w:val="19"/>
          <w:szCs w:val="19"/>
          <w:u w:val="single"/>
        </w:rPr>
      </w:pPr>
      <w:r w:rsidRPr="00720D2E">
        <w:rPr>
          <w:rFonts w:ascii="Arial" w:hAnsi="Arial" w:cs="Arial"/>
          <w:b/>
          <w:bCs/>
          <w:sz w:val="19"/>
          <w:szCs w:val="19"/>
          <w:u w:val="single"/>
        </w:rPr>
        <w:t>Trois nouvelles recettes</w:t>
      </w:r>
    </w:p>
    <w:p w:rsidR="00720D2E" w:rsidRDefault="00720D2E" w:rsidP="00720D2E">
      <w:pPr>
        <w:autoSpaceDE w:val="0"/>
        <w:autoSpaceDN w:val="0"/>
        <w:adjustRightInd w:val="0"/>
        <w:ind w:left="-284"/>
        <w:rPr>
          <w:rFonts w:ascii="Arial" w:hAnsi="Arial" w:cs="Arial"/>
          <w:b/>
          <w:bCs/>
          <w:sz w:val="19"/>
          <w:szCs w:val="19"/>
        </w:rPr>
      </w:pPr>
    </w:p>
    <w:p w:rsidR="00720D2E" w:rsidRDefault="00720D2E" w:rsidP="00720D2E">
      <w:pPr>
        <w:autoSpaceDE w:val="0"/>
        <w:autoSpaceDN w:val="0"/>
        <w:adjustRightInd w:val="0"/>
        <w:ind w:left="-284"/>
        <w:rPr>
          <w:rFonts w:ascii="Arial" w:hAnsi="Arial" w:cs="Arial"/>
          <w:sz w:val="20"/>
          <w:szCs w:val="20"/>
        </w:rPr>
      </w:pPr>
      <w:r>
        <w:rPr>
          <w:rFonts w:ascii="Arial" w:hAnsi="Arial" w:cs="Arial"/>
          <w:sz w:val="20"/>
          <w:szCs w:val="20"/>
        </w:rPr>
        <w:t>Le PLFSS crée trois nouvelles recettes (1 ,05 milliards d'€) :</w:t>
      </w:r>
    </w:p>
    <w:p w:rsidR="00720D2E" w:rsidRPr="00720D2E" w:rsidRDefault="00720D2E" w:rsidP="00720D2E">
      <w:pPr>
        <w:pStyle w:val="Paragraphedeliste"/>
        <w:numPr>
          <w:ilvl w:val="0"/>
          <w:numId w:val="11"/>
        </w:numPr>
        <w:autoSpaceDE w:val="0"/>
        <w:autoSpaceDN w:val="0"/>
        <w:adjustRightInd w:val="0"/>
        <w:rPr>
          <w:rFonts w:ascii="Arial" w:hAnsi="Arial" w:cs="Arial"/>
          <w:sz w:val="20"/>
          <w:szCs w:val="20"/>
        </w:rPr>
      </w:pPr>
      <w:r w:rsidRPr="00720D2E">
        <w:rPr>
          <w:rFonts w:ascii="Arial" w:hAnsi="Arial" w:cs="Arial"/>
          <w:sz w:val="20"/>
          <w:szCs w:val="20"/>
        </w:rPr>
        <w:t>Hausse de la taxe sur la promotion pharmaceutique (150 millions d'€) [...]</w:t>
      </w:r>
    </w:p>
    <w:p w:rsidR="00720D2E" w:rsidRPr="00720D2E" w:rsidRDefault="00720D2E" w:rsidP="00720D2E">
      <w:pPr>
        <w:pStyle w:val="Paragraphedeliste"/>
        <w:numPr>
          <w:ilvl w:val="0"/>
          <w:numId w:val="11"/>
        </w:numPr>
        <w:autoSpaceDE w:val="0"/>
        <w:autoSpaceDN w:val="0"/>
        <w:adjustRightInd w:val="0"/>
        <w:rPr>
          <w:rFonts w:ascii="Arial" w:hAnsi="Arial" w:cs="Arial"/>
          <w:sz w:val="20"/>
          <w:szCs w:val="20"/>
        </w:rPr>
      </w:pPr>
      <w:r w:rsidRPr="00720D2E">
        <w:rPr>
          <w:rFonts w:ascii="Arial" w:hAnsi="Arial" w:cs="Arial"/>
          <w:sz w:val="20"/>
          <w:szCs w:val="20"/>
        </w:rPr>
        <w:t xml:space="preserve">Augmentation des prix du tabac en 2004 dont la totalité sera affectée </w:t>
      </w:r>
      <w:r w:rsidRPr="00720D2E">
        <w:rPr>
          <w:rFonts w:ascii="Arial" w:hAnsi="Arial" w:cs="Arial"/>
          <w:sz w:val="19"/>
          <w:szCs w:val="19"/>
        </w:rPr>
        <w:t xml:space="preserve">à </w:t>
      </w:r>
      <w:r w:rsidRPr="00720D2E">
        <w:rPr>
          <w:rFonts w:ascii="Arial" w:hAnsi="Arial" w:cs="Arial"/>
          <w:sz w:val="20"/>
          <w:szCs w:val="20"/>
        </w:rPr>
        <w:t>la Sécurité sociale (gain</w:t>
      </w:r>
      <w:r>
        <w:rPr>
          <w:rFonts w:ascii="Arial" w:hAnsi="Arial" w:cs="Arial"/>
          <w:sz w:val="20"/>
          <w:szCs w:val="20"/>
        </w:rPr>
        <w:t xml:space="preserve"> </w:t>
      </w:r>
      <w:r w:rsidRPr="00720D2E">
        <w:rPr>
          <w:rFonts w:ascii="Arial" w:hAnsi="Arial" w:cs="Arial"/>
          <w:sz w:val="20"/>
          <w:szCs w:val="20"/>
        </w:rPr>
        <w:t>espéré de 800 millions d'€).</w:t>
      </w:r>
    </w:p>
    <w:p w:rsidR="00720D2E" w:rsidRPr="00720D2E" w:rsidRDefault="00720D2E" w:rsidP="00720D2E">
      <w:pPr>
        <w:pStyle w:val="Paragraphedeliste"/>
        <w:numPr>
          <w:ilvl w:val="0"/>
          <w:numId w:val="11"/>
        </w:numPr>
        <w:autoSpaceDE w:val="0"/>
        <w:autoSpaceDN w:val="0"/>
        <w:adjustRightInd w:val="0"/>
        <w:spacing w:before="240"/>
        <w:ind w:right="-283"/>
        <w:rPr>
          <w:b/>
          <w:sz w:val="21"/>
          <w:szCs w:val="21"/>
        </w:rPr>
      </w:pPr>
      <w:r w:rsidRPr="00720D2E">
        <w:rPr>
          <w:rFonts w:ascii="Arial" w:hAnsi="Arial" w:cs="Arial"/>
          <w:sz w:val="20"/>
          <w:szCs w:val="20"/>
        </w:rPr>
        <w:t>Amélioration de l'efficacité des recours des caisses de sécurité sociale contre les tiers assureurs</w:t>
      </w:r>
      <w:r>
        <w:rPr>
          <w:rFonts w:ascii="Arial" w:hAnsi="Arial" w:cs="Arial"/>
          <w:sz w:val="20"/>
          <w:szCs w:val="20"/>
        </w:rPr>
        <w:t xml:space="preserve"> </w:t>
      </w:r>
      <w:r w:rsidRPr="00720D2E">
        <w:rPr>
          <w:rFonts w:ascii="Arial" w:hAnsi="Arial" w:cs="Arial"/>
          <w:sz w:val="20"/>
          <w:szCs w:val="20"/>
        </w:rPr>
        <w:t>dans les accidents sportifs ou de voitures (100 millions d'€) [...]</w:t>
      </w:r>
    </w:p>
    <w:p w:rsidR="00720D2E" w:rsidRDefault="00720D2E" w:rsidP="00720D2E">
      <w:pPr>
        <w:autoSpaceDE w:val="0"/>
        <w:autoSpaceDN w:val="0"/>
        <w:adjustRightInd w:val="0"/>
        <w:spacing w:before="240"/>
        <w:ind w:right="-283"/>
        <w:jc w:val="center"/>
        <w:rPr>
          <w:b/>
          <w:sz w:val="21"/>
          <w:szCs w:val="21"/>
        </w:rPr>
      </w:pPr>
      <w:r w:rsidRPr="00720D2E">
        <w:rPr>
          <w:b/>
          <w:sz w:val="21"/>
          <w:szCs w:val="21"/>
        </w:rPr>
        <w:t>Liaisons sociales, Bref social n°13976, jeudi 25 septembre 2003</w:t>
      </w:r>
    </w:p>
    <w:p w:rsidR="00720D2E" w:rsidRDefault="00720D2E" w:rsidP="00720D2E">
      <w:r>
        <w:br w:type="page"/>
      </w:r>
    </w:p>
    <w:p w:rsidR="00BD2F0B" w:rsidRDefault="00720D2E" w:rsidP="00BD2F0B">
      <w:pPr>
        <w:autoSpaceDE w:val="0"/>
        <w:autoSpaceDN w:val="0"/>
        <w:adjustRightInd w:val="0"/>
        <w:spacing w:after="240"/>
        <w:ind w:right="-283"/>
        <w:jc w:val="center"/>
        <w:rPr>
          <w:b/>
          <w:sz w:val="21"/>
          <w:szCs w:val="21"/>
        </w:rPr>
      </w:pPr>
      <w:r>
        <w:rPr>
          <w:b/>
          <w:sz w:val="21"/>
          <w:szCs w:val="21"/>
        </w:rPr>
        <w:lastRenderedPageBreak/>
        <w:t>Les dépenses de santé</w:t>
      </w:r>
    </w:p>
    <w:tbl>
      <w:tblPr>
        <w:tblStyle w:val="Grilledutableau"/>
        <w:tblW w:w="7429" w:type="dxa"/>
        <w:tblLook w:val="04A0" w:firstRow="1" w:lastRow="0" w:firstColumn="1" w:lastColumn="0" w:noHBand="0" w:noVBand="1"/>
      </w:tblPr>
      <w:tblGrid>
        <w:gridCol w:w="3451"/>
        <w:gridCol w:w="636"/>
        <w:gridCol w:w="636"/>
        <w:gridCol w:w="636"/>
        <w:gridCol w:w="636"/>
        <w:gridCol w:w="717"/>
        <w:gridCol w:w="717"/>
      </w:tblGrid>
      <w:tr w:rsidR="00BD2F0B" w:rsidTr="00BD2F0B">
        <w:tc>
          <w:tcPr>
            <w:tcW w:w="3685" w:type="dxa"/>
            <w:tcBorders>
              <w:top w:val="nil"/>
              <w:left w:val="nil"/>
            </w:tcBorders>
          </w:tcPr>
          <w:p w:rsidR="00720D2E" w:rsidRDefault="00720D2E" w:rsidP="00BD2F0B">
            <w:pPr>
              <w:autoSpaceDE w:val="0"/>
              <w:autoSpaceDN w:val="0"/>
              <w:adjustRightInd w:val="0"/>
              <w:ind w:right="-283"/>
              <w:jc w:val="center"/>
              <w:rPr>
                <w:b/>
                <w:sz w:val="21"/>
                <w:szCs w:val="21"/>
              </w:rPr>
            </w:pPr>
          </w:p>
        </w:tc>
        <w:tc>
          <w:tcPr>
            <w:tcW w:w="624" w:type="dxa"/>
            <w:vAlign w:val="center"/>
          </w:tcPr>
          <w:p w:rsidR="00720D2E" w:rsidRDefault="00720D2E" w:rsidP="00BD2F0B">
            <w:pPr>
              <w:autoSpaceDE w:val="0"/>
              <w:autoSpaceDN w:val="0"/>
              <w:adjustRightInd w:val="0"/>
              <w:rPr>
                <w:b/>
                <w:sz w:val="21"/>
                <w:szCs w:val="21"/>
              </w:rPr>
            </w:pPr>
            <w:r>
              <w:rPr>
                <w:b/>
                <w:sz w:val="21"/>
                <w:szCs w:val="21"/>
              </w:rPr>
              <w:t>1997</w:t>
            </w:r>
          </w:p>
        </w:tc>
        <w:tc>
          <w:tcPr>
            <w:tcW w:w="624" w:type="dxa"/>
            <w:vAlign w:val="center"/>
          </w:tcPr>
          <w:p w:rsidR="00720D2E" w:rsidRDefault="00720D2E" w:rsidP="00BD2F0B">
            <w:pPr>
              <w:autoSpaceDE w:val="0"/>
              <w:autoSpaceDN w:val="0"/>
              <w:adjustRightInd w:val="0"/>
              <w:rPr>
                <w:b/>
                <w:sz w:val="21"/>
                <w:szCs w:val="21"/>
              </w:rPr>
            </w:pPr>
            <w:r>
              <w:rPr>
                <w:b/>
                <w:sz w:val="21"/>
                <w:szCs w:val="21"/>
              </w:rPr>
              <w:t>1998</w:t>
            </w:r>
          </w:p>
        </w:tc>
        <w:tc>
          <w:tcPr>
            <w:tcW w:w="624" w:type="dxa"/>
            <w:vAlign w:val="center"/>
          </w:tcPr>
          <w:p w:rsidR="00720D2E" w:rsidRDefault="00720D2E" w:rsidP="00BD2F0B">
            <w:pPr>
              <w:autoSpaceDE w:val="0"/>
              <w:autoSpaceDN w:val="0"/>
              <w:adjustRightInd w:val="0"/>
              <w:rPr>
                <w:b/>
                <w:sz w:val="21"/>
                <w:szCs w:val="21"/>
              </w:rPr>
            </w:pPr>
            <w:r>
              <w:rPr>
                <w:b/>
                <w:sz w:val="21"/>
                <w:szCs w:val="21"/>
              </w:rPr>
              <w:t>1999</w:t>
            </w:r>
          </w:p>
        </w:tc>
        <w:tc>
          <w:tcPr>
            <w:tcW w:w="624" w:type="dxa"/>
            <w:vAlign w:val="center"/>
          </w:tcPr>
          <w:p w:rsidR="00720D2E" w:rsidRDefault="00720D2E" w:rsidP="00BD2F0B">
            <w:pPr>
              <w:autoSpaceDE w:val="0"/>
              <w:autoSpaceDN w:val="0"/>
              <w:adjustRightInd w:val="0"/>
              <w:rPr>
                <w:b/>
                <w:sz w:val="21"/>
                <w:szCs w:val="21"/>
              </w:rPr>
            </w:pPr>
            <w:r>
              <w:rPr>
                <w:b/>
                <w:sz w:val="21"/>
                <w:szCs w:val="21"/>
              </w:rPr>
              <w:t>2000</w:t>
            </w:r>
          </w:p>
        </w:tc>
        <w:tc>
          <w:tcPr>
            <w:tcW w:w="624" w:type="dxa"/>
            <w:vAlign w:val="center"/>
          </w:tcPr>
          <w:p w:rsidR="00720D2E" w:rsidRDefault="00720D2E" w:rsidP="00BD2F0B">
            <w:pPr>
              <w:autoSpaceDE w:val="0"/>
              <w:autoSpaceDN w:val="0"/>
              <w:adjustRightInd w:val="0"/>
              <w:rPr>
                <w:b/>
                <w:sz w:val="21"/>
                <w:szCs w:val="21"/>
              </w:rPr>
            </w:pPr>
            <w:r>
              <w:rPr>
                <w:b/>
                <w:sz w:val="21"/>
                <w:szCs w:val="21"/>
              </w:rPr>
              <w:t>2001</w:t>
            </w:r>
          </w:p>
        </w:tc>
        <w:tc>
          <w:tcPr>
            <w:tcW w:w="624" w:type="dxa"/>
            <w:vAlign w:val="center"/>
          </w:tcPr>
          <w:p w:rsidR="00720D2E" w:rsidRDefault="00720D2E" w:rsidP="00BD2F0B">
            <w:pPr>
              <w:autoSpaceDE w:val="0"/>
              <w:autoSpaceDN w:val="0"/>
              <w:adjustRightInd w:val="0"/>
              <w:rPr>
                <w:b/>
                <w:sz w:val="21"/>
                <w:szCs w:val="21"/>
              </w:rPr>
            </w:pPr>
            <w:r>
              <w:rPr>
                <w:b/>
                <w:sz w:val="21"/>
                <w:szCs w:val="21"/>
              </w:rPr>
              <w:t>2002</w:t>
            </w:r>
          </w:p>
        </w:tc>
      </w:tr>
      <w:tr w:rsidR="00BD2F0B" w:rsidTr="00AA09A2">
        <w:tc>
          <w:tcPr>
            <w:tcW w:w="3685" w:type="dxa"/>
            <w:vAlign w:val="center"/>
          </w:tcPr>
          <w:p w:rsidR="00BD2F0B" w:rsidRDefault="00BD2F0B" w:rsidP="00BD2F0B">
            <w:pPr>
              <w:autoSpaceDE w:val="0"/>
              <w:autoSpaceDN w:val="0"/>
              <w:adjustRightInd w:val="0"/>
              <w:ind w:right="-283"/>
              <w:rPr>
                <w:b/>
                <w:sz w:val="21"/>
                <w:szCs w:val="21"/>
              </w:rPr>
            </w:pPr>
            <w:r w:rsidRPr="00720D2E">
              <w:rPr>
                <w:b/>
                <w:sz w:val="21"/>
                <w:szCs w:val="21"/>
              </w:rPr>
              <w:t>Objectif de dépenses</w:t>
            </w:r>
            <w:r>
              <w:rPr>
                <w:b/>
                <w:sz w:val="21"/>
                <w:szCs w:val="21"/>
              </w:rPr>
              <w:t xml:space="preserve"> </w:t>
            </w:r>
          </w:p>
          <w:p w:rsidR="00BD2F0B" w:rsidRDefault="00BD2F0B" w:rsidP="00BD2F0B">
            <w:pPr>
              <w:autoSpaceDE w:val="0"/>
              <w:autoSpaceDN w:val="0"/>
              <w:adjustRightInd w:val="0"/>
              <w:ind w:right="-283"/>
              <w:rPr>
                <w:b/>
                <w:sz w:val="21"/>
                <w:szCs w:val="21"/>
              </w:rPr>
            </w:pPr>
            <w:r>
              <w:rPr>
                <w:b/>
                <w:sz w:val="21"/>
                <w:szCs w:val="21"/>
              </w:rPr>
              <w:t>(en milliard d’euros)</w:t>
            </w:r>
          </w:p>
        </w:tc>
        <w:tc>
          <w:tcPr>
            <w:tcW w:w="624" w:type="dxa"/>
            <w:vAlign w:val="bottom"/>
          </w:tcPr>
          <w:p w:rsidR="00BD2F0B" w:rsidRDefault="00BD2F0B" w:rsidP="00BD2F0B">
            <w:pPr>
              <w:jc w:val="right"/>
              <w:rPr>
                <w:rFonts w:ascii="Calibri" w:hAnsi="Calibri"/>
                <w:color w:val="000000"/>
                <w:sz w:val="22"/>
                <w:szCs w:val="22"/>
              </w:rPr>
            </w:pPr>
            <w:r>
              <w:rPr>
                <w:rFonts w:ascii="Calibri" w:hAnsi="Calibri"/>
                <w:color w:val="000000"/>
                <w:sz w:val="22"/>
                <w:szCs w:val="22"/>
              </w:rPr>
              <w:t>91,5</w:t>
            </w:r>
          </w:p>
        </w:tc>
        <w:tc>
          <w:tcPr>
            <w:tcW w:w="624" w:type="dxa"/>
            <w:vAlign w:val="bottom"/>
          </w:tcPr>
          <w:p w:rsidR="00BD2F0B" w:rsidRDefault="00BD2F0B" w:rsidP="00BD2F0B">
            <w:pPr>
              <w:jc w:val="right"/>
              <w:rPr>
                <w:rFonts w:ascii="Calibri" w:hAnsi="Calibri"/>
                <w:color w:val="000000"/>
                <w:sz w:val="22"/>
                <w:szCs w:val="22"/>
              </w:rPr>
            </w:pPr>
            <w:r>
              <w:rPr>
                <w:rFonts w:ascii="Calibri" w:hAnsi="Calibri"/>
                <w:color w:val="000000"/>
                <w:sz w:val="22"/>
                <w:szCs w:val="22"/>
              </w:rPr>
              <w:t>93,6</w:t>
            </w:r>
          </w:p>
        </w:tc>
        <w:tc>
          <w:tcPr>
            <w:tcW w:w="624" w:type="dxa"/>
            <w:vAlign w:val="bottom"/>
          </w:tcPr>
          <w:p w:rsidR="00BD2F0B" w:rsidRDefault="00BD2F0B" w:rsidP="00BD2F0B">
            <w:pPr>
              <w:jc w:val="right"/>
              <w:rPr>
                <w:rFonts w:ascii="Calibri" w:hAnsi="Calibri"/>
                <w:color w:val="000000"/>
                <w:sz w:val="22"/>
                <w:szCs w:val="22"/>
              </w:rPr>
            </w:pPr>
            <w:r>
              <w:rPr>
                <w:rFonts w:ascii="Calibri" w:hAnsi="Calibri"/>
                <w:color w:val="000000"/>
                <w:sz w:val="22"/>
                <w:szCs w:val="22"/>
              </w:rPr>
              <w:t>96</w:t>
            </w:r>
          </w:p>
        </w:tc>
        <w:tc>
          <w:tcPr>
            <w:tcW w:w="624" w:type="dxa"/>
            <w:vAlign w:val="bottom"/>
          </w:tcPr>
          <w:p w:rsidR="00BD2F0B" w:rsidRDefault="00BD2F0B" w:rsidP="00BD2F0B">
            <w:pPr>
              <w:jc w:val="right"/>
              <w:rPr>
                <w:rFonts w:ascii="Calibri" w:hAnsi="Calibri"/>
                <w:color w:val="000000"/>
                <w:sz w:val="22"/>
                <w:szCs w:val="22"/>
              </w:rPr>
            </w:pPr>
            <w:r>
              <w:rPr>
                <w:rFonts w:ascii="Calibri" w:hAnsi="Calibri"/>
                <w:color w:val="000000"/>
                <w:sz w:val="22"/>
                <w:szCs w:val="22"/>
              </w:rPr>
              <w:t>98,4</w:t>
            </w:r>
          </w:p>
        </w:tc>
        <w:tc>
          <w:tcPr>
            <w:tcW w:w="624" w:type="dxa"/>
            <w:vAlign w:val="bottom"/>
          </w:tcPr>
          <w:p w:rsidR="00BD2F0B" w:rsidRDefault="00BD2F0B" w:rsidP="00BD2F0B">
            <w:pPr>
              <w:jc w:val="right"/>
              <w:rPr>
                <w:rFonts w:ascii="Calibri" w:hAnsi="Calibri"/>
                <w:color w:val="000000"/>
                <w:sz w:val="22"/>
                <w:szCs w:val="22"/>
              </w:rPr>
            </w:pPr>
            <w:r>
              <w:rPr>
                <w:rFonts w:ascii="Calibri" w:hAnsi="Calibri"/>
                <w:color w:val="000000"/>
                <w:sz w:val="22"/>
                <w:szCs w:val="22"/>
              </w:rPr>
              <w:t>101,9</w:t>
            </w:r>
          </w:p>
        </w:tc>
        <w:tc>
          <w:tcPr>
            <w:tcW w:w="624" w:type="dxa"/>
            <w:vAlign w:val="bottom"/>
          </w:tcPr>
          <w:p w:rsidR="00BD2F0B" w:rsidRDefault="00BD2F0B" w:rsidP="00BD2F0B">
            <w:pPr>
              <w:jc w:val="right"/>
              <w:rPr>
                <w:rFonts w:ascii="Calibri" w:hAnsi="Calibri"/>
                <w:color w:val="000000"/>
                <w:sz w:val="22"/>
                <w:szCs w:val="22"/>
              </w:rPr>
            </w:pPr>
            <w:r>
              <w:rPr>
                <w:rFonts w:ascii="Calibri" w:hAnsi="Calibri"/>
                <w:color w:val="000000"/>
                <w:sz w:val="22"/>
                <w:szCs w:val="22"/>
              </w:rPr>
              <w:t>105,8</w:t>
            </w:r>
          </w:p>
        </w:tc>
      </w:tr>
      <w:tr w:rsidR="00BD2F0B" w:rsidTr="00AA09A2">
        <w:tc>
          <w:tcPr>
            <w:tcW w:w="3685" w:type="dxa"/>
            <w:vAlign w:val="center"/>
          </w:tcPr>
          <w:p w:rsidR="00BD2F0B" w:rsidRDefault="00BD2F0B" w:rsidP="00BD2F0B">
            <w:pPr>
              <w:autoSpaceDE w:val="0"/>
              <w:autoSpaceDN w:val="0"/>
              <w:adjustRightInd w:val="0"/>
              <w:ind w:right="-283"/>
              <w:rPr>
                <w:b/>
                <w:sz w:val="21"/>
                <w:szCs w:val="21"/>
              </w:rPr>
            </w:pPr>
            <w:r w:rsidRPr="00720D2E">
              <w:rPr>
                <w:b/>
                <w:sz w:val="21"/>
                <w:szCs w:val="21"/>
              </w:rPr>
              <w:t>Evolution par rapport à 1' année</w:t>
            </w:r>
            <w:r>
              <w:rPr>
                <w:b/>
                <w:sz w:val="21"/>
                <w:szCs w:val="21"/>
              </w:rPr>
              <w:t xml:space="preserve"> précédente (en%)</w:t>
            </w:r>
          </w:p>
        </w:tc>
        <w:tc>
          <w:tcPr>
            <w:tcW w:w="624" w:type="dxa"/>
            <w:vAlign w:val="bottom"/>
          </w:tcPr>
          <w:p w:rsidR="00BD2F0B" w:rsidRDefault="00BD2F0B" w:rsidP="00BD2F0B">
            <w:pPr>
              <w:jc w:val="right"/>
              <w:rPr>
                <w:rFonts w:ascii="Calibri" w:hAnsi="Calibri"/>
                <w:color w:val="000000"/>
                <w:sz w:val="22"/>
                <w:szCs w:val="22"/>
              </w:rPr>
            </w:pPr>
            <w:r>
              <w:rPr>
                <w:rFonts w:ascii="Calibri" w:hAnsi="Calibri"/>
                <w:color w:val="000000"/>
                <w:sz w:val="22"/>
                <w:szCs w:val="22"/>
              </w:rPr>
              <w:t>1,7</w:t>
            </w:r>
          </w:p>
        </w:tc>
        <w:tc>
          <w:tcPr>
            <w:tcW w:w="624" w:type="dxa"/>
            <w:vAlign w:val="bottom"/>
          </w:tcPr>
          <w:p w:rsidR="00BD2F0B" w:rsidRDefault="00BD2F0B" w:rsidP="00BD2F0B">
            <w:pPr>
              <w:jc w:val="right"/>
              <w:rPr>
                <w:rFonts w:ascii="Calibri" w:hAnsi="Calibri"/>
                <w:color w:val="000000"/>
                <w:sz w:val="22"/>
                <w:szCs w:val="22"/>
              </w:rPr>
            </w:pPr>
            <w:r>
              <w:rPr>
                <w:rFonts w:ascii="Calibri" w:hAnsi="Calibri"/>
                <w:color w:val="000000"/>
                <w:sz w:val="22"/>
                <w:szCs w:val="22"/>
              </w:rPr>
              <w:t>2,3</w:t>
            </w:r>
          </w:p>
        </w:tc>
        <w:tc>
          <w:tcPr>
            <w:tcW w:w="624" w:type="dxa"/>
            <w:vAlign w:val="bottom"/>
          </w:tcPr>
          <w:p w:rsidR="00BD2F0B" w:rsidRDefault="00BD2F0B" w:rsidP="00BD2F0B">
            <w:pPr>
              <w:jc w:val="right"/>
              <w:rPr>
                <w:rFonts w:ascii="Calibri" w:hAnsi="Calibri"/>
                <w:color w:val="000000"/>
                <w:sz w:val="22"/>
                <w:szCs w:val="22"/>
              </w:rPr>
            </w:pPr>
            <w:r>
              <w:rPr>
                <w:rFonts w:ascii="Calibri" w:hAnsi="Calibri"/>
                <w:color w:val="000000"/>
                <w:sz w:val="22"/>
                <w:szCs w:val="22"/>
              </w:rPr>
              <w:t>2,6</w:t>
            </w:r>
          </w:p>
        </w:tc>
        <w:tc>
          <w:tcPr>
            <w:tcW w:w="624" w:type="dxa"/>
            <w:vAlign w:val="bottom"/>
          </w:tcPr>
          <w:p w:rsidR="00BD2F0B" w:rsidRDefault="00BD2F0B" w:rsidP="00BD2F0B">
            <w:pPr>
              <w:jc w:val="right"/>
              <w:rPr>
                <w:rFonts w:ascii="Calibri" w:hAnsi="Calibri"/>
                <w:color w:val="000000"/>
                <w:sz w:val="22"/>
                <w:szCs w:val="22"/>
              </w:rPr>
            </w:pPr>
            <w:r>
              <w:rPr>
                <w:rFonts w:ascii="Calibri" w:hAnsi="Calibri"/>
                <w:color w:val="000000"/>
                <w:sz w:val="22"/>
                <w:szCs w:val="22"/>
              </w:rPr>
              <w:t>2,5</w:t>
            </w:r>
          </w:p>
        </w:tc>
        <w:tc>
          <w:tcPr>
            <w:tcW w:w="624" w:type="dxa"/>
            <w:vAlign w:val="bottom"/>
          </w:tcPr>
          <w:p w:rsidR="00BD2F0B" w:rsidRDefault="00BD2F0B" w:rsidP="00BD2F0B">
            <w:pPr>
              <w:jc w:val="right"/>
              <w:rPr>
                <w:rFonts w:ascii="Calibri" w:hAnsi="Calibri"/>
                <w:color w:val="000000"/>
                <w:sz w:val="22"/>
                <w:szCs w:val="22"/>
              </w:rPr>
            </w:pPr>
            <w:r>
              <w:rPr>
                <w:rFonts w:ascii="Calibri" w:hAnsi="Calibri"/>
                <w:color w:val="000000"/>
                <w:sz w:val="22"/>
                <w:szCs w:val="22"/>
              </w:rPr>
              <w:t>3,5</w:t>
            </w:r>
          </w:p>
        </w:tc>
        <w:tc>
          <w:tcPr>
            <w:tcW w:w="624" w:type="dxa"/>
            <w:vAlign w:val="bottom"/>
          </w:tcPr>
          <w:p w:rsidR="00BD2F0B" w:rsidRDefault="00BD2F0B" w:rsidP="00BD2F0B">
            <w:pPr>
              <w:jc w:val="right"/>
              <w:rPr>
                <w:rFonts w:ascii="Calibri" w:hAnsi="Calibri"/>
                <w:color w:val="000000"/>
                <w:sz w:val="22"/>
                <w:szCs w:val="22"/>
              </w:rPr>
            </w:pPr>
            <w:r>
              <w:rPr>
                <w:rFonts w:ascii="Calibri" w:hAnsi="Calibri"/>
                <w:color w:val="000000"/>
                <w:sz w:val="22"/>
                <w:szCs w:val="22"/>
              </w:rPr>
              <w:t>3,8</w:t>
            </w:r>
          </w:p>
        </w:tc>
      </w:tr>
      <w:tr w:rsidR="00BD2F0B" w:rsidTr="00AA09A2">
        <w:tc>
          <w:tcPr>
            <w:tcW w:w="3685" w:type="dxa"/>
            <w:vAlign w:val="center"/>
          </w:tcPr>
          <w:p w:rsidR="00BD2F0B" w:rsidRDefault="00BD2F0B" w:rsidP="00BD2F0B">
            <w:pPr>
              <w:autoSpaceDE w:val="0"/>
              <w:autoSpaceDN w:val="0"/>
              <w:adjustRightInd w:val="0"/>
              <w:ind w:right="-283"/>
              <w:rPr>
                <w:b/>
                <w:sz w:val="21"/>
                <w:szCs w:val="21"/>
              </w:rPr>
            </w:pPr>
            <w:r w:rsidRPr="00720D2E">
              <w:rPr>
                <w:b/>
                <w:sz w:val="21"/>
                <w:szCs w:val="21"/>
              </w:rPr>
              <w:t>Dépenses réelles de santé</w:t>
            </w:r>
          </w:p>
          <w:p w:rsidR="00BD2F0B" w:rsidRDefault="00BD2F0B" w:rsidP="00BD2F0B">
            <w:pPr>
              <w:autoSpaceDE w:val="0"/>
              <w:autoSpaceDN w:val="0"/>
              <w:adjustRightInd w:val="0"/>
              <w:ind w:right="-283"/>
              <w:rPr>
                <w:b/>
                <w:sz w:val="21"/>
                <w:szCs w:val="21"/>
              </w:rPr>
            </w:pPr>
            <w:r>
              <w:rPr>
                <w:b/>
                <w:sz w:val="21"/>
                <w:szCs w:val="21"/>
              </w:rPr>
              <w:t>(en milliard d’euros)</w:t>
            </w:r>
          </w:p>
        </w:tc>
        <w:tc>
          <w:tcPr>
            <w:tcW w:w="624" w:type="dxa"/>
            <w:vAlign w:val="bottom"/>
          </w:tcPr>
          <w:p w:rsidR="00BD2F0B" w:rsidRDefault="00BD2F0B" w:rsidP="00BD2F0B">
            <w:pPr>
              <w:jc w:val="right"/>
              <w:rPr>
                <w:rFonts w:ascii="Calibri" w:hAnsi="Calibri"/>
                <w:color w:val="000000"/>
                <w:sz w:val="22"/>
                <w:szCs w:val="22"/>
              </w:rPr>
            </w:pPr>
            <w:r>
              <w:rPr>
                <w:rFonts w:ascii="Calibri" w:hAnsi="Calibri"/>
                <w:color w:val="000000"/>
                <w:sz w:val="22"/>
                <w:szCs w:val="22"/>
              </w:rPr>
              <w:t>91,4</w:t>
            </w:r>
          </w:p>
        </w:tc>
        <w:tc>
          <w:tcPr>
            <w:tcW w:w="624" w:type="dxa"/>
            <w:vAlign w:val="bottom"/>
          </w:tcPr>
          <w:p w:rsidR="00BD2F0B" w:rsidRDefault="00BD2F0B" w:rsidP="00BD2F0B">
            <w:pPr>
              <w:jc w:val="right"/>
              <w:rPr>
                <w:rFonts w:ascii="Calibri" w:hAnsi="Calibri"/>
                <w:color w:val="000000"/>
                <w:sz w:val="22"/>
                <w:szCs w:val="22"/>
              </w:rPr>
            </w:pPr>
            <w:r>
              <w:rPr>
                <w:rFonts w:ascii="Calibri" w:hAnsi="Calibri"/>
                <w:color w:val="000000"/>
                <w:sz w:val="22"/>
                <w:szCs w:val="22"/>
              </w:rPr>
              <w:t>95,1</w:t>
            </w:r>
          </w:p>
        </w:tc>
        <w:tc>
          <w:tcPr>
            <w:tcW w:w="624" w:type="dxa"/>
            <w:vAlign w:val="bottom"/>
          </w:tcPr>
          <w:p w:rsidR="00BD2F0B" w:rsidRDefault="00BD2F0B" w:rsidP="00BD2F0B">
            <w:pPr>
              <w:jc w:val="right"/>
              <w:rPr>
                <w:rFonts w:ascii="Calibri" w:hAnsi="Calibri"/>
                <w:color w:val="000000"/>
                <w:sz w:val="22"/>
                <w:szCs w:val="22"/>
              </w:rPr>
            </w:pPr>
            <w:r>
              <w:rPr>
                <w:rFonts w:ascii="Calibri" w:hAnsi="Calibri"/>
                <w:color w:val="000000"/>
                <w:sz w:val="22"/>
                <w:szCs w:val="22"/>
              </w:rPr>
              <w:t>97,6</w:t>
            </w:r>
          </w:p>
        </w:tc>
        <w:tc>
          <w:tcPr>
            <w:tcW w:w="624" w:type="dxa"/>
            <w:vAlign w:val="bottom"/>
          </w:tcPr>
          <w:p w:rsidR="00BD2F0B" w:rsidRDefault="00BD2F0B" w:rsidP="00BD2F0B">
            <w:pPr>
              <w:jc w:val="right"/>
              <w:rPr>
                <w:rFonts w:ascii="Calibri" w:hAnsi="Calibri"/>
                <w:color w:val="000000"/>
                <w:sz w:val="22"/>
                <w:szCs w:val="22"/>
              </w:rPr>
            </w:pPr>
            <w:r>
              <w:rPr>
                <w:rFonts w:ascii="Calibri" w:hAnsi="Calibri"/>
                <w:color w:val="000000"/>
                <w:sz w:val="22"/>
                <w:szCs w:val="22"/>
              </w:rPr>
              <w:t>103</w:t>
            </w:r>
          </w:p>
        </w:tc>
        <w:tc>
          <w:tcPr>
            <w:tcW w:w="624" w:type="dxa"/>
            <w:vAlign w:val="bottom"/>
          </w:tcPr>
          <w:p w:rsidR="00BD2F0B" w:rsidRDefault="00BD2F0B" w:rsidP="00BD2F0B">
            <w:pPr>
              <w:jc w:val="right"/>
              <w:rPr>
                <w:rFonts w:ascii="Calibri" w:hAnsi="Calibri"/>
                <w:color w:val="000000"/>
                <w:sz w:val="22"/>
                <w:szCs w:val="22"/>
              </w:rPr>
            </w:pPr>
            <w:r>
              <w:rPr>
                <w:rFonts w:ascii="Calibri" w:hAnsi="Calibri"/>
                <w:color w:val="000000"/>
                <w:sz w:val="22"/>
                <w:szCs w:val="22"/>
              </w:rPr>
              <w:t>108,8</w:t>
            </w:r>
          </w:p>
        </w:tc>
        <w:tc>
          <w:tcPr>
            <w:tcW w:w="624" w:type="dxa"/>
            <w:vAlign w:val="bottom"/>
          </w:tcPr>
          <w:p w:rsidR="00BD2F0B" w:rsidRDefault="00BD2F0B" w:rsidP="00BD2F0B">
            <w:pPr>
              <w:jc w:val="right"/>
              <w:rPr>
                <w:rFonts w:ascii="Calibri" w:hAnsi="Calibri"/>
                <w:color w:val="000000"/>
                <w:sz w:val="22"/>
                <w:szCs w:val="22"/>
              </w:rPr>
            </w:pPr>
            <w:r>
              <w:rPr>
                <w:rFonts w:ascii="Calibri" w:hAnsi="Calibri"/>
                <w:color w:val="000000"/>
                <w:sz w:val="22"/>
                <w:szCs w:val="22"/>
              </w:rPr>
              <w:t>116,7</w:t>
            </w:r>
          </w:p>
        </w:tc>
      </w:tr>
    </w:tbl>
    <w:p w:rsidR="00BD2F0B" w:rsidRDefault="00BD2F0B" w:rsidP="00BD2F0B">
      <w:pPr>
        <w:autoSpaceDE w:val="0"/>
        <w:autoSpaceDN w:val="0"/>
        <w:adjustRightInd w:val="0"/>
        <w:spacing w:before="240" w:after="240"/>
        <w:ind w:right="-283"/>
        <w:jc w:val="center"/>
        <w:rPr>
          <w:b/>
          <w:sz w:val="21"/>
          <w:szCs w:val="21"/>
        </w:rPr>
      </w:pPr>
      <w:r>
        <w:rPr>
          <w:b/>
          <w:sz w:val="21"/>
          <w:szCs w:val="21"/>
        </w:rPr>
        <w:t>Taux de croissance année par année des dépenses réelles de santé de 1998 à 2002</w:t>
      </w:r>
    </w:p>
    <w:tbl>
      <w:tblPr>
        <w:tblStyle w:val="Grilledutableau"/>
        <w:tblW w:w="9355" w:type="dxa"/>
        <w:jc w:val="center"/>
        <w:tblLook w:val="04A0" w:firstRow="1" w:lastRow="0" w:firstColumn="1" w:lastColumn="0" w:noHBand="0" w:noVBand="1"/>
      </w:tblPr>
      <w:tblGrid>
        <w:gridCol w:w="1871"/>
        <w:gridCol w:w="1871"/>
        <w:gridCol w:w="1871"/>
        <w:gridCol w:w="1871"/>
        <w:gridCol w:w="1871"/>
      </w:tblGrid>
      <w:tr w:rsidR="00BD2F0B" w:rsidTr="00BD2F0B">
        <w:trPr>
          <w:trHeight w:val="242"/>
          <w:jc w:val="center"/>
        </w:trPr>
        <w:tc>
          <w:tcPr>
            <w:tcW w:w="1871" w:type="dxa"/>
            <w:vAlign w:val="center"/>
          </w:tcPr>
          <w:p w:rsidR="00BD2F0B" w:rsidRDefault="00BD2F0B" w:rsidP="00BD2F0B">
            <w:pPr>
              <w:autoSpaceDE w:val="0"/>
              <w:autoSpaceDN w:val="0"/>
              <w:adjustRightInd w:val="0"/>
              <w:jc w:val="center"/>
              <w:rPr>
                <w:b/>
                <w:sz w:val="21"/>
                <w:szCs w:val="21"/>
              </w:rPr>
            </w:pPr>
            <w:r>
              <w:rPr>
                <w:b/>
                <w:sz w:val="21"/>
                <w:szCs w:val="21"/>
              </w:rPr>
              <w:t>1998</w:t>
            </w:r>
          </w:p>
        </w:tc>
        <w:tc>
          <w:tcPr>
            <w:tcW w:w="1871" w:type="dxa"/>
            <w:vAlign w:val="center"/>
          </w:tcPr>
          <w:p w:rsidR="00BD2F0B" w:rsidRDefault="00BD2F0B" w:rsidP="00BD2F0B">
            <w:pPr>
              <w:autoSpaceDE w:val="0"/>
              <w:autoSpaceDN w:val="0"/>
              <w:adjustRightInd w:val="0"/>
              <w:jc w:val="center"/>
              <w:rPr>
                <w:b/>
                <w:sz w:val="21"/>
                <w:szCs w:val="21"/>
              </w:rPr>
            </w:pPr>
            <w:r>
              <w:rPr>
                <w:b/>
                <w:sz w:val="21"/>
                <w:szCs w:val="21"/>
              </w:rPr>
              <w:t>1999</w:t>
            </w:r>
          </w:p>
        </w:tc>
        <w:tc>
          <w:tcPr>
            <w:tcW w:w="1871" w:type="dxa"/>
            <w:vAlign w:val="center"/>
          </w:tcPr>
          <w:p w:rsidR="00BD2F0B" w:rsidRDefault="00BD2F0B" w:rsidP="00BD2F0B">
            <w:pPr>
              <w:autoSpaceDE w:val="0"/>
              <w:autoSpaceDN w:val="0"/>
              <w:adjustRightInd w:val="0"/>
              <w:jc w:val="center"/>
              <w:rPr>
                <w:b/>
                <w:sz w:val="21"/>
                <w:szCs w:val="21"/>
              </w:rPr>
            </w:pPr>
            <w:r>
              <w:rPr>
                <w:b/>
                <w:sz w:val="21"/>
                <w:szCs w:val="21"/>
              </w:rPr>
              <w:t>2000</w:t>
            </w:r>
          </w:p>
        </w:tc>
        <w:tc>
          <w:tcPr>
            <w:tcW w:w="1871" w:type="dxa"/>
            <w:vAlign w:val="center"/>
          </w:tcPr>
          <w:p w:rsidR="00BD2F0B" w:rsidRDefault="00BD2F0B" w:rsidP="00BD2F0B">
            <w:pPr>
              <w:autoSpaceDE w:val="0"/>
              <w:autoSpaceDN w:val="0"/>
              <w:adjustRightInd w:val="0"/>
              <w:jc w:val="center"/>
              <w:rPr>
                <w:b/>
                <w:sz w:val="21"/>
                <w:szCs w:val="21"/>
              </w:rPr>
            </w:pPr>
            <w:r>
              <w:rPr>
                <w:b/>
                <w:sz w:val="21"/>
                <w:szCs w:val="21"/>
              </w:rPr>
              <w:t>2001</w:t>
            </w:r>
          </w:p>
        </w:tc>
        <w:tc>
          <w:tcPr>
            <w:tcW w:w="1871" w:type="dxa"/>
            <w:vAlign w:val="center"/>
          </w:tcPr>
          <w:p w:rsidR="00BD2F0B" w:rsidRDefault="00BD2F0B" w:rsidP="00BD2F0B">
            <w:pPr>
              <w:autoSpaceDE w:val="0"/>
              <w:autoSpaceDN w:val="0"/>
              <w:adjustRightInd w:val="0"/>
              <w:jc w:val="center"/>
              <w:rPr>
                <w:b/>
                <w:sz w:val="21"/>
                <w:szCs w:val="21"/>
              </w:rPr>
            </w:pPr>
            <w:r>
              <w:rPr>
                <w:b/>
                <w:sz w:val="21"/>
                <w:szCs w:val="21"/>
              </w:rPr>
              <w:t>2002</w:t>
            </w:r>
          </w:p>
        </w:tc>
      </w:tr>
      <w:tr w:rsidR="00BD2F0B" w:rsidTr="00BD2F0B">
        <w:trPr>
          <w:jc w:val="center"/>
        </w:trPr>
        <w:tc>
          <w:tcPr>
            <w:tcW w:w="1871" w:type="dxa"/>
            <w:vAlign w:val="center"/>
          </w:tcPr>
          <w:p w:rsidR="00BD2F0B" w:rsidRDefault="00BD2F0B" w:rsidP="00BD2F0B">
            <w:pPr>
              <w:jc w:val="center"/>
              <w:rPr>
                <w:rFonts w:ascii="Calibri" w:hAnsi="Calibri"/>
                <w:color w:val="000000"/>
                <w:sz w:val="22"/>
                <w:szCs w:val="22"/>
              </w:rPr>
            </w:pPr>
            <w:r>
              <w:rPr>
                <w:rFonts w:ascii="Calibri" w:hAnsi="Calibri"/>
                <w:color w:val="000000"/>
                <w:sz w:val="22"/>
                <w:szCs w:val="22"/>
              </w:rPr>
              <w:t>4,0</w:t>
            </w:r>
          </w:p>
        </w:tc>
        <w:tc>
          <w:tcPr>
            <w:tcW w:w="1871" w:type="dxa"/>
            <w:vAlign w:val="center"/>
          </w:tcPr>
          <w:p w:rsidR="00BD2F0B" w:rsidRDefault="00BD2F0B" w:rsidP="00BD2F0B">
            <w:pPr>
              <w:jc w:val="center"/>
              <w:rPr>
                <w:rFonts w:ascii="Calibri" w:hAnsi="Calibri"/>
                <w:color w:val="000000"/>
                <w:sz w:val="22"/>
                <w:szCs w:val="22"/>
              </w:rPr>
            </w:pPr>
            <w:r>
              <w:rPr>
                <w:rFonts w:ascii="Calibri" w:hAnsi="Calibri"/>
                <w:color w:val="000000"/>
                <w:sz w:val="22"/>
                <w:szCs w:val="22"/>
              </w:rPr>
              <w:t>2,6</w:t>
            </w:r>
          </w:p>
        </w:tc>
        <w:tc>
          <w:tcPr>
            <w:tcW w:w="1871" w:type="dxa"/>
            <w:vAlign w:val="center"/>
          </w:tcPr>
          <w:p w:rsidR="00BD2F0B" w:rsidRDefault="00BD2F0B" w:rsidP="00BD2F0B">
            <w:pPr>
              <w:jc w:val="center"/>
              <w:rPr>
                <w:rFonts w:ascii="Calibri" w:hAnsi="Calibri"/>
                <w:color w:val="000000"/>
                <w:sz w:val="22"/>
                <w:szCs w:val="22"/>
              </w:rPr>
            </w:pPr>
            <w:r>
              <w:rPr>
                <w:rFonts w:ascii="Calibri" w:hAnsi="Calibri"/>
                <w:color w:val="000000"/>
                <w:sz w:val="22"/>
                <w:szCs w:val="22"/>
              </w:rPr>
              <w:t>5,5</w:t>
            </w:r>
          </w:p>
        </w:tc>
        <w:tc>
          <w:tcPr>
            <w:tcW w:w="1871" w:type="dxa"/>
            <w:vAlign w:val="center"/>
          </w:tcPr>
          <w:p w:rsidR="00BD2F0B" w:rsidRDefault="00BD2F0B" w:rsidP="00BD2F0B">
            <w:pPr>
              <w:jc w:val="center"/>
              <w:rPr>
                <w:rFonts w:ascii="Calibri" w:hAnsi="Calibri"/>
                <w:color w:val="000000"/>
                <w:sz w:val="22"/>
                <w:szCs w:val="22"/>
              </w:rPr>
            </w:pPr>
            <w:r>
              <w:rPr>
                <w:rFonts w:ascii="Calibri" w:hAnsi="Calibri"/>
                <w:color w:val="000000"/>
                <w:sz w:val="22"/>
                <w:szCs w:val="22"/>
              </w:rPr>
              <w:t>5,6</w:t>
            </w:r>
          </w:p>
        </w:tc>
        <w:tc>
          <w:tcPr>
            <w:tcW w:w="1871" w:type="dxa"/>
            <w:vAlign w:val="center"/>
          </w:tcPr>
          <w:p w:rsidR="00BD2F0B" w:rsidRDefault="00BD2F0B" w:rsidP="00BD2F0B">
            <w:pPr>
              <w:jc w:val="center"/>
              <w:rPr>
                <w:rFonts w:ascii="Calibri" w:hAnsi="Calibri"/>
                <w:color w:val="000000"/>
                <w:sz w:val="22"/>
                <w:szCs w:val="22"/>
              </w:rPr>
            </w:pPr>
            <w:r>
              <w:rPr>
                <w:rFonts w:ascii="Calibri" w:hAnsi="Calibri"/>
                <w:color w:val="000000"/>
                <w:sz w:val="22"/>
                <w:szCs w:val="22"/>
              </w:rPr>
              <w:t>7,2</w:t>
            </w:r>
          </w:p>
        </w:tc>
      </w:tr>
    </w:tbl>
    <w:p w:rsidR="00BD2F0B" w:rsidRDefault="00BD2F0B" w:rsidP="000A3CA1">
      <w:pPr>
        <w:autoSpaceDE w:val="0"/>
        <w:autoSpaceDN w:val="0"/>
        <w:adjustRightInd w:val="0"/>
        <w:spacing w:before="240"/>
        <w:ind w:right="-283"/>
        <w:jc w:val="center"/>
        <w:rPr>
          <w:b/>
          <w:sz w:val="21"/>
          <w:szCs w:val="21"/>
        </w:rPr>
      </w:pPr>
      <w:r>
        <w:rPr>
          <w:b/>
          <w:sz w:val="21"/>
          <w:szCs w:val="21"/>
        </w:rPr>
        <w:t>Le niveau de déficit de l’assurance maladie</w:t>
      </w:r>
    </w:p>
    <w:p w:rsidR="00720D2E" w:rsidRPr="00BD2F0B" w:rsidRDefault="00BD2F0B" w:rsidP="00BD2F0B">
      <w:pPr>
        <w:autoSpaceDE w:val="0"/>
        <w:autoSpaceDN w:val="0"/>
        <w:adjustRightInd w:val="0"/>
        <w:spacing w:after="240"/>
        <w:ind w:right="-283"/>
        <w:jc w:val="center"/>
        <w:rPr>
          <w:b/>
          <w:sz w:val="21"/>
          <w:szCs w:val="21"/>
        </w:rPr>
      </w:pPr>
      <w:proofErr w:type="gramStart"/>
      <w:r>
        <w:rPr>
          <w:b/>
          <w:sz w:val="21"/>
          <w:szCs w:val="21"/>
        </w:rPr>
        <w:t>interdit</w:t>
      </w:r>
      <w:proofErr w:type="gramEnd"/>
      <w:r>
        <w:rPr>
          <w:b/>
          <w:sz w:val="21"/>
          <w:szCs w:val="21"/>
        </w:rPr>
        <w:t xml:space="preserve"> un retour spontané à l’équilibre</w:t>
      </w:r>
    </w:p>
    <w:p w:rsidR="00BD2F0B" w:rsidRPr="00BD2F0B" w:rsidRDefault="00BD2F0B" w:rsidP="00BD2F0B">
      <w:pPr>
        <w:autoSpaceDE w:val="0"/>
        <w:autoSpaceDN w:val="0"/>
        <w:adjustRightInd w:val="0"/>
        <w:spacing w:after="240"/>
        <w:rPr>
          <w:rFonts w:ascii="Arial" w:hAnsi="Arial" w:cs="Arial"/>
          <w:sz w:val="21"/>
          <w:szCs w:val="21"/>
        </w:rPr>
      </w:pPr>
      <w:r w:rsidRPr="00BD2F0B">
        <w:rPr>
          <w:rFonts w:ascii="Arial" w:hAnsi="Arial" w:cs="Arial"/>
          <w:sz w:val="21"/>
          <w:szCs w:val="21"/>
        </w:rPr>
        <w:t>Si la situation dégradée du régime général tient en partie à la mauvaise conjoncture, elle est aussi liée à des causes plus structurelles qu'un retour à une croissance meilleure ne fera pas disparaître ; de ce point de vue, les horizons des branches, et leurs perspectives de redressement à l'horizon des prochaines années, sont assez contrastés. [ ... ]</w:t>
      </w:r>
    </w:p>
    <w:p w:rsidR="00BD2F0B" w:rsidRPr="00BD2F0B" w:rsidRDefault="00BD2F0B" w:rsidP="00BD2F0B">
      <w:pPr>
        <w:autoSpaceDE w:val="0"/>
        <w:autoSpaceDN w:val="0"/>
        <w:adjustRightInd w:val="0"/>
        <w:spacing w:after="240"/>
        <w:rPr>
          <w:rFonts w:ascii="Arial" w:hAnsi="Arial" w:cs="Arial"/>
          <w:sz w:val="21"/>
          <w:szCs w:val="21"/>
        </w:rPr>
      </w:pPr>
      <w:r w:rsidRPr="00BD2F0B">
        <w:rPr>
          <w:rFonts w:ascii="Arial" w:hAnsi="Arial" w:cs="Arial"/>
          <w:sz w:val="21"/>
          <w:szCs w:val="21"/>
        </w:rPr>
        <w:t>Plusieurs facteurs contribuent simultanément à cette accélération des dépenses.</w:t>
      </w:r>
    </w:p>
    <w:p w:rsidR="00BD2F0B" w:rsidRPr="00BD2F0B" w:rsidRDefault="00BD2F0B" w:rsidP="00BD2F0B">
      <w:pPr>
        <w:autoSpaceDE w:val="0"/>
        <w:autoSpaceDN w:val="0"/>
        <w:adjustRightInd w:val="0"/>
        <w:rPr>
          <w:rFonts w:ascii="Arial" w:hAnsi="Arial" w:cs="Arial"/>
          <w:b/>
          <w:sz w:val="21"/>
          <w:szCs w:val="21"/>
        </w:rPr>
      </w:pPr>
      <w:r w:rsidRPr="00BD2F0B">
        <w:rPr>
          <w:rFonts w:ascii="Arial" w:hAnsi="Arial" w:cs="Arial"/>
          <w:b/>
          <w:sz w:val="21"/>
          <w:szCs w:val="21"/>
        </w:rPr>
        <w:t>La consommation de soins a connu une augmentation rapide depuis 1997.</w:t>
      </w:r>
    </w:p>
    <w:p w:rsidR="00BD2F0B" w:rsidRPr="00BD2F0B" w:rsidRDefault="00BD2F0B" w:rsidP="00BD2F0B">
      <w:pPr>
        <w:autoSpaceDE w:val="0"/>
        <w:autoSpaceDN w:val="0"/>
        <w:adjustRightInd w:val="0"/>
        <w:spacing w:after="240"/>
        <w:rPr>
          <w:rFonts w:ascii="Arial" w:hAnsi="Arial" w:cs="Arial"/>
          <w:sz w:val="21"/>
          <w:szCs w:val="21"/>
        </w:rPr>
      </w:pPr>
      <w:r w:rsidRPr="00BD2F0B">
        <w:rPr>
          <w:rFonts w:ascii="Arial" w:hAnsi="Arial" w:cs="Arial"/>
          <w:sz w:val="21"/>
          <w:szCs w:val="21"/>
        </w:rPr>
        <w:t>Cette forte croissance peut recevoir des explications structurelles : le vieillissement de la population qui se traduit par une hausse du nombre de personnes âgées dont la consommation médicale est élevée ; le progrès technique qui met à la disposition des patients des traitements plus efficaces mais aussi plus coûteux.</w:t>
      </w:r>
      <w:r>
        <w:rPr>
          <w:rFonts w:ascii="Arial" w:hAnsi="Arial" w:cs="Arial"/>
          <w:sz w:val="21"/>
          <w:szCs w:val="21"/>
        </w:rPr>
        <w:t xml:space="preserve"> </w:t>
      </w:r>
      <w:r w:rsidRPr="00BD2F0B">
        <w:rPr>
          <w:rFonts w:ascii="Arial" w:hAnsi="Arial" w:cs="Arial"/>
          <w:sz w:val="21"/>
          <w:szCs w:val="21"/>
        </w:rPr>
        <w:t xml:space="preserve">La croissance tendancielle est cependant favorisée par la grande liberté dont l'ensemble des acteurs disposent dans le système de soins. Les gains potentiels du système de soins en </w:t>
      </w:r>
      <w:proofErr w:type="gramStart"/>
      <w:r w:rsidRPr="00BD2F0B">
        <w:rPr>
          <w:rFonts w:ascii="Arial" w:hAnsi="Arial" w:cs="Arial"/>
          <w:sz w:val="21"/>
          <w:szCs w:val="21"/>
        </w:rPr>
        <w:t>terme</w:t>
      </w:r>
      <w:proofErr w:type="gramEnd"/>
      <w:r w:rsidRPr="00BD2F0B">
        <w:rPr>
          <w:rFonts w:ascii="Arial" w:hAnsi="Arial" w:cs="Arial"/>
          <w:sz w:val="21"/>
          <w:szCs w:val="21"/>
        </w:rPr>
        <w:t xml:space="preserve"> d'efficacité sont sans doute très importants. On peut ainsi simplement rappeler que la France est selon l'OCDE le premier consommateur de médicament par habitant, au-delà même des États-Unis, sans que le bénéfice en </w:t>
      </w:r>
      <w:proofErr w:type="gramStart"/>
      <w:r w:rsidRPr="00BD2F0B">
        <w:rPr>
          <w:rFonts w:ascii="Arial" w:hAnsi="Arial" w:cs="Arial"/>
          <w:sz w:val="21"/>
          <w:szCs w:val="21"/>
        </w:rPr>
        <w:t>terme</w:t>
      </w:r>
      <w:proofErr w:type="gramEnd"/>
      <w:r w:rsidRPr="00BD2F0B">
        <w:rPr>
          <w:rFonts w:ascii="Arial" w:hAnsi="Arial" w:cs="Arial"/>
          <w:sz w:val="21"/>
          <w:szCs w:val="21"/>
        </w:rPr>
        <w:t xml:space="preserve"> de santé soit démontré.</w:t>
      </w:r>
    </w:p>
    <w:p w:rsidR="00BD2F0B" w:rsidRPr="00BD2F0B" w:rsidRDefault="00BD2F0B" w:rsidP="00BD2F0B">
      <w:pPr>
        <w:autoSpaceDE w:val="0"/>
        <w:autoSpaceDN w:val="0"/>
        <w:adjustRightInd w:val="0"/>
        <w:rPr>
          <w:rFonts w:ascii="Arial" w:hAnsi="Arial" w:cs="Arial"/>
          <w:b/>
          <w:sz w:val="21"/>
          <w:szCs w:val="21"/>
        </w:rPr>
      </w:pPr>
      <w:r w:rsidRPr="00BD2F0B">
        <w:rPr>
          <w:rFonts w:ascii="Arial" w:hAnsi="Arial" w:cs="Arial"/>
          <w:b/>
          <w:sz w:val="21"/>
          <w:szCs w:val="21"/>
        </w:rPr>
        <w:t>Les années 2002-2003 supportent de surcroît l'impact de mesures financières exceptionnelles dont l'incidence est à peu près simultanée:</w:t>
      </w:r>
    </w:p>
    <w:p w:rsidR="00BD2F0B" w:rsidRPr="00BD2F0B" w:rsidRDefault="00BD2F0B" w:rsidP="00BD2F0B">
      <w:pPr>
        <w:autoSpaceDE w:val="0"/>
        <w:autoSpaceDN w:val="0"/>
        <w:adjustRightInd w:val="0"/>
        <w:rPr>
          <w:rFonts w:ascii="Arial" w:hAnsi="Arial" w:cs="Arial"/>
          <w:sz w:val="21"/>
          <w:szCs w:val="21"/>
        </w:rPr>
      </w:pPr>
      <w:r w:rsidRPr="00BD2F0B">
        <w:rPr>
          <w:rFonts w:ascii="Arial" w:hAnsi="Arial" w:cs="Arial"/>
          <w:sz w:val="21"/>
          <w:szCs w:val="21"/>
        </w:rPr>
        <w:t>- les créations d'emploi dans la fonction publique hospitalière liées aux programmes de santé publique et à la mise en place de la réduction du temps de travail, s'ajoutant à des revalorisations salariales importantes négociées à partir de l'année 2000 dans le secteur public et à partir de l'année 2002 dans les cliniques;</w:t>
      </w:r>
    </w:p>
    <w:p w:rsidR="00BD2F0B" w:rsidRPr="00BD2F0B" w:rsidRDefault="00BD2F0B" w:rsidP="000A3CA1">
      <w:pPr>
        <w:autoSpaceDE w:val="0"/>
        <w:autoSpaceDN w:val="0"/>
        <w:adjustRightInd w:val="0"/>
        <w:spacing w:after="240"/>
        <w:rPr>
          <w:rFonts w:ascii="Arial" w:hAnsi="Arial" w:cs="Arial"/>
          <w:sz w:val="21"/>
          <w:szCs w:val="21"/>
        </w:rPr>
      </w:pPr>
      <w:r w:rsidRPr="00BD2F0B">
        <w:rPr>
          <w:rFonts w:ascii="Arial" w:hAnsi="Arial" w:cs="Arial"/>
          <w:sz w:val="21"/>
          <w:szCs w:val="21"/>
        </w:rPr>
        <w:t>- des revalorisations tarifaires accordées aux professionnels de santé libéraux en 2002 et 2003 ; ces revalorisations se traduisent par une progression très significative des honoraires par professionnel et des revenus.</w:t>
      </w:r>
    </w:p>
    <w:p w:rsidR="00BD2F0B" w:rsidRPr="00BD2F0B" w:rsidRDefault="00BD2F0B" w:rsidP="000A3CA1">
      <w:pPr>
        <w:autoSpaceDE w:val="0"/>
        <w:autoSpaceDN w:val="0"/>
        <w:adjustRightInd w:val="0"/>
        <w:rPr>
          <w:rFonts w:ascii="Arial" w:hAnsi="Arial" w:cs="Arial"/>
          <w:sz w:val="21"/>
          <w:szCs w:val="21"/>
        </w:rPr>
      </w:pPr>
      <w:r w:rsidRPr="00BD2F0B">
        <w:rPr>
          <w:rFonts w:ascii="Arial" w:hAnsi="Arial" w:cs="Arial"/>
          <w:sz w:val="21"/>
          <w:szCs w:val="21"/>
        </w:rPr>
        <w:t>À l'augmentation de la consommation, des tarifs des actes ou des dépenses d'établissements s'ajoute une croissance régulière du taux moyen de remboursement.</w:t>
      </w:r>
      <w:r w:rsidR="000A3CA1">
        <w:rPr>
          <w:rFonts w:ascii="Arial" w:hAnsi="Arial" w:cs="Arial"/>
          <w:sz w:val="21"/>
          <w:szCs w:val="21"/>
        </w:rPr>
        <w:t xml:space="preserve"> </w:t>
      </w:r>
      <w:r w:rsidRPr="00BD2F0B">
        <w:rPr>
          <w:rFonts w:ascii="Arial" w:hAnsi="Arial" w:cs="Arial"/>
          <w:sz w:val="21"/>
          <w:szCs w:val="21"/>
        </w:rPr>
        <w:t>En effet, le nombre des assurés exonérés du ticket modérateur augmente très rapidement. [ ... ]</w:t>
      </w:r>
    </w:p>
    <w:p w:rsidR="00BD2F0B" w:rsidRPr="00BD2F0B" w:rsidRDefault="00BD2F0B" w:rsidP="000A3CA1">
      <w:pPr>
        <w:autoSpaceDE w:val="0"/>
        <w:autoSpaceDN w:val="0"/>
        <w:adjustRightInd w:val="0"/>
        <w:rPr>
          <w:rFonts w:ascii="Arial" w:hAnsi="Arial" w:cs="Arial"/>
          <w:sz w:val="21"/>
          <w:szCs w:val="21"/>
        </w:rPr>
      </w:pPr>
      <w:r w:rsidRPr="00BD2F0B">
        <w:rPr>
          <w:rFonts w:ascii="Arial" w:hAnsi="Arial" w:cs="Arial"/>
          <w:sz w:val="21"/>
          <w:szCs w:val="21"/>
        </w:rPr>
        <w:t>Parallèlement, on constate une déformation générale de la consommation de soins au profit des soins les mieux pris en charge par l'assurance maladie, ce qui a tendance à pousser à la hausse le taux moyen de remboursement des soins. (La prescription des médicaments remboursés à 65 % augmente beaucoup plus rapidement que la prescription des médicaments remboursés à 35 %). [ ... ]</w:t>
      </w:r>
    </w:p>
    <w:p w:rsidR="00BD2F0B" w:rsidRPr="00BD2F0B" w:rsidRDefault="00BD2F0B" w:rsidP="000A3CA1">
      <w:pPr>
        <w:autoSpaceDE w:val="0"/>
        <w:autoSpaceDN w:val="0"/>
        <w:adjustRightInd w:val="0"/>
        <w:spacing w:before="240" w:after="240"/>
        <w:ind w:right="-283"/>
        <w:jc w:val="right"/>
        <w:rPr>
          <w:rFonts w:ascii="Arial" w:hAnsi="Arial" w:cs="Arial"/>
          <w:b/>
          <w:sz w:val="21"/>
          <w:szCs w:val="21"/>
        </w:rPr>
      </w:pPr>
      <w:r w:rsidRPr="00BD2F0B">
        <w:rPr>
          <w:rFonts w:ascii="Arial" w:hAnsi="Arial" w:cs="Arial"/>
          <w:i/>
          <w:iCs/>
          <w:sz w:val="21"/>
          <w:szCs w:val="21"/>
        </w:rPr>
        <w:t>Commission des comptes de la Sécurité Sociale- septembre 2003</w:t>
      </w:r>
    </w:p>
    <w:sectPr w:rsidR="00BD2F0B" w:rsidRPr="00BD2F0B" w:rsidSect="00720D2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56C" w:rsidRDefault="000C656C">
      <w:r>
        <w:separator/>
      </w:r>
    </w:p>
  </w:endnote>
  <w:endnote w:type="continuationSeparator" w:id="0">
    <w:p w:rsidR="000C656C" w:rsidRDefault="000C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2C" w:rsidRDefault="00B0772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B0772C" w:rsidRDefault="00B0772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Look w:val="04A0" w:firstRow="1" w:lastRow="0" w:firstColumn="1" w:lastColumn="0" w:noHBand="0" w:noVBand="1"/>
    </w:tblPr>
    <w:tblGrid>
      <w:gridCol w:w="4786"/>
      <w:gridCol w:w="2552"/>
      <w:gridCol w:w="1874"/>
    </w:tblGrid>
    <w:tr w:rsidR="00C75734" w:rsidTr="00CF02EA">
      <w:tc>
        <w:tcPr>
          <w:tcW w:w="9212" w:type="dxa"/>
          <w:gridSpan w:val="3"/>
        </w:tcPr>
        <w:p w:rsidR="00C75734" w:rsidRDefault="00C75734" w:rsidP="00410191">
          <w:pPr>
            <w:jc w:val="center"/>
          </w:pPr>
          <w:r>
            <w:rPr>
              <w:rFonts w:ascii="Arial" w:hAnsi="Arial" w:cs="Arial"/>
              <w:b/>
              <w:bCs/>
              <w:sz w:val="18"/>
              <w:szCs w:val="18"/>
            </w:rPr>
            <w:t xml:space="preserve">BREVET DE TECHNICIEN SUPERIEUR – </w:t>
          </w:r>
          <w:r w:rsidR="003D0C63" w:rsidRPr="003D0C63">
            <w:rPr>
              <w:rFonts w:ascii="Arial" w:hAnsi="Arial" w:cs="Arial"/>
              <w:b/>
              <w:bCs/>
              <w:sz w:val="18"/>
              <w:szCs w:val="18"/>
            </w:rPr>
            <w:t>FINANCIERS</w:t>
          </w:r>
        </w:p>
      </w:tc>
    </w:tr>
    <w:tr w:rsidR="00C75734" w:rsidTr="003D0C63">
      <w:tc>
        <w:tcPr>
          <w:tcW w:w="4786" w:type="dxa"/>
        </w:tcPr>
        <w:p w:rsidR="00C75734" w:rsidRDefault="003D0C63" w:rsidP="00410191">
          <w:pPr>
            <w:jc w:val="center"/>
          </w:pPr>
          <w:r w:rsidRPr="003D0C63">
            <w:rPr>
              <w:rFonts w:ascii="Arial" w:hAnsi="Arial" w:cs="Arial"/>
              <w:b/>
              <w:bCs/>
              <w:sz w:val="18"/>
              <w:szCs w:val="18"/>
            </w:rPr>
            <w:t>Econom</w:t>
          </w:r>
          <w:r>
            <w:rPr>
              <w:rFonts w:ascii="Arial" w:hAnsi="Arial" w:cs="Arial"/>
              <w:b/>
              <w:bCs/>
              <w:sz w:val="18"/>
              <w:szCs w:val="18"/>
            </w:rPr>
            <w:t>ie Générale et Economie d'Entrep</w:t>
          </w:r>
          <w:r w:rsidRPr="003D0C63">
            <w:rPr>
              <w:rFonts w:ascii="Arial" w:hAnsi="Arial" w:cs="Arial"/>
              <w:b/>
              <w:bCs/>
              <w:sz w:val="18"/>
              <w:szCs w:val="18"/>
            </w:rPr>
            <w:t>rise</w:t>
          </w:r>
        </w:p>
      </w:tc>
      <w:tc>
        <w:tcPr>
          <w:tcW w:w="2552" w:type="dxa"/>
        </w:tcPr>
        <w:p w:rsidR="00C75734" w:rsidRDefault="00B5492C" w:rsidP="003C312F">
          <w:pPr>
            <w:jc w:val="center"/>
          </w:pPr>
          <w:r>
            <w:rPr>
              <w:rFonts w:ascii="Arial" w:hAnsi="Arial" w:cs="Arial"/>
              <w:b/>
              <w:bCs/>
              <w:sz w:val="18"/>
              <w:szCs w:val="18"/>
            </w:rPr>
            <w:t>0</w:t>
          </w:r>
          <w:r w:rsidR="003C312F">
            <w:rPr>
              <w:rFonts w:ascii="Arial" w:hAnsi="Arial" w:cs="Arial"/>
              <w:b/>
              <w:bCs/>
              <w:sz w:val="18"/>
              <w:szCs w:val="18"/>
            </w:rPr>
            <w:t>4</w:t>
          </w:r>
          <w:r w:rsidR="003D0C63" w:rsidRPr="003D0C63">
            <w:rPr>
              <w:rFonts w:ascii="Arial" w:hAnsi="Arial" w:cs="Arial"/>
              <w:b/>
              <w:bCs/>
              <w:sz w:val="18"/>
              <w:szCs w:val="18"/>
            </w:rPr>
            <w:t>-ECOGEN</w:t>
          </w:r>
        </w:p>
      </w:tc>
      <w:tc>
        <w:tcPr>
          <w:tcW w:w="1874" w:type="dxa"/>
        </w:tcPr>
        <w:p w:rsidR="00C75734" w:rsidRDefault="00C75734" w:rsidP="003C312F">
          <w:pPr>
            <w:jc w:val="center"/>
          </w:pPr>
          <w:r>
            <w:rPr>
              <w:rFonts w:ascii="Arial" w:hAnsi="Arial" w:cs="Arial"/>
              <w:b/>
              <w:bCs/>
              <w:sz w:val="18"/>
              <w:szCs w:val="18"/>
            </w:rPr>
            <w:t>SESSION 20</w:t>
          </w:r>
          <w:r w:rsidR="00B5492C">
            <w:rPr>
              <w:rFonts w:ascii="Arial" w:hAnsi="Arial" w:cs="Arial"/>
              <w:b/>
              <w:bCs/>
              <w:sz w:val="18"/>
              <w:szCs w:val="18"/>
            </w:rPr>
            <w:t>0</w:t>
          </w:r>
          <w:r w:rsidR="003C312F">
            <w:rPr>
              <w:rFonts w:ascii="Arial" w:hAnsi="Arial" w:cs="Arial"/>
              <w:b/>
              <w:bCs/>
              <w:sz w:val="18"/>
              <w:szCs w:val="18"/>
            </w:rPr>
            <w:t>4</w:t>
          </w:r>
        </w:p>
      </w:tc>
    </w:tr>
  </w:tbl>
  <w:p w:rsidR="00C75734" w:rsidRDefault="00C75734">
    <w:pPr>
      <w:pStyle w:val="Pieddepage"/>
      <w:ind w:right="360"/>
      <w:rPr>
        <w:sz w:val="20"/>
      </w:rPr>
    </w:pPr>
  </w:p>
  <w:p w:rsidR="00B0772C" w:rsidRDefault="00466F89">
    <w:pPr>
      <w:pStyle w:val="Pieddepage"/>
      <w:ind w:right="360"/>
      <w:rPr>
        <w:sz w:val="20"/>
      </w:rPr>
    </w:pPr>
    <w:r w:rsidRPr="00466F89">
      <w:rPr>
        <w:sz w:val="20"/>
      </w:rPr>
      <w:t xml:space="preserve">© Comptazine </w:t>
    </w:r>
    <w:r w:rsidR="001268F8">
      <w:rPr>
        <w:sz w:val="20"/>
      </w:rPr>
      <w:t xml:space="preserve">BTS </w:t>
    </w:r>
    <w:r w:rsidR="003C312F">
      <w:rPr>
        <w:sz w:val="20"/>
      </w:rPr>
      <w:t xml:space="preserve">Banque </w:t>
    </w:r>
    <w:r w:rsidR="001268F8">
      <w:rPr>
        <w:sz w:val="20"/>
      </w:rPr>
      <w:t>20</w:t>
    </w:r>
    <w:r w:rsidR="00B5492C">
      <w:rPr>
        <w:sz w:val="20"/>
      </w:rPr>
      <w:t>0</w:t>
    </w:r>
    <w:r w:rsidR="003C312F">
      <w:rPr>
        <w:sz w:val="20"/>
      </w:rPr>
      <w:t>4</w:t>
    </w:r>
    <w:r w:rsidR="00B0772C">
      <w:rPr>
        <w:sz w:val="20"/>
      </w:rPr>
      <w:t xml:space="preserve"> – </w:t>
    </w:r>
    <w:r w:rsidR="001268F8">
      <w:rPr>
        <w:sz w:val="20"/>
      </w:rPr>
      <w:t xml:space="preserve">EPREUVE </w:t>
    </w:r>
    <w:r w:rsidR="003D0C63">
      <w:rPr>
        <w:sz w:val="20"/>
      </w:rPr>
      <w:t>3.1</w:t>
    </w:r>
    <w:r w:rsidR="00B0772C">
      <w:rPr>
        <w:sz w:val="20"/>
      </w:rPr>
      <w:t xml:space="preserve"> - </w:t>
    </w:r>
    <w:r w:rsidR="003D0C63" w:rsidRPr="003D0C63">
      <w:rPr>
        <w:sz w:val="20"/>
      </w:rPr>
      <w:t>Economie Générale et Economie d'Entreprise</w:t>
    </w:r>
    <w:r w:rsidR="00B0772C">
      <w:rPr>
        <w:sz w:val="20"/>
      </w:rPr>
      <w:tab/>
    </w:r>
    <w:r w:rsidR="00B0772C">
      <w:rPr>
        <w:sz w:val="20"/>
      </w:rPr>
      <w:tab/>
    </w:r>
    <w:r w:rsidR="00B0772C">
      <w:rPr>
        <w:rStyle w:val="Numrodepage"/>
        <w:sz w:val="20"/>
      </w:rPr>
      <w:fldChar w:fldCharType="begin"/>
    </w:r>
    <w:r w:rsidR="00B0772C">
      <w:rPr>
        <w:rStyle w:val="Numrodepage"/>
        <w:sz w:val="20"/>
      </w:rPr>
      <w:instrText xml:space="preserve"> PAGE </w:instrText>
    </w:r>
    <w:r w:rsidR="00B0772C">
      <w:rPr>
        <w:rStyle w:val="Numrodepage"/>
        <w:sz w:val="20"/>
      </w:rPr>
      <w:fldChar w:fldCharType="separate"/>
    </w:r>
    <w:r w:rsidR="003C312F">
      <w:rPr>
        <w:rStyle w:val="Numrodepage"/>
        <w:noProof/>
        <w:sz w:val="20"/>
      </w:rPr>
      <w:t>2</w:t>
    </w:r>
    <w:r w:rsidR="00B0772C">
      <w:rPr>
        <w:rStyle w:val="Numrodepage"/>
        <w:sz w:val="20"/>
      </w:rPr>
      <w:fldChar w:fldCharType="end"/>
    </w:r>
    <w:r w:rsidR="00B0772C">
      <w:rPr>
        <w:sz w:val="20"/>
      </w:rPr>
      <w:t>/</w:t>
    </w:r>
    <w:r w:rsidR="00B0772C">
      <w:rPr>
        <w:rStyle w:val="Numrodepage"/>
        <w:sz w:val="20"/>
      </w:rPr>
      <w:fldChar w:fldCharType="begin"/>
    </w:r>
    <w:r w:rsidR="00B0772C">
      <w:rPr>
        <w:rStyle w:val="Numrodepage"/>
        <w:sz w:val="20"/>
      </w:rPr>
      <w:instrText xml:space="preserve"> NUMPAGES </w:instrText>
    </w:r>
    <w:r w:rsidR="00B0772C">
      <w:rPr>
        <w:rStyle w:val="Numrodepage"/>
        <w:sz w:val="20"/>
      </w:rPr>
      <w:fldChar w:fldCharType="separate"/>
    </w:r>
    <w:r w:rsidR="003C312F">
      <w:rPr>
        <w:rStyle w:val="Numrodepage"/>
        <w:noProof/>
        <w:sz w:val="20"/>
      </w:rPr>
      <w:t>5</w:t>
    </w:r>
    <w:r w:rsidR="00B0772C">
      <w:rPr>
        <w:rStyle w:val="Numrodepag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56C" w:rsidRDefault="000C656C">
      <w:r>
        <w:separator/>
      </w:r>
    </w:p>
  </w:footnote>
  <w:footnote w:type="continuationSeparator" w:id="0">
    <w:p w:rsidR="000C656C" w:rsidRDefault="000C6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F89" w:rsidRDefault="00752C4A" w:rsidP="00466F89">
    <w:pPr>
      <w:pStyle w:val="En-tte"/>
      <w:ind w:right="849"/>
      <w:jc w:val="right"/>
    </w:pPr>
    <w:r>
      <w:rPr>
        <w:noProof/>
      </w:rPr>
      <w:drawing>
        <wp:anchor distT="0" distB="0" distL="114300" distR="114300" simplePos="0" relativeHeight="251657216" behindDoc="1" locked="0" layoutInCell="1" allowOverlap="1" wp14:anchorId="25096FEB" wp14:editId="761745DC">
          <wp:simplePos x="0" y="0"/>
          <wp:positionH relativeFrom="margin">
            <wp:posOffset>5530215</wp:posOffset>
          </wp:positionH>
          <wp:positionV relativeFrom="margin">
            <wp:posOffset>-571500</wp:posOffset>
          </wp:positionV>
          <wp:extent cx="381000" cy="381000"/>
          <wp:effectExtent l="0" t="0" r="0" b="0"/>
          <wp:wrapNone/>
          <wp:docPr id="1" name="Image 6"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466F89" w:rsidRPr="006E50E1">
        <w:rPr>
          <w:rStyle w:val="Lienhypertexte"/>
          <w:rFonts w:ascii="Calibri" w:hAnsi="Calibri" w:cs="Calibri"/>
          <w:color w:val="E36C0A"/>
          <w:sz w:val="18"/>
        </w:rPr>
        <w:t>www.comptazine.fr</w:t>
      </w:r>
    </w:hyperlink>
    <w:r w:rsidR="000C656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1.5pt;height:19.5pt;visibility:visible;mso-wrap-style:square" o:bullet="t">
        <v:imagedata r:id="rId1" o:title=""/>
      </v:shape>
    </w:pict>
  </w:numPicBullet>
  <w:abstractNum w:abstractNumId="0">
    <w:nsid w:val="03BA236B"/>
    <w:multiLevelType w:val="hybridMultilevel"/>
    <w:tmpl w:val="036A71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7E0281"/>
    <w:multiLevelType w:val="hybridMultilevel"/>
    <w:tmpl w:val="6722DED0"/>
    <w:lvl w:ilvl="0" w:tplc="13200BEA">
      <w:start w:val="3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3C35FB2"/>
    <w:multiLevelType w:val="multilevel"/>
    <w:tmpl w:val="D7F6AE1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1A1839C7"/>
    <w:multiLevelType w:val="hybridMultilevel"/>
    <w:tmpl w:val="82161D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0DF3E89"/>
    <w:multiLevelType w:val="hybridMultilevel"/>
    <w:tmpl w:val="BAE0BA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7E36B6F"/>
    <w:multiLevelType w:val="hybridMultilevel"/>
    <w:tmpl w:val="AA38A358"/>
    <w:lvl w:ilvl="0" w:tplc="BD4CBD5A">
      <w:numFmt w:val="bullet"/>
      <w:lvlText w:val="-"/>
      <w:lvlJc w:val="left"/>
      <w:pPr>
        <w:ind w:left="76" w:hanging="360"/>
      </w:pPr>
      <w:rPr>
        <w:rFonts w:ascii="Arial" w:eastAsia="Times New Roman" w:hAnsi="Arial" w:cs="Arial"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6">
    <w:nsid w:val="414F3076"/>
    <w:multiLevelType w:val="hybridMultilevel"/>
    <w:tmpl w:val="60C01A96"/>
    <w:lvl w:ilvl="0" w:tplc="A8789A84">
      <w:start w:val="1"/>
      <w:numFmt w:val="low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7">
    <w:nsid w:val="442D44CE"/>
    <w:multiLevelType w:val="hybridMultilevel"/>
    <w:tmpl w:val="96EC7C70"/>
    <w:lvl w:ilvl="0" w:tplc="BD4CBD5A">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47764E1E"/>
    <w:multiLevelType w:val="hybridMultilevel"/>
    <w:tmpl w:val="3A80BF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79310A3"/>
    <w:multiLevelType w:val="hybridMultilevel"/>
    <w:tmpl w:val="09B48E9E"/>
    <w:lvl w:ilvl="0" w:tplc="A80C5DE0">
      <w:start w:val="1"/>
      <w:numFmt w:val="lowerLetter"/>
      <w:lvlText w:val="%1)"/>
      <w:lvlJc w:val="left"/>
      <w:pPr>
        <w:tabs>
          <w:tab w:val="num" w:pos="1065"/>
        </w:tabs>
        <w:ind w:left="1065" w:hanging="360"/>
      </w:pPr>
      <w:rPr>
        <w:rFonts w:hint="default"/>
        <w:b/>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0">
    <w:nsid w:val="566C2E89"/>
    <w:multiLevelType w:val="hybridMultilevel"/>
    <w:tmpl w:val="17D6EE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CEE33E0"/>
    <w:multiLevelType w:val="hybridMultilevel"/>
    <w:tmpl w:val="B3DC6E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9"/>
  </w:num>
  <w:num w:numId="3">
    <w:abstractNumId w:val="8"/>
  </w:num>
  <w:num w:numId="4">
    <w:abstractNumId w:val="4"/>
  </w:num>
  <w:num w:numId="5">
    <w:abstractNumId w:val="1"/>
  </w:num>
  <w:num w:numId="6">
    <w:abstractNumId w:val="11"/>
  </w:num>
  <w:num w:numId="7">
    <w:abstractNumId w:val="0"/>
  </w:num>
  <w:num w:numId="8">
    <w:abstractNumId w:val="2"/>
  </w:num>
  <w:num w:numId="9">
    <w:abstractNumId w:val="3"/>
  </w:num>
  <w:num w:numId="10">
    <w:abstractNumId w:val="1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72C"/>
    <w:rsid w:val="00046D56"/>
    <w:rsid w:val="00075DB6"/>
    <w:rsid w:val="000A3CA1"/>
    <w:rsid w:val="000C15D4"/>
    <w:rsid w:val="000C656C"/>
    <w:rsid w:val="001268F8"/>
    <w:rsid w:val="001618CA"/>
    <w:rsid w:val="0028327E"/>
    <w:rsid w:val="002E411A"/>
    <w:rsid w:val="002E646B"/>
    <w:rsid w:val="002F105D"/>
    <w:rsid w:val="0038376D"/>
    <w:rsid w:val="003C312F"/>
    <w:rsid w:val="003D0C63"/>
    <w:rsid w:val="0043526B"/>
    <w:rsid w:val="00466F89"/>
    <w:rsid w:val="0049403B"/>
    <w:rsid w:val="00507D61"/>
    <w:rsid w:val="005F0312"/>
    <w:rsid w:val="006D422B"/>
    <w:rsid w:val="00704E17"/>
    <w:rsid w:val="00720D2E"/>
    <w:rsid w:val="00752C4A"/>
    <w:rsid w:val="007825F9"/>
    <w:rsid w:val="007A3C90"/>
    <w:rsid w:val="00876B33"/>
    <w:rsid w:val="009730F3"/>
    <w:rsid w:val="00A23831"/>
    <w:rsid w:val="00AF67B6"/>
    <w:rsid w:val="00B0772C"/>
    <w:rsid w:val="00B5492C"/>
    <w:rsid w:val="00B753B4"/>
    <w:rsid w:val="00BD2F0B"/>
    <w:rsid w:val="00BE63E7"/>
    <w:rsid w:val="00BF7ABB"/>
    <w:rsid w:val="00C7079A"/>
    <w:rsid w:val="00C75734"/>
    <w:rsid w:val="00CB2516"/>
    <w:rsid w:val="00CF042D"/>
    <w:rsid w:val="00DF0AE4"/>
    <w:rsid w:val="00E761CE"/>
    <w:rsid w:val="00EA323D"/>
    <w:rsid w:val="00F5348A"/>
    <w:rsid w:val="00F54A67"/>
    <w:rsid w:val="00F673B5"/>
    <w:rsid w:val="00FC46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b/>
      <w:sz w:val="40"/>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b/>
      <w:u w:val="single"/>
    </w:rPr>
  </w:style>
  <w:style w:type="paragraph" w:styleId="Titre6">
    <w:name w:val="heading 6"/>
    <w:basedOn w:val="Normal"/>
    <w:next w:val="Normal"/>
    <w:qFormat/>
    <w:pPr>
      <w:keepNext/>
      <w:shd w:val="clear" w:color="auto" w:fill="FFFFFF"/>
      <w:jc w:val="center"/>
      <w:outlineLvl w:val="5"/>
    </w:pPr>
    <w:rPr>
      <w:i/>
      <w:iCs/>
      <w:color w:val="000000"/>
      <w:spacing w:val="-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 w:type="paragraph" w:styleId="Paragraphedeliste">
    <w:name w:val="List Paragraph"/>
    <w:basedOn w:val="Normal"/>
    <w:uiPriority w:val="34"/>
    <w:qFormat/>
    <w:rsid w:val="003D0C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b/>
      <w:sz w:val="40"/>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b/>
      <w:u w:val="single"/>
    </w:rPr>
  </w:style>
  <w:style w:type="paragraph" w:styleId="Titre6">
    <w:name w:val="heading 6"/>
    <w:basedOn w:val="Normal"/>
    <w:next w:val="Normal"/>
    <w:qFormat/>
    <w:pPr>
      <w:keepNext/>
      <w:shd w:val="clear" w:color="auto" w:fill="FFFFFF"/>
      <w:jc w:val="center"/>
      <w:outlineLvl w:val="5"/>
    </w:pPr>
    <w:rPr>
      <w:i/>
      <w:iCs/>
      <w:color w:val="000000"/>
      <w:spacing w:val="-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 w:type="paragraph" w:styleId="Paragraphedeliste">
    <w:name w:val="List Paragraph"/>
    <w:basedOn w:val="Normal"/>
    <w:uiPriority w:val="34"/>
    <w:qFormat/>
    <w:rsid w:val="003D0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1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http://www.comptazine.fr"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D2DC4-7F37-4461-9A75-CFBFAABA0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5</Pages>
  <Words>1741</Words>
  <Characters>9579</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siec</Company>
  <LinksUpToDate>false</LinksUpToDate>
  <CharactersWithSpaces>11298</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Comptazine</cp:lastModifiedBy>
  <cp:revision>14</cp:revision>
  <cp:lastPrinted>2012-09-11T17:45:00Z</cp:lastPrinted>
  <dcterms:created xsi:type="dcterms:W3CDTF">2012-09-11T17:45:00Z</dcterms:created>
  <dcterms:modified xsi:type="dcterms:W3CDTF">2012-11-28T16:17:00Z</dcterms:modified>
</cp:coreProperties>
</file>