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72C" w:rsidRDefault="00B0772C">
      <w:pPr>
        <w:pStyle w:val="Titre1"/>
      </w:pPr>
      <w:bookmarkStart w:id="0" w:name="_GoBack"/>
      <w:bookmarkEnd w:id="0"/>
    </w:p>
    <w:p w:rsidR="00C75734" w:rsidRPr="00C75734" w:rsidRDefault="00C75734" w:rsidP="00C75734"/>
    <w:p w:rsidR="00C75734" w:rsidRDefault="00C75734" w:rsidP="00C75734">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w:hAnsi="Arial" w:cs="Arial"/>
          <w:b/>
          <w:bCs/>
          <w:sz w:val="36"/>
          <w:szCs w:val="36"/>
        </w:rPr>
      </w:pPr>
    </w:p>
    <w:p w:rsidR="00C75734" w:rsidRPr="00C75734" w:rsidRDefault="00C75734" w:rsidP="003D0C63">
      <w:pPr>
        <w:pBdr>
          <w:top w:val="single" w:sz="4" w:space="1" w:color="auto"/>
          <w:left w:val="single" w:sz="4" w:space="4" w:color="auto"/>
          <w:bottom w:val="single" w:sz="4" w:space="1" w:color="auto"/>
          <w:right w:val="single" w:sz="4" w:space="4" w:color="auto"/>
        </w:pBdr>
        <w:autoSpaceDE w:val="0"/>
        <w:autoSpaceDN w:val="0"/>
        <w:adjustRightInd w:val="0"/>
        <w:spacing w:line="480" w:lineRule="auto"/>
        <w:jc w:val="center"/>
        <w:rPr>
          <w:rFonts w:ascii="Arial" w:hAnsi="Arial" w:cs="Arial"/>
          <w:b/>
          <w:bCs/>
          <w:sz w:val="36"/>
          <w:szCs w:val="36"/>
        </w:rPr>
      </w:pPr>
      <w:r>
        <w:rPr>
          <w:rFonts w:ascii="Arial" w:hAnsi="Arial" w:cs="Arial"/>
          <w:b/>
          <w:bCs/>
          <w:sz w:val="36"/>
          <w:szCs w:val="36"/>
        </w:rPr>
        <w:t>BREVET DE TECHNICIEN SUPÉRIEUR</w:t>
      </w:r>
    </w:p>
    <w:p w:rsidR="003D0C63" w:rsidRPr="003D0C63" w:rsidRDefault="003D0C63" w:rsidP="003D0C63">
      <w:pPr>
        <w:pStyle w:val="Titre1"/>
        <w:pBdr>
          <w:top w:val="single" w:sz="4" w:space="1" w:color="auto"/>
          <w:left w:val="single" w:sz="4" w:space="4" w:color="auto"/>
          <w:bottom w:val="single" w:sz="4" w:space="1" w:color="auto"/>
          <w:right w:val="single" w:sz="4" w:space="4" w:color="auto"/>
        </w:pBdr>
        <w:spacing w:line="276" w:lineRule="auto"/>
        <w:jc w:val="center"/>
        <w:rPr>
          <w:rFonts w:ascii="Arial" w:hAnsi="Arial" w:cs="Arial"/>
          <w:b w:val="0"/>
          <w:bCs w:val="0"/>
        </w:rPr>
      </w:pPr>
      <w:r w:rsidRPr="003D0C63">
        <w:rPr>
          <w:rFonts w:ascii="Arial" w:hAnsi="Arial" w:cs="Arial"/>
          <w:b w:val="0"/>
          <w:bCs w:val="0"/>
        </w:rPr>
        <w:t>BANQUE</w:t>
      </w:r>
    </w:p>
    <w:p w:rsidR="00B0772C" w:rsidRDefault="003D0C63" w:rsidP="003D0C63">
      <w:pPr>
        <w:pStyle w:val="Titre1"/>
        <w:pBdr>
          <w:top w:val="single" w:sz="4" w:space="1" w:color="auto"/>
          <w:left w:val="single" w:sz="4" w:space="4" w:color="auto"/>
          <w:bottom w:val="single" w:sz="4" w:space="1" w:color="auto"/>
          <w:right w:val="single" w:sz="4" w:space="4" w:color="auto"/>
        </w:pBdr>
        <w:spacing w:line="276" w:lineRule="auto"/>
        <w:jc w:val="center"/>
        <w:rPr>
          <w:rFonts w:ascii="Arial" w:hAnsi="Arial" w:cs="Arial"/>
          <w:b w:val="0"/>
          <w:bCs w:val="0"/>
        </w:rPr>
      </w:pPr>
      <w:r w:rsidRPr="003D0C63">
        <w:rPr>
          <w:rFonts w:ascii="Arial" w:hAnsi="Arial" w:cs="Arial"/>
          <w:b w:val="0"/>
          <w:bCs w:val="0"/>
        </w:rPr>
        <w:t>PROFESSIONS IMMOBILIÈRES</w:t>
      </w:r>
    </w:p>
    <w:p w:rsidR="00C75734" w:rsidRPr="00C75734" w:rsidRDefault="00C75734" w:rsidP="00C75734"/>
    <w:p w:rsidR="00C75734" w:rsidRDefault="00C75734" w:rsidP="00C75734"/>
    <w:p w:rsidR="00C75734" w:rsidRDefault="00C75734" w:rsidP="00C75734"/>
    <w:p w:rsidR="00C75734" w:rsidRPr="00C75734" w:rsidRDefault="00C75734" w:rsidP="00C75734"/>
    <w:p w:rsidR="003D0C63" w:rsidRPr="003D0C63" w:rsidRDefault="003D0C63" w:rsidP="003D0C63">
      <w:pPr>
        <w:jc w:val="center"/>
        <w:rPr>
          <w:rFonts w:ascii="Arial" w:hAnsi="Arial" w:cs="Arial"/>
          <w:b/>
          <w:bCs/>
          <w:sz w:val="36"/>
          <w:szCs w:val="36"/>
        </w:rPr>
      </w:pPr>
      <w:r w:rsidRPr="003D0C63">
        <w:rPr>
          <w:rFonts w:ascii="Arial" w:hAnsi="Arial" w:cs="Arial"/>
          <w:b/>
          <w:bCs/>
          <w:sz w:val="36"/>
          <w:szCs w:val="36"/>
        </w:rPr>
        <w:t>ECONOMIE GENERALE ET</w:t>
      </w:r>
    </w:p>
    <w:p w:rsidR="00C75734" w:rsidRPr="00C75734" w:rsidRDefault="003D0C63" w:rsidP="003D0C63">
      <w:pPr>
        <w:jc w:val="center"/>
      </w:pPr>
      <w:r w:rsidRPr="003D0C63">
        <w:rPr>
          <w:rFonts w:ascii="Arial" w:hAnsi="Arial" w:cs="Arial"/>
          <w:b/>
          <w:bCs/>
          <w:sz w:val="36"/>
          <w:szCs w:val="36"/>
        </w:rPr>
        <w:t>ECONOMIE D'ENTREPRISE</w:t>
      </w:r>
    </w:p>
    <w:p w:rsidR="00B0772C" w:rsidRDefault="00B0772C">
      <w:pPr>
        <w:pStyle w:val="Titre1"/>
        <w:rPr>
          <w:sz w:val="48"/>
        </w:rPr>
      </w:pPr>
    </w:p>
    <w:p w:rsidR="00C75734" w:rsidRDefault="00C75734" w:rsidP="00C75734"/>
    <w:p w:rsidR="00C75734" w:rsidRDefault="00C75734" w:rsidP="00C75734"/>
    <w:p w:rsidR="00C75734" w:rsidRDefault="00C75734" w:rsidP="00C75734"/>
    <w:p w:rsidR="00C75734" w:rsidRPr="00C75734" w:rsidRDefault="00C75734" w:rsidP="00C75734"/>
    <w:p w:rsidR="00C75734" w:rsidRDefault="00C75734" w:rsidP="00C75734">
      <w:pPr>
        <w:autoSpaceDE w:val="0"/>
        <w:autoSpaceDN w:val="0"/>
        <w:adjustRightInd w:val="0"/>
        <w:jc w:val="center"/>
        <w:rPr>
          <w:rFonts w:ascii="Arial" w:hAnsi="Arial" w:cs="Arial"/>
          <w:b/>
          <w:bCs/>
          <w:sz w:val="28"/>
          <w:szCs w:val="28"/>
        </w:rPr>
      </w:pPr>
      <w:r>
        <w:rPr>
          <w:rFonts w:ascii="Arial" w:hAnsi="Arial" w:cs="Arial"/>
          <w:b/>
          <w:bCs/>
          <w:sz w:val="28"/>
          <w:szCs w:val="28"/>
        </w:rPr>
        <w:t>SESSION 201</w:t>
      </w:r>
      <w:r w:rsidR="009730F3">
        <w:rPr>
          <w:rFonts w:ascii="Arial" w:hAnsi="Arial" w:cs="Arial"/>
          <w:b/>
          <w:bCs/>
          <w:sz w:val="28"/>
          <w:szCs w:val="28"/>
        </w:rPr>
        <w:t>2</w:t>
      </w:r>
    </w:p>
    <w:p w:rsidR="00C75734" w:rsidRDefault="00C75734" w:rsidP="00C75734">
      <w:pPr>
        <w:autoSpaceDE w:val="0"/>
        <w:autoSpaceDN w:val="0"/>
        <w:adjustRightInd w:val="0"/>
        <w:jc w:val="center"/>
        <w:rPr>
          <w:rFonts w:ascii="Arial" w:hAnsi="Arial" w:cs="Arial"/>
          <w:sz w:val="28"/>
          <w:szCs w:val="28"/>
        </w:rPr>
      </w:pPr>
      <w:r>
        <w:rPr>
          <w:rFonts w:ascii="Arial" w:hAnsi="Arial" w:cs="Arial"/>
          <w:sz w:val="28"/>
          <w:szCs w:val="28"/>
        </w:rPr>
        <w:t>________</w:t>
      </w:r>
    </w:p>
    <w:p w:rsidR="00C75734" w:rsidRDefault="00C75734" w:rsidP="00C75734">
      <w:pPr>
        <w:autoSpaceDE w:val="0"/>
        <w:autoSpaceDN w:val="0"/>
        <w:adjustRightInd w:val="0"/>
        <w:jc w:val="center"/>
        <w:rPr>
          <w:rFonts w:ascii="Arial" w:hAnsi="Arial" w:cs="Arial"/>
          <w:sz w:val="28"/>
          <w:szCs w:val="28"/>
        </w:rPr>
      </w:pPr>
    </w:p>
    <w:p w:rsidR="00C75734" w:rsidRDefault="00C75734" w:rsidP="00C75734">
      <w:pPr>
        <w:autoSpaceDE w:val="0"/>
        <w:autoSpaceDN w:val="0"/>
        <w:adjustRightInd w:val="0"/>
        <w:jc w:val="center"/>
        <w:rPr>
          <w:rFonts w:ascii="Arial" w:hAnsi="Arial" w:cs="Arial"/>
          <w:sz w:val="28"/>
          <w:szCs w:val="28"/>
        </w:rPr>
      </w:pPr>
    </w:p>
    <w:p w:rsidR="00C75734" w:rsidRDefault="00C75734" w:rsidP="00C75734">
      <w:pPr>
        <w:autoSpaceDE w:val="0"/>
        <w:autoSpaceDN w:val="0"/>
        <w:adjustRightInd w:val="0"/>
        <w:jc w:val="center"/>
        <w:rPr>
          <w:rFonts w:ascii="Arial" w:hAnsi="Arial" w:cs="Arial"/>
          <w:b/>
          <w:bCs/>
          <w:sz w:val="28"/>
          <w:szCs w:val="28"/>
        </w:rPr>
      </w:pPr>
      <w:r>
        <w:rPr>
          <w:rFonts w:ascii="Arial" w:hAnsi="Arial" w:cs="Arial"/>
          <w:b/>
          <w:bCs/>
          <w:sz w:val="28"/>
          <w:szCs w:val="28"/>
        </w:rPr>
        <w:t xml:space="preserve">Durée : </w:t>
      </w:r>
      <w:r w:rsidR="003D0C63">
        <w:rPr>
          <w:rFonts w:ascii="Arial" w:hAnsi="Arial" w:cs="Arial"/>
          <w:b/>
          <w:bCs/>
          <w:sz w:val="28"/>
          <w:szCs w:val="28"/>
        </w:rPr>
        <w:t>3</w:t>
      </w:r>
      <w:r>
        <w:rPr>
          <w:rFonts w:ascii="Arial" w:hAnsi="Arial" w:cs="Arial"/>
          <w:b/>
          <w:bCs/>
          <w:sz w:val="28"/>
          <w:szCs w:val="28"/>
        </w:rPr>
        <w:t xml:space="preserve"> heures</w:t>
      </w:r>
    </w:p>
    <w:p w:rsidR="003D0C63" w:rsidRDefault="003D0C63" w:rsidP="00C75734">
      <w:pPr>
        <w:autoSpaceDE w:val="0"/>
        <w:autoSpaceDN w:val="0"/>
        <w:adjustRightInd w:val="0"/>
        <w:jc w:val="center"/>
        <w:rPr>
          <w:rFonts w:ascii="Arial" w:hAnsi="Arial" w:cs="Arial"/>
          <w:b/>
          <w:bCs/>
          <w:sz w:val="28"/>
          <w:szCs w:val="28"/>
        </w:rPr>
      </w:pPr>
    </w:p>
    <w:p w:rsidR="003D0C63" w:rsidRPr="003D0C63" w:rsidRDefault="003D0C63" w:rsidP="003D0C63">
      <w:pPr>
        <w:autoSpaceDE w:val="0"/>
        <w:autoSpaceDN w:val="0"/>
        <w:adjustRightInd w:val="0"/>
        <w:jc w:val="center"/>
        <w:rPr>
          <w:rFonts w:ascii="Arial" w:hAnsi="Arial" w:cs="Arial"/>
          <w:b/>
          <w:bCs/>
          <w:sz w:val="28"/>
          <w:szCs w:val="28"/>
        </w:rPr>
      </w:pPr>
      <w:r w:rsidRPr="003D0C63">
        <w:rPr>
          <w:rFonts w:ascii="Arial" w:hAnsi="Arial" w:cs="Arial"/>
          <w:b/>
          <w:bCs/>
          <w:sz w:val="28"/>
          <w:szCs w:val="28"/>
        </w:rPr>
        <w:t>Coefficient 2 : BTS Banque</w:t>
      </w:r>
    </w:p>
    <w:p w:rsidR="003D0C63" w:rsidRDefault="003D0C63" w:rsidP="003D0C63">
      <w:pPr>
        <w:autoSpaceDE w:val="0"/>
        <w:autoSpaceDN w:val="0"/>
        <w:adjustRightInd w:val="0"/>
        <w:jc w:val="center"/>
        <w:rPr>
          <w:rFonts w:ascii="Arial" w:hAnsi="Arial" w:cs="Arial"/>
          <w:b/>
          <w:bCs/>
          <w:sz w:val="28"/>
          <w:szCs w:val="28"/>
        </w:rPr>
      </w:pPr>
      <w:r w:rsidRPr="003D0C63">
        <w:rPr>
          <w:rFonts w:ascii="Arial" w:hAnsi="Arial" w:cs="Arial"/>
          <w:b/>
          <w:bCs/>
          <w:sz w:val="28"/>
          <w:szCs w:val="28"/>
        </w:rPr>
        <w:t>Coefficient 3 : BTS Professions immobilières</w:t>
      </w:r>
    </w:p>
    <w:p w:rsidR="00B0772C" w:rsidRDefault="00C75734" w:rsidP="00C75734">
      <w:pPr>
        <w:jc w:val="center"/>
        <w:rPr>
          <w:sz w:val="22"/>
          <w:szCs w:val="22"/>
        </w:rPr>
      </w:pPr>
      <w:r>
        <w:rPr>
          <w:rFonts w:ascii="Arial" w:hAnsi="Arial" w:cs="Arial"/>
          <w:sz w:val="28"/>
          <w:szCs w:val="28"/>
        </w:rPr>
        <w:t>________</w:t>
      </w:r>
    </w:p>
    <w:p w:rsidR="00B0772C" w:rsidRDefault="00B0772C">
      <w:pPr>
        <w:jc w:val="center"/>
        <w:rPr>
          <w:sz w:val="22"/>
          <w:szCs w:val="22"/>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B0772C" w:rsidRDefault="00C75734" w:rsidP="00C75734">
      <w:pPr>
        <w:rPr>
          <w:rFonts w:ascii="Arial" w:hAnsi="Arial" w:cs="Arial"/>
          <w:b/>
          <w:bCs/>
        </w:rPr>
      </w:pPr>
      <w:r>
        <w:rPr>
          <w:rFonts w:ascii="Arial" w:hAnsi="Arial" w:cs="Arial"/>
          <w:b/>
          <w:bCs/>
        </w:rPr>
        <w:t>Aucun matériel autorisé.</w:t>
      </w: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Pr>
        <w:rPr>
          <w:rFonts w:ascii="Arial" w:hAnsi="Arial" w:cs="Arial"/>
          <w:b/>
          <w:bCs/>
        </w:rPr>
      </w:pPr>
    </w:p>
    <w:p w:rsidR="00C75734" w:rsidRDefault="00C75734" w:rsidP="00C75734"/>
    <w:p w:rsidR="00B0772C" w:rsidRDefault="00B0772C">
      <w:pPr>
        <w:jc w:val="center"/>
      </w:pPr>
    </w:p>
    <w:p w:rsidR="00C75734" w:rsidRDefault="00C75734" w:rsidP="00C75734">
      <w:pPr>
        <w:autoSpaceDE w:val="0"/>
        <w:autoSpaceDN w:val="0"/>
        <w:adjustRightInd w:val="0"/>
        <w:jc w:val="center"/>
        <w:rPr>
          <w:rFonts w:ascii="Arial" w:hAnsi="Arial" w:cs="Arial"/>
          <w:b/>
          <w:bCs/>
        </w:rPr>
      </w:pPr>
      <w:r>
        <w:rPr>
          <w:rFonts w:ascii="Arial" w:hAnsi="Arial" w:cs="Arial"/>
          <w:b/>
          <w:bCs/>
        </w:rPr>
        <w:t>Dès que le sujet vous est remis, assurez-vous qu’il est complet.</w:t>
      </w:r>
    </w:p>
    <w:p w:rsidR="00B0772C" w:rsidRDefault="00C75734" w:rsidP="00C75734">
      <w:pPr>
        <w:jc w:val="center"/>
      </w:pPr>
      <w:r>
        <w:rPr>
          <w:rFonts w:ascii="Arial" w:hAnsi="Arial" w:cs="Arial"/>
          <w:b/>
          <w:bCs/>
        </w:rPr>
        <w:t xml:space="preserve">Le sujet comporte </w:t>
      </w:r>
      <w:r w:rsidR="009730F3">
        <w:rPr>
          <w:rFonts w:ascii="Arial" w:hAnsi="Arial" w:cs="Arial"/>
          <w:b/>
          <w:bCs/>
        </w:rPr>
        <w:t>6</w:t>
      </w:r>
      <w:r>
        <w:rPr>
          <w:rFonts w:ascii="Arial" w:hAnsi="Arial" w:cs="Arial"/>
          <w:b/>
          <w:bCs/>
        </w:rPr>
        <w:t xml:space="preserve"> pages, numérotées de 1 à </w:t>
      </w:r>
      <w:r w:rsidR="009730F3">
        <w:rPr>
          <w:rFonts w:ascii="Arial" w:hAnsi="Arial" w:cs="Arial"/>
          <w:b/>
          <w:bCs/>
        </w:rPr>
        <w:t>6</w:t>
      </w:r>
      <w:r>
        <w:rPr>
          <w:rFonts w:ascii="Arial" w:hAnsi="Arial" w:cs="Arial"/>
          <w:b/>
          <w:bCs/>
        </w:rPr>
        <w:t>.</w:t>
      </w:r>
    </w:p>
    <w:p w:rsidR="003D0C63" w:rsidRDefault="00B0772C" w:rsidP="003D0C63">
      <w:pPr>
        <w:autoSpaceDE w:val="0"/>
        <w:autoSpaceDN w:val="0"/>
        <w:adjustRightInd w:val="0"/>
        <w:rPr>
          <w:rFonts w:ascii="Arial" w:hAnsi="Arial" w:cs="Arial"/>
          <w:b/>
          <w:bCs/>
          <w:sz w:val="28"/>
          <w:szCs w:val="32"/>
        </w:rPr>
      </w:pPr>
      <w:r>
        <w:br w:type="page"/>
      </w:r>
      <w:r w:rsidR="003D0C63" w:rsidRPr="003D0C63">
        <w:rPr>
          <w:rFonts w:ascii="Arial" w:hAnsi="Arial" w:cs="Arial"/>
          <w:b/>
          <w:bCs/>
          <w:sz w:val="28"/>
          <w:szCs w:val="32"/>
        </w:rPr>
        <w:lastRenderedPageBreak/>
        <w:t>PREMIERE PARTIE: TRAVAIL METHODOLOGIQUE (10 points)</w:t>
      </w:r>
    </w:p>
    <w:p w:rsidR="003D0C63" w:rsidRPr="003D0C63" w:rsidRDefault="003D0C63" w:rsidP="003D0C63">
      <w:pPr>
        <w:autoSpaceDE w:val="0"/>
        <w:autoSpaceDN w:val="0"/>
        <w:adjustRightInd w:val="0"/>
        <w:rPr>
          <w:rFonts w:ascii="Arial" w:hAnsi="Arial" w:cs="Arial"/>
          <w:b/>
          <w:bCs/>
          <w:sz w:val="28"/>
          <w:szCs w:val="32"/>
        </w:rPr>
      </w:pPr>
    </w:p>
    <w:p w:rsidR="003D0C63" w:rsidRDefault="009730F3" w:rsidP="009730F3">
      <w:pPr>
        <w:autoSpaceDE w:val="0"/>
        <w:autoSpaceDN w:val="0"/>
        <w:adjustRightInd w:val="0"/>
        <w:rPr>
          <w:rFonts w:ascii="Arial" w:hAnsi="Arial" w:cs="Arial"/>
          <w:bCs/>
          <w:szCs w:val="32"/>
        </w:rPr>
      </w:pPr>
      <w:r w:rsidRPr="009730F3">
        <w:rPr>
          <w:rFonts w:ascii="Arial" w:hAnsi="Arial" w:cs="Arial"/>
          <w:bCs/>
          <w:szCs w:val="32"/>
        </w:rPr>
        <w:t>À partir de vos connaissances et des documents proposés en annexes 1 à 4, vous répondrez</w:t>
      </w:r>
      <w:r>
        <w:rPr>
          <w:rFonts w:ascii="Arial" w:hAnsi="Arial" w:cs="Arial"/>
          <w:bCs/>
          <w:szCs w:val="32"/>
        </w:rPr>
        <w:t xml:space="preserve"> </w:t>
      </w:r>
      <w:r w:rsidRPr="009730F3">
        <w:rPr>
          <w:rFonts w:ascii="Arial" w:hAnsi="Arial" w:cs="Arial"/>
          <w:bCs/>
          <w:szCs w:val="32"/>
        </w:rPr>
        <w:t>aux questions suivantes :</w:t>
      </w:r>
    </w:p>
    <w:p w:rsidR="009730F3" w:rsidRPr="003D0C63" w:rsidRDefault="009730F3" w:rsidP="009730F3">
      <w:pPr>
        <w:autoSpaceDE w:val="0"/>
        <w:autoSpaceDN w:val="0"/>
        <w:adjustRightInd w:val="0"/>
        <w:rPr>
          <w:rFonts w:ascii="Arial" w:hAnsi="Arial" w:cs="Arial"/>
          <w:bCs/>
          <w:szCs w:val="32"/>
        </w:rPr>
      </w:pPr>
    </w:p>
    <w:p w:rsidR="009730F3" w:rsidRDefault="009730F3" w:rsidP="009730F3">
      <w:pPr>
        <w:pStyle w:val="Paragraphedeliste"/>
        <w:numPr>
          <w:ilvl w:val="0"/>
          <w:numId w:val="4"/>
        </w:numPr>
        <w:autoSpaceDE w:val="0"/>
        <w:autoSpaceDN w:val="0"/>
        <w:adjustRightInd w:val="0"/>
        <w:rPr>
          <w:rFonts w:ascii="Arial" w:hAnsi="Arial" w:cs="Arial"/>
          <w:bCs/>
          <w:szCs w:val="32"/>
        </w:rPr>
      </w:pPr>
      <w:r w:rsidRPr="009730F3">
        <w:rPr>
          <w:rFonts w:ascii="Arial" w:hAnsi="Arial" w:cs="Arial"/>
          <w:bCs/>
          <w:szCs w:val="32"/>
        </w:rPr>
        <w:t>Analysez les principales évolutions du marché des crédits immobiliers depuis dix ans en France.</w:t>
      </w:r>
    </w:p>
    <w:p w:rsidR="009730F3" w:rsidRPr="009730F3" w:rsidRDefault="009730F3" w:rsidP="009730F3">
      <w:pPr>
        <w:autoSpaceDE w:val="0"/>
        <w:autoSpaceDN w:val="0"/>
        <w:adjustRightInd w:val="0"/>
        <w:rPr>
          <w:rFonts w:ascii="Arial" w:hAnsi="Arial" w:cs="Arial"/>
          <w:bCs/>
          <w:szCs w:val="32"/>
        </w:rPr>
      </w:pPr>
    </w:p>
    <w:p w:rsidR="009730F3" w:rsidRDefault="009730F3" w:rsidP="009730F3">
      <w:pPr>
        <w:pStyle w:val="Paragraphedeliste"/>
        <w:numPr>
          <w:ilvl w:val="0"/>
          <w:numId w:val="4"/>
        </w:numPr>
        <w:autoSpaceDE w:val="0"/>
        <w:autoSpaceDN w:val="0"/>
        <w:adjustRightInd w:val="0"/>
        <w:rPr>
          <w:rFonts w:ascii="Arial" w:hAnsi="Arial" w:cs="Arial"/>
          <w:bCs/>
          <w:szCs w:val="32"/>
        </w:rPr>
      </w:pPr>
      <w:r w:rsidRPr="009730F3">
        <w:rPr>
          <w:rFonts w:ascii="Arial" w:hAnsi="Arial" w:cs="Arial"/>
          <w:bCs/>
          <w:szCs w:val="32"/>
        </w:rPr>
        <w:t>Appréciez la relation entre le marché des crédits et le marché immobilier.</w:t>
      </w:r>
    </w:p>
    <w:p w:rsidR="009730F3" w:rsidRPr="009730F3" w:rsidRDefault="009730F3" w:rsidP="009730F3">
      <w:pPr>
        <w:pStyle w:val="Paragraphedeliste"/>
        <w:rPr>
          <w:rFonts w:ascii="Arial" w:hAnsi="Arial" w:cs="Arial"/>
          <w:bCs/>
          <w:szCs w:val="32"/>
        </w:rPr>
      </w:pPr>
    </w:p>
    <w:p w:rsidR="009730F3" w:rsidRPr="009730F3" w:rsidRDefault="009730F3" w:rsidP="009730F3">
      <w:pPr>
        <w:autoSpaceDE w:val="0"/>
        <w:autoSpaceDN w:val="0"/>
        <w:adjustRightInd w:val="0"/>
        <w:rPr>
          <w:rFonts w:ascii="Arial" w:hAnsi="Arial" w:cs="Arial"/>
          <w:bCs/>
          <w:szCs w:val="32"/>
        </w:rPr>
      </w:pPr>
    </w:p>
    <w:p w:rsidR="009730F3" w:rsidRDefault="009730F3" w:rsidP="009730F3">
      <w:pPr>
        <w:pStyle w:val="Paragraphedeliste"/>
        <w:numPr>
          <w:ilvl w:val="0"/>
          <w:numId w:val="4"/>
        </w:numPr>
        <w:autoSpaceDE w:val="0"/>
        <w:autoSpaceDN w:val="0"/>
        <w:adjustRightInd w:val="0"/>
        <w:rPr>
          <w:rFonts w:ascii="Arial" w:hAnsi="Arial" w:cs="Arial"/>
          <w:bCs/>
          <w:szCs w:val="32"/>
        </w:rPr>
      </w:pPr>
      <w:r w:rsidRPr="009730F3">
        <w:rPr>
          <w:rFonts w:ascii="Arial" w:hAnsi="Arial" w:cs="Arial"/>
          <w:bCs/>
          <w:szCs w:val="32"/>
        </w:rPr>
        <w:t>Présentez les moyens d'intervention à la disposition des pouvoirs publics pour soutenir l'activité immobilière.</w:t>
      </w:r>
    </w:p>
    <w:p w:rsidR="009730F3" w:rsidRPr="009730F3" w:rsidRDefault="009730F3" w:rsidP="009730F3">
      <w:pPr>
        <w:autoSpaceDE w:val="0"/>
        <w:autoSpaceDN w:val="0"/>
        <w:adjustRightInd w:val="0"/>
        <w:rPr>
          <w:rFonts w:ascii="Arial" w:hAnsi="Arial" w:cs="Arial"/>
          <w:bCs/>
          <w:szCs w:val="32"/>
        </w:rPr>
      </w:pPr>
    </w:p>
    <w:p w:rsidR="003D0C63" w:rsidRPr="009730F3" w:rsidRDefault="009730F3" w:rsidP="009730F3">
      <w:pPr>
        <w:pStyle w:val="Paragraphedeliste"/>
        <w:numPr>
          <w:ilvl w:val="0"/>
          <w:numId w:val="4"/>
        </w:numPr>
        <w:autoSpaceDE w:val="0"/>
        <w:autoSpaceDN w:val="0"/>
        <w:adjustRightInd w:val="0"/>
        <w:rPr>
          <w:rFonts w:ascii="Arial" w:hAnsi="Arial" w:cs="Arial"/>
          <w:bCs/>
          <w:szCs w:val="32"/>
        </w:rPr>
      </w:pPr>
      <w:r w:rsidRPr="009730F3">
        <w:rPr>
          <w:rFonts w:ascii="Arial" w:hAnsi="Arial" w:cs="Arial"/>
          <w:bCs/>
          <w:szCs w:val="32"/>
        </w:rPr>
        <w:t>L'augmentation de la dette publique peut-elle infléchir la dynamique du marché</w:t>
      </w:r>
      <w:r>
        <w:rPr>
          <w:rFonts w:ascii="Arial" w:hAnsi="Arial" w:cs="Arial"/>
          <w:bCs/>
          <w:szCs w:val="32"/>
        </w:rPr>
        <w:t xml:space="preserve"> </w:t>
      </w:r>
      <w:r w:rsidRPr="009730F3">
        <w:rPr>
          <w:rFonts w:ascii="Arial" w:hAnsi="Arial" w:cs="Arial"/>
          <w:bCs/>
          <w:szCs w:val="32"/>
        </w:rPr>
        <w:t>immobilier ?</w:t>
      </w:r>
    </w:p>
    <w:p w:rsidR="00C75734" w:rsidRDefault="00C75734" w:rsidP="003D0C63">
      <w:pPr>
        <w:autoSpaceDE w:val="0"/>
        <w:autoSpaceDN w:val="0"/>
        <w:adjustRightInd w:val="0"/>
        <w:rPr>
          <w:rFonts w:ascii="Arial" w:hAnsi="Arial" w:cs="Arial"/>
          <w:b/>
          <w:bCs/>
          <w:sz w:val="28"/>
          <w:szCs w:val="28"/>
        </w:rPr>
      </w:pPr>
    </w:p>
    <w:p w:rsidR="00C75734" w:rsidRDefault="00C75734" w:rsidP="003D0C63">
      <w:pPr>
        <w:autoSpaceDE w:val="0"/>
        <w:autoSpaceDN w:val="0"/>
        <w:adjustRightInd w:val="0"/>
        <w:rPr>
          <w:rFonts w:ascii="Arial" w:hAnsi="Arial" w:cs="Arial"/>
          <w:b/>
          <w:bCs/>
          <w:sz w:val="28"/>
          <w:szCs w:val="28"/>
        </w:rPr>
      </w:pPr>
    </w:p>
    <w:p w:rsidR="003D0C63" w:rsidRDefault="003D0C63" w:rsidP="003D0C63">
      <w:pPr>
        <w:autoSpaceDE w:val="0"/>
        <w:autoSpaceDN w:val="0"/>
        <w:adjustRightInd w:val="0"/>
        <w:rPr>
          <w:rFonts w:ascii="Arial" w:hAnsi="Arial" w:cs="Arial"/>
          <w:b/>
          <w:bCs/>
          <w:sz w:val="28"/>
          <w:szCs w:val="32"/>
        </w:rPr>
      </w:pPr>
      <w:r w:rsidRPr="003D0C63">
        <w:rPr>
          <w:rFonts w:ascii="Arial" w:hAnsi="Arial" w:cs="Arial"/>
          <w:b/>
          <w:bCs/>
          <w:sz w:val="28"/>
          <w:szCs w:val="32"/>
        </w:rPr>
        <w:t>DEUXIEME PARTIE: DEVELOPPEMENT STRUCTURE (10 points)</w:t>
      </w:r>
    </w:p>
    <w:p w:rsidR="003D0C63" w:rsidRPr="003D0C63" w:rsidRDefault="003D0C63" w:rsidP="003D0C63">
      <w:pPr>
        <w:autoSpaceDE w:val="0"/>
        <w:autoSpaceDN w:val="0"/>
        <w:adjustRightInd w:val="0"/>
        <w:rPr>
          <w:rFonts w:ascii="Arial" w:hAnsi="Arial" w:cs="Arial"/>
          <w:b/>
          <w:bCs/>
          <w:sz w:val="28"/>
          <w:szCs w:val="32"/>
        </w:rPr>
      </w:pPr>
    </w:p>
    <w:p w:rsidR="009730F3" w:rsidRDefault="009730F3" w:rsidP="009730F3">
      <w:pPr>
        <w:autoSpaceDE w:val="0"/>
        <w:autoSpaceDN w:val="0"/>
        <w:adjustRightInd w:val="0"/>
        <w:rPr>
          <w:rFonts w:ascii="Arial" w:hAnsi="Arial" w:cs="Arial"/>
          <w:bCs/>
          <w:szCs w:val="32"/>
        </w:rPr>
      </w:pPr>
      <w:r w:rsidRPr="009730F3">
        <w:rPr>
          <w:rFonts w:ascii="Arial" w:hAnsi="Arial" w:cs="Arial"/>
          <w:bCs/>
          <w:szCs w:val="32"/>
        </w:rPr>
        <w:t>Selon OSE0</w:t>
      </w:r>
      <w:r>
        <w:rPr>
          <w:rStyle w:val="Appelnotedebasdep"/>
          <w:rFonts w:ascii="Arial" w:hAnsi="Arial" w:cs="Arial"/>
          <w:bCs/>
          <w:szCs w:val="32"/>
        </w:rPr>
        <w:footnoteReference w:id="1"/>
      </w:r>
      <w:r w:rsidRPr="009730F3">
        <w:rPr>
          <w:rFonts w:ascii="Arial" w:hAnsi="Arial" w:cs="Arial"/>
          <w:bCs/>
          <w:szCs w:val="32"/>
        </w:rPr>
        <w:t xml:space="preserve">, </w:t>
      </w:r>
      <w:r w:rsidRPr="009730F3">
        <w:rPr>
          <w:rFonts w:ascii="Arial" w:hAnsi="Arial" w:cs="Arial"/>
          <w:bCs/>
          <w:i/>
          <w:szCs w:val="32"/>
        </w:rPr>
        <w:t>« L'innovation est une stratégie incontournable pour les entreprises même si le processus d'innovation reste complexe, car les échecs sont fréquents et onéreux »</w:t>
      </w:r>
      <w:r w:rsidRPr="009730F3">
        <w:rPr>
          <w:rFonts w:ascii="Arial" w:hAnsi="Arial" w:cs="Arial"/>
          <w:bCs/>
          <w:szCs w:val="32"/>
        </w:rPr>
        <w:t>.</w:t>
      </w:r>
    </w:p>
    <w:p w:rsidR="009730F3" w:rsidRDefault="009730F3" w:rsidP="009730F3">
      <w:pPr>
        <w:autoSpaceDE w:val="0"/>
        <w:autoSpaceDN w:val="0"/>
        <w:adjustRightInd w:val="0"/>
        <w:rPr>
          <w:rFonts w:ascii="Arial" w:hAnsi="Arial" w:cs="Arial"/>
          <w:bCs/>
          <w:szCs w:val="32"/>
        </w:rPr>
      </w:pPr>
    </w:p>
    <w:p w:rsidR="009730F3" w:rsidRDefault="009730F3" w:rsidP="009730F3">
      <w:pPr>
        <w:autoSpaceDE w:val="0"/>
        <w:autoSpaceDN w:val="0"/>
        <w:adjustRightInd w:val="0"/>
        <w:rPr>
          <w:rFonts w:ascii="Arial" w:hAnsi="Arial" w:cs="Arial"/>
          <w:bCs/>
          <w:szCs w:val="32"/>
        </w:rPr>
      </w:pPr>
      <w:r w:rsidRPr="009730F3">
        <w:rPr>
          <w:rFonts w:ascii="Arial" w:hAnsi="Arial" w:cs="Arial"/>
          <w:bCs/>
          <w:szCs w:val="32"/>
        </w:rPr>
        <w:t>A l'aide de vos connaissances et dans un développement structuré, comportant une</w:t>
      </w:r>
      <w:r>
        <w:rPr>
          <w:rFonts w:ascii="Arial" w:hAnsi="Arial" w:cs="Arial"/>
          <w:bCs/>
          <w:szCs w:val="32"/>
        </w:rPr>
        <w:t xml:space="preserve"> </w:t>
      </w:r>
      <w:r w:rsidRPr="009730F3">
        <w:rPr>
          <w:rFonts w:ascii="Arial" w:hAnsi="Arial" w:cs="Arial"/>
          <w:bCs/>
          <w:szCs w:val="32"/>
        </w:rPr>
        <w:t>introduction et une conclusion, vous répondrez aux questions suivantes :</w:t>
      </w:r>
      <w:r>
        <w:rPr>
          <w:rFonts w:ascii="Arial" w:hAnsi="Arial" w:cs="Arial"/>
          <w:bCs/>
          <w:szCs w:val="32"/>
        </w:rPr>
        <w:t xml:space="preserve"> </w:t>
      </w:r>
    </w:p>
    <w:p w:rsidR="009730F3" w:rsidRDefault="009730F3" w:rsidP="009730F3">
      <w:pPr>
        <w:autoSpaceDE w:val="0"/>
        <w:autoSpaceDN w:val="0"/>
        <w:adjustRightInd w:val="0"/>
        <w:rPr>
          <w:rFonts w:ascii="Arial" w:hAnsi="Arial" w:cs="Arial"/>
          <w:bCs/>
          <w:szCs w:val="32"/>
        </w:rPr>
      </w:pPr>
    </w:p>
    <w:p w:rsidR="009730F3" w:rsidRDefault="009730F3" w:rsidP="009730F3">
      <w:pPr>
        <w:autoSpaceDE w:val="0"/>
        <w:autoSpaceDN w:val="0"/>
        <w:adjustRightInd w:val="0"/>
        <w:rPr>
          <w:rFonts w:ascii="Arial" w:hAnsi="Arial" w:cs="Arial"/>
          <w:bCs/>
          <w:szCs w:val="32"/>
        </w:rPr>
      </w:pPr>
    </w:p>
    <w:p w:rsidR="003D0C63" w:rsidRPr="009730F3" w:rsidRDefault="009730F3" w:rsidP="009730F3">
      <w:pPr>
        <w:autoSpaceDE w:val="0"/>
        <w:autoSpaceDN w:val="0"/>
        <w:adjustRightInd w:val="0"/>
        <w:jc w:val="center"/>
        <w:rPr>
          <w:rFonts w:ascii="Arial" w:hAnsi="Arial" w:cs="Arial"/>
          <w:b/>
          <w:bCs/>
          <w:sz w:val="20"/>
          <w:szCs w:val="32"/>
        </w:rPr>
      </w:pPr>
      <w:r w:rsidRPr="009730F3">
        <w:rPr>
          <w:rFonts w:ascii="Arial" w:hAnsi="Arial" w:cs="Arial"/>
          <w:b/>
          <w:bCs/>
          <w:sz w:val="20"/>
          <w:szCs w:val="32"/>
        </w:rPr>
        <w:t>« Pour quelles raisons une politique d'innovation est essentielle pour les entreprises et quelles sont les conditions de sa réussite ? »</w:t>
      </w:r>
    </w:p>
    <w:p w:rsidR="00C75734" w:rsidRDefault="00C75734" w:rsidP="00C75734">
      <w:pPr>
        <w:autoSpaceDE w:val="0"/>
        <w:autoSpaceDN w:val="0"/>
        <w:adjustRightInd w:val="0"/>
        <w:spacing w:line="480" w:lineRule="auto"/>
        <w:rPr>
          <w:rFonts w:ascii="Arial" w:hAnsi="Arial" w:cs="Arial"/>
        </w:rPr>
      </w:pPr>
    </w:p>
    <w:p w:rsidR="00C75734" w:rsidRDefault="00C75734" w:rsidP="00C75734">
      <w:pPr>
        <w:autoSpaceDE w:val="0"/>
        <w:autoSpaceDN w:val="0"/>
        <w:adjustRightInd w:val="0"/>
        <w:spacing w:line="480" w:lineRule="auto"/>
        <w:rPr>
          <w:rFonts w:ascii="Arial" w:hAnsi="Arial" w:cs="Arial"/>
        </w:rPr>
      </w:pPr>
    </w:p>
    <w:p w:rsidR="00C75734" w:rsidRDefault="00C75734" w:rsidP="00C75734">
      <w:pPr>
        <w:autoSpaceDE w:val="0"/>
        <w:autoSpaceDN w:val="0"/>
        <w:adjustRightInd w:val="0"/>
        <w:spacing w:line="480" w:lineRule="auto"/>
        <w:rPr>
          <w:rFonts w:ascii="Arial" w:hAnsi="Arial" w:cs="Arial"/>
        </w:rPr>
      </w:pPr>
    </w:p>
    <w:p w:rsidR="00C75734" w:rsidRDefault="00C75734" w:rsidP="00C75734">
      <w:pPr>
        <w:autoSpaceDE w:val="0"/>
        <w:autoSpaceDN w:val="0"/>
        <w:adjustRightInd w:val="0"/>
        <w:spacing w:line="480" w:lineRule="auto"/>
        <w:rPr>
          <w:rFonts w:ascii="Arial" w:hAnsi="Arial" w:cs="Arial"/>
        </w:rPr>
      </w:pPr>
    </w:p>
    <w:p w:rsidR="00C75734" w:rsidRDefault="00C75734" w:rsidP="00C75734">
      <w:pPr>
        <w:autoSpaceDE w:val="0"/>
        <w:autoSpaceDN w:val="0"/>
        <w:adjustRightInd w:val="0"/>
        <w:spacing w:line="480" w:lineRule="auto"/>
        <w:rPr>
          <w:rFonts w:ascii="Arial" w:hAnsi="Arial" w:cs="Arial"/>
        </w:rPr>
      </w:pPr>
    </w:p>
    <w:p w:rsidR="00876B33" w:rsidRDefault="003D0C63" w:rsidP="003D0C63">
      <w:pPr>
        <w:rPr>
          <w:rFonts w:ascii="Arial" w:hAnsi="Arial" w:cs="Arial"/>
          <w:b/>
          <w:bCs/>
          <w:sz w:val="28"/>
          <w:szCs w:val="32"/>
          <w:u w:val="single"/>
        </w:rPr>
      </w:pPr>
      <w:r>
        <w:rPr>
          <w:rFonts w:ascii="Arial" w:hAnsi="Arial" w:cs="Arial"/>
          <w:b/>
          <w:bCs/>
          <w:sz w:val="28"/>
          <w:szCs w:val="32"/>
          <w:u w:val="single"/>
        </w:rPr>
        <w:br w:type="page"/>
      </w:r>
    </w:p>
    <w:p w:rsidR="003D0C63" w:rsidRPr="009730F3" w:rsidRDefault="003D0C63" w:rsidP="003D0C63">
      <w:pPr>
        <w:rPr>
          <w:rFonts w:ascii="Arial" w:hAnsi="Arial" w:cs="Arial"/>
          <w:b/>
          <w:bCs/>
          <w:szCs w:val="22"/>
        </w:rPr>
      </w:pPr>
      <w:r w:rsidRPr="009730F3">
        <w:rPr>
          <w:rFonts w:ascii="Arial" w:hAnsi="Arial" w:cs="Arial"/>
          <w:b/>
          <w:bCs/>
          <w:szCs w:val="22"/>
        </w:rPr>
        <w:lastRenderedPageBreak/>
        <w:t xml:space="preserve">Annexe 1 : </w:t>
      </w:r>
      <w:r w:rsidR="009730F3" w:rsidRPr="009730F3">
        <w:rPr>
          <w:rFonts w:ascii="Arial" w:hAnsi="Arial" w:cs="Arial"/>
          <w:b/>
          <w:bCs/>
          <w:szCs w:val="22"/>
        </w:rPr>
        <w:t>Le marché des crédits immobiliers</w:t>
      </w:r>
    </w:p>
    <w:p w:rsidR="003D0C63" w:rsidRPr="009730F3" w:rsidRDefault="003D0C63" w:rsidP="003D0C63">
      <w:pPr>
        <w:rPr>
          <w:rFonts w:ascii="Arial" w:hAnsi="Arial" w:cs="Arial"/>
          <w:b/>
          <w:bCs/>
          <w:sz w:val="22"/>
          <w:szCs w:val="22"/>
        </w:rPr>
      </w:pPr>
    </w:p>
    <w:p w:rsidR="009730F3" w:rsidRPr="009730F3" w:rsidRDefault="009730F3" w:rsidP="009730F3">
      <w:pPr>
        <w:autoSpaceDE w:val="0"/>
        <w:autoSpaceDN w:val="0"/>
        <w:adjustRightInd w:val="0"/>
        <w:rPr>
          <w:rFonts w:ascii="Arial" w:hAnsi="Arial" w:cs="Arial"/>
          <w:i/>
          <w:iCs/>
          <w:sz w:val="22"/>
          <w:szCs w:val="22"/>
        </w:rPr>
      </w:pPr>
      <w:r w:rsidRPr="009730F3">
        <w:rPr>
          <w:rFonts w:ascii="Arial" w:hAnsi="Arial" w:cs="Arial"/>
          <w:i/>
          <w:iCs/>
          <w:sz w:val="22"/>
          <w:szCs w:val="22"/>
        </w:rPr>
        <w:t>Evolution des taux des crédits aux particuliers (2001-2011)</w:t>
      </w:r>
    </w:p>
    <w:p w:rsidR="009730F3" w:rsidRPr="009730F3" w:rsidRDefault="009730F3" w:rsidP="009730F3">
      <w:pPr>
        <w:rPr>
          <w:rFonts w:ascii="Arial" w:hAnsi="Arial" w:cs="Arial"/>
          <w:sz w:val="22"/>
          <w:szCs w:val="22"/>
        </w:rPr>
      </w:pPr>
    </w:p>
    <w:p w:rsidR="009730F3" w:rsidRPr="009730F3" w:rsidRDefault="009730F3" w:rsidP="009730F3">
      <w:pPr>
        <w:rPr>
          <w:rFonts w:ascii="Arial" w:hAnsi="Arial" w:cs="Arial"/>
          <w:sz w:val="22"/>
          <w:szCs w:val="22"/>
        </w:rPr>
      </w:pPr>
    </w:p>
    <w:p w:rsidR="003D0C63" w:rsidRPr="009730F3" w:rsidRDefault="009730F3" w:rsidP="009730F3">
      <w:pPr>
        <w:rPr>
          <w:rFonts w:ascii="Arial" w:hAnsi="Arial" w:cs="Arial"/>
          <w:sz w:val="22"/>
          <w:szCs w:val="22"/>
        </w:rPr>
      </w:pPr>
      <w:r w:rsidRPr="009730F3">
        <w:rPr>
          <w:rFonts w:ascii="Arial" w:hAnsi="Arial" w:cs="Arial"/>
          <w:sz w:val="22"/>
          <w:szCs w:val="22"/>
        </w:rPr>
        <w:t>Taux d'intérêt(%)</w:t>
      </w:r>
    </w:p>
    <w:p w:rsidR="009730F3" w:rsidRPr="009730F3" w:rsidRDefault="009730F3" w:rsidP="009730F3">
      <w:pPr>
        <w:rPr>
          <w:rFonts w:ascii="Arial" w:hAnsi="Arial" w:cs="Arial"/>
          <w:sz w:val="22"/>
          <w:szCs w:val="22"/>
        </w:rPr>
      </w:pPr>
    </w:p>
    <w:p w:rsidR="009730F3" w:rsidRPr="009730F3" w:rsidRDefault="009730F3" w:rsidP="009730F3">
      <w:pPr>
        <w:rPr>
          <w:rFonts w:ascii="Arial" w:hAnsi="Arial" w:cs="Arial"/>
          <w:bCs/>
          <w:sz w:val="22"/>
          <w:szCs w:val="22"/>
        </w:rPr>
      </w:pPr>
      <w:r w:rsidRPr="009730F3">
        <w:rPr>
          <w:rFonts w:ascii="Arial" w:hAnsi="Arial" w:cs="Arial"/>
          <w:bCs/>
          <w:noProof/>
          <w:sz w:val="22"/>
          <w:szCs w:val="22"/>
        </w:rPr>
        <w:drawing>
          <wp:inline distT="0" distB="0" distL="0" distR="0" wp14:anchorId="41310422" wp14:editId="10786392">
            <wp:extent cx="5760720" cy="3331958"/>
            <wp:effectExtent l="0" t="0" r="0" b="1905"/>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3331958"/>
                    </a:xfrm>
                    <a:prstGeom prst="rect">
                      <a:avLst/>
                    </a:prstGeom>
                    <a:noFill/>
                    <a:ln>
                      <a:noFill/>
                    </a:ln>
                  </pic:spPr>
                </pic:pic>
              </a:graphicData>
            </a:graphic>
          </wp:inline>
        </w:drawing>
      </w:r>
    </w:p>
    <w:p w:rsidR="009730F3" w:rsidRPr="009730F3" w:rsidRDefault="009730F3" w:rsidP="009730F3">
      <w:pPr>
        <w:jc w:val="right"/>
        <w:rPr>
          <w:rFonts w:ascii="Arial" w:hAnsi="Arial" w:cs="Arial"/>
          <w:bCs/>
          <w:sz w:val="22"/>
          <w:szCs w:val="22"/>
        </w:rPr>
      </w:pPr>
      <w:r w:rsidRPr="009730F3">
        <w:rPr>
          <w:rFonts w:ascii="Arial" w:hAnsi="Arial" w:cs="Arial"/>
          <w:i/>
          <w:iCs/>
          <w:sz w:val="22"/>
          <w:szCs w:val="22"/>
        </w:rPr>
        <w:t>Source: L'observatoire Crédit Logement/CSA</w:t>
      </w:r>
    </w:p>
    <w:p w:rsidR="00876B33" w:rsidRDefault="00876B33" w:rsidP="003D0C63">
      <w:pPr>
        <w:rPr>
          <w:rFonts w:ascii="Arial" w:hAnsi="Arial" w:cs="Arial"/>
          <w:bCs/>
          <w:szCs w:val="32"/>
        </w:rPr>
      </w:pPr>
    </w:p>
    <w:p w:rsidR="003D0C63" w:rsidRPr="009730F3" w:rsidRDefault="009730F3" w:rsidP="003D0C63">
      <w:pPr>
        <w:rPr>
          <w:rFonts w:ascii="Arial" w:hAnsi="Arial" w:cs="Arial"/>
          <w:b/>
          <w:bCs/>
          <w:sz w:val="22"/>
          <w:szCs w:val="32"/>
        </w:rPr>
      </w:pPr>
      <w:r w:rsidRPr="009730F3">
        <w:rPr>
          <w:rFonts w:ascii="Arial" w:hAnsi="Arial" w:cs="Arial"/>
          <w:b/>
          <w:bCs/>
          <w:sz w:val="22"/>
          <w:szCs w:val="32"/>
        </w:rPr>
        <w:t>Evolution de la structure en% de la production de crédits immobiliers (2001-2011)</w:t>
      </w:r>
    </w:p>
    <w:p w:rsidR="003D0C63" w:rsidRPr="003D0C63" w:rsidRDefault="003D0C63" w:rsidP="003D0C63">
      <w:pPr>
        <w:rPr>
          <w:rFonts w:ascii="Arial" w:hAnsi="Arial" w:cs="Arial"/>
          <w:b/>
          <w:bCs/>
          <w:szCs w:val="32"/>
        </w:rPr>
      </w:pPr>
    </w:p>
    <w:tbl>
      <w:tblPr>
        <w:tblStyle w:val="Grilledutableau"/>
        <w:tblW w:w="8400" w:type="dxa"/>
        <w:tblLook w:val="04A0" w:firstRow="1" w:lastRow="0" w:firstColumn="1" w:lastColumn="0" w:noHBand="0" w:noVBand="1"/>
      </w:tblPr>
      <w:tblGrid>
        <w:gridCol w:w="1276"/>
        <w:gridCol w:w="1200"/>
        <w:gridCol w:w="1200"/>
        <w:gridCol w:w="1200"/>
        <w:gridCol w:w="1200"/>
        <w:gridCol w:w="1200"/>
        <w:gridCol w:w="1200"/>
      </w:tblGrid>
      <w:tr w:rsidR="009730F3" w:rsidRPr="009730F3" w:rsidTr="009730F3">
        <w:trPr>
          <w:trHeight w:val="300"/>
        </w:trPr>
        <w:tc>
          <w:tcPr>
            <w:tcW w:w="1200" w:type="dxa"/>
            <w:noWrap/>
            <w:vAlign w:val="center"/>
            <w:hideMark/>
          </w:tcPr>
          <w:p w:rsidR="009730F3" w:rsidRPr="009730F3" w:rsidRDefault="009730F3" w:rsidP="009730F3">
            <w:pPr>
              <w:jc w:val="center"/>
              <w:rPr>
                <w:rFonts w:ascii="Arial" w:hAnsi="Arial" w:cs="Arial"/>
              </w:rPr>
            </w:pPr>
            <w:r w:rsidRPr="009730F3">
              <w:rPr>
                <w:rFonts w:ascii="Arial" w:hAnsi="Arial" w:cs="Arial"/>
              </w:rPr>
              <w:t>Durée d'emprunt</w:t>
            </w:r>
          </w:p>
          <w:p w:rsidR="009730F3" w:rsidRPr="009730F3" w:rsidRDefault="009730F3" w:rsidP="009730F3">
            <w:pPr>
              <w:jc w:val="center"/>
              <w:rPr>
                <w:rFonts w:ascii="Arial" w:hAnsi="Arial" w:cs="Arial"/>
                <w:color w:val="000000"/>
              </w:rPr>
            </w:pPr>
            <w:r w:rsidRPr="009730F3">
              <w:rPr>
                <w:rFonts w:ascii="Arial" w:hAnsi="Arial" w:cs="Arial"/>
              </w:rPr>
              <w:t>Années</w:t>
            </w:r>
          </w:p>
        </w:tc>
        <w:tc>
          <w:tcPr>
            <w:tcW w:w="1200" w:type="dxa"/>
            <w:noWrap/>
            <w:vAlign w:val="center"/>
            <w:hideMark/>
          </w:tcPr>
          <w:p w:rsidR="009730F3" w:rsidRPr="009730F3" w:rsidRDefault="009730F3" w:rsidP="009730F3">
            <w:pPr>
              <w:jc w:val="center"/>
              <w:rPr>
                <w:rFonts w:ascii="Arial" w:hAnsi="Arial" w:cs="Arial"/>
              </w:rPr>
            </w:pPr>
            <w:r w:rsidRPr="009730F3">
              <w:rPr>
                <w:rFonts w:ascii="Arial" w:hAnsi="Arial" w:cs="Arial"/>
              </w:rPr>
              <w:t xml:space="preserve">moins de </w:t>
            </w:r>
            <w:r w:rsidRPr="009730F3">
              <w:rPr>
                <w:rFonts w:ascii="Arial" w:hAnsi="Arial" w:cs="Arial"/>
                <w:color w:val="000000"/>
              </w:rPr>
              <w:t>10 ans</w:t>
            </w:r>
          </w:p>
        </w:tc>
        <w:tc>
          <w:tcPr>
            <w:tcW w:w="1200" w:type="dxa"/>
            <w:noWrap/>
            <w:vAlign w:val="center"/>
            <w:hideMark/>
          </w:tcPr>
          <w:p w:rsidR="009730F3" w:rsidRPr="009730F3" w:rsidRDefault="009730F3" w:rsidP="009730F3">
            <w:pPr>
              <w:jc w:val="center"/>
              <w:rPr>
                <w:rFonts w:ascii="Arial" w:hAnsi="Arial" w:cs="Arial"/>
                <w:color w:val="000000"/>
              </w:rPr>
            </w:pPr>
            <w:r w:rsidRPr="009730F3">
              <w:rPr>
                <w:rFonts w:ascii="Arial" w:hAnsi="Arial" w:cs="Arial"/>
              </w:rPr>
              <w:t>10 à 15</w:t>
            </w:r>
            <w:r w:rsidRPr="009730F3">
              <w:rPr>
                <w:rFonts w:ascii="Arial" w:hAnsi="Arial" w:cs="Arial"/>
                <w:color w:val="000000"/>
              </w:rPr>
              <w:t xml:space="preserve">  ans</w:t>
            </w:r>
          </w:p>
        </w:tc>
        <w:tc>
          <w:tcPr>
            <w:tcW w:w="1200" w:type="dxa"/>
            <w:noWrap/>
            <w:vAlign w:val="center"/>
            <w:hideMark/>
          </w:tcPr>
          <w:p w:rsidR="009730F3" w:rsidRPr="009730F3" w:rsidRDefault="009730F3" w:rsidP="009730F3">
            <w:pPr>
              <w:jc w:val="center"/>
              <w:rPr>
                <w:rFonts w:ascii="Arial" w:hAnsi="Arial" w:cs="Arial"/>
                <w:color w:val="000000"/>
              </w:rPr>
            </w:pPr>
            <w:r w:rsidRPr="009730F3">
              <w:rPr>
                <w:rFonts w:ascii="Arial" w:hAnsi="Arial" w:cs="Arial"/>
              </w:rPr>
              <w:t>15 à 20</w:t>
            </w:r>
            <w:r w:rsidRPr="009730F3">
              <w:rPr>
                <w:rFonts w:ascii="Arial" w:hAnsi="Arial" w:cs="Arial"/>
                <w:color w:val="000000"/>
              </w:rPr>
              <w:t xml:space="preserve"> ans</w:t>
            </w:r>
          </w:p>
        </w:tc>
        <w:tc>
          <w:tcPr>
            <w:tcW w:w="1200" w:type="dxa"/>
            <w:noWrap/>
            <w:vAlign w:val="center"/>
            <w:hideMark/>
          </w:tcPr>
          <w:p w:rsidR="009730F3" w:rsidRPr="009730F3" w:rsidRDefault="009730F3" w:rsidP="009730F3">
            <w:pPr>
              <w:jc w:val="center"/>
              <w:rPr>
                <w:rFonts w:ascii="Arial" w:hAnsi="Arial" w:cs="Arial"/>
                <w:color w:val="000000"/>
              </w:rPr>
            </w:pPr>
            <w:r w:rsidRPr="009730F3">
              <w:rPr>
                <w:rFonts w:ascii="Arial" w:hAnsi="Arial" w:cs="Arial"/>
                <w:color w:val="000000"/>
              </w:rPr>
              <w:t>20 à 25 ans</w:t>
            </w:r>
          </w:p>
        </w:tc>
        <w:tc>
          <w:tcPr>
            <w:tcW w:w="1200" w:type="dxa"/>
            <w:noWrap/>
            <w:vAlign w:val="center"/>
            <w:hideMark/>
          </w:tcPr>
          <w:p w:rsidR="009730F3" w:rsidRPr="009730F3" w:rsidRDefault="009730F3" w:rsidP="009730F3">
            <w:pPr>
              <w:jc w:val="center"/>
              <w:rPr>
                <w:rFonts w:ascii="Arial" w:hAnsi="Arial" w:cs="Arial"/>
                <w:color w:val="000000"/>
              </w:rPr>
            </w:pPr>
            <w:r w:rsidRPr="009730F3">
              <w:rPr>
                <w:rFonts w:ascii="Arial" w:hAnsi="Arial" w:cs="Arial"/>
              </w:rPr>
              <w:t>25 à 30</w:t>
            </w:r>
            <w:r w:rsidRPr="009730F3">
              <w:rPr>
                <w:rFonts w:ascii="Arial" w:hAnsi="Arial" w:cs="Arial"/>
                <w:color w:val="000000"/>
              </w:rPr>
              <w:t xml:space="preserve">  ans</w:t>
            </w:r>
          </w:p>
        </w:tc>
        <w:tc>
          <w:tcPr>
            <w:tcW w:w="1200" w:type="dxa"/>
            <w:noWrap/>
            <w:vAlign w:val="center"/>
            <w:hideMark/>
          </w:tcPr>
          <w:p w:rsidR="009730F3" w:rsidRPr="009730F3" w:rsidRDefault="009730F3" w:rsidP="009730F3">
            <w:pPr>
              <w:jc w:val="center"/>
              <w:rPr>
                <w:rFonts w:ascii="Arial" w:hAnsi="Arial" w:cs="Arial"/>
                <w:color w:val="000000"/>
              </w:rPr>
            </w:pPr>
            <w:r w:rsidRPr="009730F3">
              <w:rPr>
                <w:rFonts w:ascii="Arial" w:hAnsi="Arial" w:cs="Arial"/>
              </w:rPr>
              <w:t>30 ans et plus</w:t>
            </w:r>
          </w:p>
        </w:tc>
      </w:tr>
      <w:tr w:rsidR="009730F3" w:rsidRPr="009730F3" w:rsidTr="009730F3">
        <w:trPr>
          <w:trHeight w:val="300"/>
        </w:trPr>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2001</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11,6</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26,7</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45,3</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15,6</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0,7</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0,1</w:t>
            </w:r>
          </w:p>
        </w:tc>
      </w:tr>
      <w:tr w:rsidR="009730F3" w:rsidRPr="009730F3" w:rsidTr="009730F3">
        <w:trPr>
          <w:trHeight w:val="300"/>
        </w:trPr>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2002</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10,8</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23,8</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42,4</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21,8</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1,1</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0,1</w:t>
            </w:r>
          </w:p>
        </w:tc>
      </w:tr>
      <w:tr w:rsidR="009730F3" w:rsidRPr="009730F3" w:rsidTr="009730F3">
        <w:trPr>
          <w:trHeight w:val="300"/>
        </w:trPr>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2003</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9,5</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21,9</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38,5</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27,7</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2,3</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0,1</w:t>
            </w:r>
          </w:p>
        </w:tc>
      </w:tr>
      <w:tr w:rsidR="009730F3" w:rsidRPr="009730F3" w:rsidTr="009730F3">
        <w:trPr>
          <w:trHeight w:val="300"/>
        </w:trPr>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2004</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9,6</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20,1</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33,6</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30,7</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5,9</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0,1</w:t>
            </w:r>
          </w:p>
        </w:tc>
      </w:tr>
      <w:tr w:rsidR="009730F3" w:rsidRPr="009730F3" w:rsidTr="009730F3">
        <w:trPr>
          <w:trHeight w:val="300"/>
        </w:trPr>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2005</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6,5</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16,3</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30,1</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30,7</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16,2</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0,2</w:t>
            </w:r>
          </w:p>
        </w:tc>
      </w:tr>
      <w:tr w:rsidR="009730F3" w:rsidRPr="009730F3" w:rsidTr="009730F3">
        <w:trPr>
          <w:trHeight w:val="300"/>
        </w:trPr>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2006</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3,9</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13</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26,9</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31,1</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24,2</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0,9</w:t>
            </w:r>
          </w:p>
        </w:tc>
      </w:tr>
      <w:tr w:rsidR="009730F3" w:rsidRPr="009730F3" w:rsidTr="009730F3">
        <w:trPr>
          <w:trHeight w:val="300"/>
        </w:trPr>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2007</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3,4</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11</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22,4</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30,5</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29,1</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3,6</w:t>
            </w:r>
          </w:p>
        </w:tc>
      </w:tr>
      <w:tr w:rsidR="009730F3" w:rsidRPr="009730F3" w:rsidTr="009730F3">
        <w:trPr>
          <w:trHeight w:val="300"/>
        </w:trPr>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2008</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3,7</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12,3</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23,2</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31,3</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26,7</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2,8</w:t>
            </w:r>
          </w:p>
        </w:tc>
      </w:tr>
      <w:tr w:rsidR="009730F3" w:rsidRPr="009730F3" w:rsidTr="009730F3">
        <w:trPr>
          <w:trHeight w:val="300"/>
        </w:trPr>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2009</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4,4</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13,5</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25,6</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30</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25,4</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1,1</w:t>
            </w:r>
          </w:p>
        </w:tc>
      </w:tr>
      <w:tr w:rsidR="009730F3" w:rsidRPr="009730F3" w:rsidTr="009730F3">
        <w:trPr>
          <w:trHeight w:val="300"/>
        </w:trPr>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2010</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4,7</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15,4</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26,4</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29</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23,5</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1</w:t>
            </w:r>
          </w:p>
        </w:tc>
      </w:tr>
      <w:tr w:rsidR="009730F3" w:rsidRPr="009730F3" w:rsidTr="009730F3">
        <w:trPr>
          <w:trHeight w:val="300"/>
        </w:trPr>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sept-11</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4,9</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15,7</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24,4</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29,4</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24,4</w:t>
            </w:r>
          </w:p>
        </w:tc>
        <w:tc>
          <w:tcPr>
            <w:tcW w:w="1200" w:type="dxa"/>
            <w:noWrap/>
            <w:hideMark/>
          </w:tcPr>
          <w:p w:rsidR="009730F3" w:rsidRPr="009730F3" w:rsidRDefault="009730F3">
            <w:pPr>
              <w:jc w:val="right"/>
              <w:rPr>
                <w:rFonts w:ascii="Arial" w:hAnsi="Arial" w:cs="Arial"/>
                <w:color w:val="000000"/>
              </w:rPr>
            </w:pPr>
            <w:r w:rsidRPr="009730F3">
              <w:rPr>
                <w:rFonts w:ascii="Arial" w:hAnsi="Arial" w:cs="Arial"/>
                <w:color w:val="000000"/>
              </w:rPr>
              <w:t>1,2</w:t>
            </w:r>
          </w:p>
        </w:tc>
      </w:tr>
    </w:tbl>
    <w:p w:rsidR="00E761CE" w:rsidRDefault="00E761CE" w:rsidP="003D0C63">
      <w:pPr>
        <w:rPr>
          <w:rFonts w:ascii="Arial" w:hAnsi="Arial" w:cs="Arial"/>
          <w:bCs/>
          <w:szCs w:val="32"/>
        </w:rPr>
      </w:pPr>
    </w:p>
    <w:p w:rsidR="00876B33" w:rsidRDefault="00876B33" w:rsidP="003D0C63">
      <w:pPr>
        <w:rPr>
          <w:rFonts w:ascii="Arial" w:hAnsi="Arial" w:cs="Arial"/>
          <w:bCs/>
          <w:szCs w:val="32"/>
        </w:rPr>
      </w:pPr>
    </w:p>
    <w:p w:rsidR="009730F3" w:rsidRDefault="009730F3">
      <w:pPr>
        <w:rPr>
          <w:rFonts w:ascii="Arial" w:hAnsi="Arial" w:cs="Arial"/>
          <w:b/>
          <w:bCs/>
          <w:szCs w:val="32"/>
        </w:rPr>
      </w:pPr>
      <w:r>
        <w:rPr>
          <w:rFonts w:ascii="Arial" w:hAnsi="Arial" w:cs="Arial"/>
          <w:b/>
          <w:bCs/>
          <w:szCs w:val="32"/>
        </w:rPr>
        <w:br w:type="page"/>
      </w:r>
    </w:p>
    <w:p w:rsidR="00E761CE" w:rsidRDefault="009730F3" w:rsidP="00E761CE">
      <w:pPr>
        <w:rPr>
          <w:rFonts w:ascii="Arial" w:hAnsi="Arial" w:cs="Arial"/>
          <w:b/>
          <w:bCs/>
          <w:szCs w:val="32"/>
        </w:rPr>
      </w:pPr>
      <w:r w:rsidRPr="009730F3">
        <w:rPr>
          <w:rFonts w:ascii="Arial" w:hAnsi="Arial" w:cs="Arial"/>
          <w:b/>
          <w:bCs/>
          <w:szCs w:val="32"/>
        </w:rPr>
        <w:lastRenderedPageBreak/>
        <w:t>Evolution de la durée moyenne d'un crédit</w:t>
      </w:r>
    </w:p>
    <w:p w:rsidR="009730F3" w:rsidRDefault="009730F3" w:rsidP="00E761CE">
      <w:pPr>
        <w:rPr>
          <w:rFonts w:ascii="Arial" w:hAnsi="Arial" w:cs="Arial"/>
          <w:b/>
          <w:bCs/>
          <w:szCs w:val="32"/>
        </w:rPr>
      </w:pPr>
    </w:p>
    <w:p w:rsidR="009730F3" w:rsidRDefault="009730F3" w:rsidP="00E761CE">
      <w:pPr>
        <w:rPr>
          <w:rFonts w:ascii="Arial" w:hAnsi="Arial" w:cs="Arial"/>
          <w:b/>
          <w:bCs/>
          <w:szCs w:val="32"/>
        </w:rPr>
      </w:pPr>
      <w:r>
        <w:rPr>
          <w:rFonts w:ascii="Arial" w:hAnsi="Arial" w:cs="Arial"/>
          <w:b/>
          <w:bCs/>
          <w:noProof/>
          <w:szCs w:val="32"/>
        </w:rPr>
        <w:drawing>
          <wp:inline distT="0" distB="0" distL="0" distR="0">
            <wp:extent cx="5760720" cy="2703250"/>
            <wp:effectExtent l="0" t="0" r="0" b="190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2703250"/>
                    </a:xfrm>
                    <a:prstGeom prst="rect">
                      <a:avLst/>
                    </a:prstGeom>
                    <a:noFill/>
                    <a:ln>
                      <a:noFill/>
                    </a:ln>
                  </pic:spPr>
                </pic:pic>
              </a:graphicData>
            </a:graphic>
          </wp:inline>
        </w:drawing>
      </w:r>
    </w:p>
    <w:p w:rsidR="009730F3" w:rsidRPr="00E761CE" w:rsidRDefault="009730F3" w:rsidP="009730F3">
      <w:pPr>
        <w:jc w:val="right"/>
        <w:rPr>
          <w:rFonts w:ascii="Arial" w:hAnsi="Arial" w:cs="Arial"/>
          <w:b/>
          <w:bCs/>
          <w:szCs w:val="32"/>
        </w:rPr>
      </w:pPr>
      <w:r>
        <w:rPr>
          <w:rFonts w:ascii="Arial" w:hAnsi="Arial" w:cs="Arial"/>
          <w:i/>
          <w:iCs/>
          <w:sz w:val="23"/>
          <w:szCs w:val="23"/>
        </w:rPr>
        <w:t>Source : L'observatoire Crédit Logement/CSA</w:t>
      </w:r>
    </w:p>
    <w:p w:rsidR="009730F3" w:rsidRDefault="009730F3" w:rsidP="00E761CE">
      <w:pPr>
        <w:autoSpaceDE w:val="0"/>
        <w:autoSpaceDN w:val="0"/>
        <w:adjustRightInd w:val="0"/>
        <w:rPr>
          <w:rFonts w:ascii="Arial" w:hAnsi="Arial" w:cs="Arial"/>
          <w:bCs/>
          <w:sz w:val="22"/>
          <w:szCs w:val="22"/>
        </w:rPr>
      </w:pPr>
    </w:p>
    <w:p w:rsidR="00E761CE" w:rsidRDefault="00E761CE" w:rsidP="00E761CE">
      <w:pPr>
        <w:autoSpaceDE w:val="0"/>
        <w:autoSpaceDN w:val="0"/>
        <w:adjustRightInd w:val="0"/>
        <w:rPr>
          <w:rFonts w:ascii="Arial" w:hAnsi="Arial" w:cs="Arial"/>
          <w:sz w:val="22"/>
          <w:szCs w:val="22"/>
        </w:rPr>
      </w:pPr>
    </w:p>
    <w:p w:rsidR="00075DB6" w:rsidRDefault="00075DB6" w:rsidP="00E761CE">
      <w:pPr>
        <w:autoSpaceDE w:val="0"/>
        <w:autoSpaceDN w:val="0"/>
        <w:adjustRightInd w:val="0"/>
        <w:rPr>
          <w:rFonts w:ascii="Arial" w:hAnsi="Arial" w:cs="Arial"/>
          <w:sz w:val="22"/>
          <w:szCs w:val="22"/>
        </w:rPr>
      </w:pPr>
    </w:p>
    <w:p w:rsidR="00E761CE" w:rsidRDefault="00E761CE" w:rsidP="00E761CE">
      <w:pPr>
        <w:autoSpaceDE w:val="0"/>
        <w:autoSpaceDN w:val="0"/>
        <w:adjustRightInd w:val="0"/>
        <w:rPr>
          <w:rFonts w:ascii="Arial" w:hAnsi="Arial" w:cs="Arial"/>
          <w:b/>
          <w:bCs/>
          <w:sz w:val="23"/>
          <w:szCs w:val="23"/>
        </w:rPr>
      </w:pPr>
      <w:r w:rsidRPr="00E761CE">
        <w:rPr>
          <w:rFonts w:ascii="Arial" w:hAnsi="Arial" w:cs="Arial"/>
          <w:b/>
          <w:sz w:val="22"/>
          <w:szCs w:val="22"/>
        </w:rPr>
        <w:t xml:space="preserve">Annexe 2 : </w:t>
      </w:r>
      <w:r w:rsidR="009730F3">
        <w:rPr>
          <w:rFonts w:ascii="Arial" w:hAnsi="Arial" w:cs="Arial"/>
          <w:b/>
          <w:bCs/>
          <w:sz w:val="23"/>
          <w:szCs w:val="23"/>
        </w:rPr>
        <w:t>Evolution des ventes immobilières en France (2004-2011)</w:t>
      </w:r>
    </w:p>
    <w:p w:rsidR="009730F3" w:rsidRDefault="009730F3" w:rsidP="00E761CE">
      <w:pPr>
        <w:autoSpaceDE w:val="0"/>
        <w:autoSpaceDN w:val="0"/>
        <w:adjustRightInd w:val="0"/>
        <w:rPr>
          <w:rFonts w:ascii="Arial" w:hAnsi="Arial" w:cs="Arial"/>
          <w:b/>
          <w:bCs/>
          <w:sz w:val="23"/>
          <w:szCs w:val="23"/>
        </w:rPr>
      </w:pPr>
    </w:p>
    <w:p w:rsidR="000C15D4" w:rsidRDefault="000C15D4" w:rsidP="00E761CE">
      <w:pPr>
        <w:autoSpaceDE w:val="0"/>
        <w:autoSpaceDN w:val="0"/>
        <w:adjustRightInd w:val="0"/>
        <w:rPr>
          <w:rFonts w:ascii="Arial" w:hAnsi="Arial" w:cs="Arial"/>
          <w:sz w:val="22"/>
          <w:szCs w:val="22"/>
        </w:rPr>
      </w:pPr>
      <w:r>
        <w:rPr>
          <w:rFonts w:ascii="Arial" w:hAnsi="Arial" w:cs="Arial"/>
          <w:noProof/>
          <w:sz w:val="22"/>
          <w:szCs w:val="22"/>
        </w:rPr>
        <w:drawing>
          <wp:inline distT="0" distB="0" distL="0" distR="0">
            <wp:extent cx="5760720" cy="3745976"/>
            <wp:effectExtent l="0" t="0" r="0" b="698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60720" cy="3745976"/>
                    </a:xfrm>
                    <a:prstGeom prst="rect">
                      <a:avLst/>
                    </a:prstGeom>
                    <a:noFill/>
                    <a:ln>
                      <a:noFill/>
                    </a:ln>
                  </pic:spPr>
                </pic:pic>
              </a:graphicData>
            </a:graphic>
          </wp:inline>
        </w:drawing>
      </w:r>
    </w:p>
    <w:p w:rsidR="000C15D4" w:rsidRDefault="000C15D4" w:rsidP="000C15D4">
      <w:pPr>
        <w:autoSpaceDE w:val="0"/>
        <w:autoSpaceDN w:val="0"/>
        <w:adjustRightInd w:val="0"/>
        <w:rPr>
          <w:rFonts w:ascii="Arial" w:hAnsi="Arial" w:cs="Arial"/>
          <w:i/>
          <w:iCs/>
          <w:sz w:val="20"/>
          <w:szCs w:val="20"/>
        </w:rPr>
      </w:pPr>
      <w:r>
        <w:rPr>
          <w:rFonts w:ascii="Arial" w:hAnsi="Arial" w:cs="Arial"/>
          <w:i/>
          <w:iCs/>
          <w:sz w:val="20"/>
          <w:szCs w:val="20"/>
        </w:rPr>
        <w:t>Source : Conseil Général de l'environnement et du développement durable, Ministère de l'écologie, du développement durable, des transports et du logement</w:t>
      </w:r>
    </w:p>
    <w:p w:rsidR="000C15D4" w:rsidRDefault="000C15D4" w:rsidP="000C15D4">
      <w:r>
        <w:br w:type="page"/>
      </w:r>
    </w:p>
    <w:p w:rsidR="00876B33" w:rsidRDefault="00876B33" w:rsidP="00876B33">
      <w:pPr>
        <w:autoSpaceDE w:val="0"/>
        <w:autoSpaceDN w:val="0"/>
        <w:adjustRightInd w:val="0"/>
        <w:rPr>
          <w:rFonts w:ascii="Arial" w:hAnsi="Arial" w:cs="Arial"/>
          <w:b/>
          <w:sz w:val="22"/>
          <w:szCs w:val="22"/>
        </w:rPr>
      </w:pPr>
      <w:r w:rsidRPr="00876B33">
        <w:rPr>
          <w:rFonts w:ascii="Arial" w:hAnsi="Arial" w:cs="Arial"/>
          <w:b/>
          <w:sz w:val="22"/>
          <w:szCs w:val="22"/>
        </w:rPr>
        <w:lastRenderedPageBreak/>
        <w:t xml:space="preserve">Annexe 3 : </w:t>
      </w:r>
      <w:r w:rsidR="000C15D4" w:rsidRPr="000C15D4">
        <w:rPr>
          <w:rFonts w:ascii="Arial" w:hAnsi="Arial" w:cs="Arial"/>
          <w:b/>
          <w:sz w:val="22"/>
          <w:szCs w:val="22"/>
        </w:rPr>
        <w:t>L'activité immobilière est restée dynamique au premier semestre 2011</w:t>
      </w:r>
    </w:p>
    <w:p w:rsidR="000C15D4" w:rsidRPr="000C15D4" w:rsidRDefault="000C15D4" w:rsidP="00876B33">
      <w:pPr>
        <w:autoSpaceDE w:val="0"/>
        <w:autoSpaceDN w:val="0"/>
        <w:adjustRightInd w:val="0"/>
        <w:rPr>
          <w:rFonts w:ascii="Arial" w:hAnsi="Arial" w:cs="Arial"/>
          <w:b/>
          <w:sz w:val="22"/>
          <w:szCs w:val="22"/>
        </w:rPr>
      </w:pPr>
    </w:p>
    <w:p w:rsidR="000C15D4" w:rsidRPr="000C15D4" w:rsidRDefault="000C15D4" w:rsidP="000C15D4">
      <w:pPr>
        <w:autoSpaceDE w:val="0"/>
        <w:autoSpaceDN w:val="0"/>
        <w:adjustRightInd w:val="0"/>
        <w:spacing w:after="120"/>
        <w:rPr>
          <w:rFonts w:ascii="Arial" w:hAnsi="Arial" w:cs="Arial"/>
          <w:sz w:val="22"/>
          <w:szCs w:val="22"/>
        </w:rPr>
      </w:pPr>
      <w:r w:rsidRPr="000C15D4">
        <w:rPr>
          <w:rFonts w:ascii="Arial" w:hAnsi="Arial" w:cs="Arial"/>
          <w:sz w:val="22"/>
          <w:szCs w:val="22"/>
        </w:rPr>
        <w:t>Sur les six premiers mois de 2011, la production de crédits immobiliers a continué à progresser à un rythme très soutenu, de 17,5% en glissement annuel, même s'il a ralenti par rapport à la même période de l'an dernier (+53,9%), selon une étude de l'Observatoire Crédit Logement/CSA publiée mercredi. Le dynamisme du marché n'a pas été affecté par la remontée des taux d'intérêt qui s'est amorcée en fin d'année dernière. Ils ont grimpé, hors assurance, depuis novembre 2010, pour s'établir à 3,90% en juin, soit pratiquement le niveau qui était le leur en septembre 2009 (3,89%).</w:t>
      </w:r>
    </w:p>
    <w:p w:rsidR="000C15D4" w:rsidRPr="000C15D4" w:rsidRDefault="000C15D4" w:rsidP="000C15D4">
      <w:pPr>
        <w:autoSpaceDE w:val="0"/>
        <w:autoSpaceDN w:val="0"/>
        <w:adjustRightInd w:val="0"/>
        <w:spacing w:after="120"/>
        <w:rPr>
          <w:rFonts w:ascii="Arial" w:hAnsi="Arial" w:cs="Arial"/>
          <w:sz w:val="22"/>
          <w:szCs w:val="22"/>
        </w:rPr>
      </w:pPr>
      <w:r w:rsidRPr="000C15D4">
        <w:rPr>
          <w:rFonts w:ascii="Arial" w:hAnsi="Arial" w:cs="Arial"/>
          <w:sz w:val="22"/>
          <w:szCs w:val="22"/>
        </w:rPr>
        <w:t>L'année 2010, marquée par un "très fort redémarrage" après deux années de dépression, avait profité des dispositions publiques contenues dans le plan de relance, du repli des taux d'intérêt et de l'offre de crédit très dynamique. [ ... ]. Pour l'instant, la hausse observée des taux d'intérêt a pu être en partie compensée par un allongement des durées des crédits immobiliers, qui ont atteint 215 mois en moyenne en juin et par un accroissement de l'apport personnel, qui a tiré profit du redémarrage du marché de la revente.</w:t>
      </w:r>
    </w:p>
    <w:p w:rsidR="000C15D4" w:rsidRPr="000C15D4" w:rsidRDefault="000C15D4" w:rsidP="000C15D4">
      <w:pPr>
        <w:autoSpaceDE w:val="0"/>
        <w:autoSpaceDN w:val="0"/>
        <w:adjustRightInd w:val="0"/>
        <w:spacing w:after="120"/>
        <w:rPr>
          <w:rFonts w:ascii="Arial" w:hAnsi="Arial" w:cs="Arial"/>
          <w:sz w:val="22"/>
          <w:szCs w:val="22"/>
        </w:rPr>
      </w:pPr>
      <w:r w:rsidRPr="000C15D4">
        <w:rPr>
          <w:rFonts w:ascii="Arial" w:hAnsi="Arial" w:cs="Arial"/>
          <w:sz w:val="22"/>
          <w:szCs w:val="22"/>
        </w:rPr>
        <w:t>L'Observatoire Crédit Logement/CSA prévoit toutefois une stabilisation de la production de crédits en 2011. Le ralentissement de la hausse des prix observé ces derniers mois reste timide. Le coût moyen des opérations atteint 199 200 euros, contre 188 200 euros un an plus tôt, selon l'Observatoire du Crédit Logement.</w:t>
      </w:r>
    </w:p>
    <w:p w:rsidR="000C15D4" w:rsidRPr="000C15D4" w:rsidRDefault="000C15D4" w:rsidP="000C15D4">
      <w:pPr>
        <w:autoSpaceDE w:val="0"/>
        <w:autoSpaceDN w:val="0"/>
        <w:adjustRightInd w:val="0"/>
        <w:spacing w:after="120"/>
        <w:rPr>
          <w:rFonts w:ascii="Arial" w:hAnsi="Arial" w:cs="Arial"/>
          <w:sz w:val="22"/>
          <w:szCs w:val="22"/>
        </w:rPr>
      </w:pPr>
      <w:r w:rsidRPr="000C15D4">
        <w:rPr>
          <w:rFonts w:ascii="Arial" w:hAnsi="Arial" w:cs="Arial"/>
          <w:sz w:val="22"/>
          <w:szCs w:val="22"/>
        </w:rPr>
        <w:t>Côté perspectives, l'Observatoire anticipe une hausse des prix sur le marché de l'ancien comprise entre 6% et 7% en 2011, moindre qu'en 2010 (+ 7%), mais ses auteurs s'attendent à ce qu'elle "ne bloque pas le marché". Selon ces derniers, le nombre de logements anciens acquis par les ménages cette année devrait s'accroître "de l'ordre de 7% à 8%".</w:t>
      </w:r>
    </w:p>
    <w:p w:rsidR="000C15D4" w:rsidRPr="000C15D4" w:rsidRDefault="000C15D4" w:rsidP="000C15D4">
      <w:pPr>
        <w:autoSpaceDE w:val="0"/>
        <w:autoSpaceDN w:val="0"/>
        <w:adjustRightInd w:val="0"/>
        <w:spacing w:after="120"/>
        <w:rPr>
          <w:rFonts w:ascii="Arial" w:hAnsi="Arial" w:cs="Arial"/>
          <w:sz w:val="22"/>
          <w:szCs w:val="22"/>
        </w:rPr>
      </w:pPr>
      <w:r w:rsidRPr="000C15D4">
        <w:rPr>
          <w:rFonts w:ascii="Arial" w:hAnsi="Arial" w:cs="Arial"/>
          <w:sz w:val="22"/>
          <w:szCs w:val="22"/>
        </w:rPr>
        <w:t>En un an, le revenu moyen des emprunteurs est passé de 59 700 euros à 61 100 euros, toujours selon le Crédit Logement. Un signe que les candidats les plus modestes renoncent à leurs projets ? Entre novembre et aujourd'hui, les ménages ont perdu 6,4% de leur pouvoir d'achat immobilier. Pour emprunter 150 000 euros sur 20 ans, ils doivent justifier d'un revenu</w:t>
      </w:r>
      <w:r>
        <w:rPr>
          <w:rFonts w:ascii="Arial" w:hAnsi="Arial" w:cs="Arial"/>
          <w:sz w:val="22"/>
          <w:szCs w:val="22"/>
        </w:rPr>
        <w:t xml:space="preserve"> </w:t>
      </w:r>
      <w:r w:rsidRPr="000C15D4">
        <w:rPr>
          <w:rFonts w:ascii="Arial" w:hAnsi="Arial" w:cs="Arial"/>
          <w:sz w:val="22"/>
          <w:szCs w:val="22"/>
        </w:rPr>
        <w:t>mensuel net de 278</w:t>
      </w:r>
      <w:r>
        <w:rPr>
          <w:rFonts w:ascii="Arial" w:hAnsi="Arial" w:cs="Arial"/>
          <w:sz w:val="22"/>
          <w:szCs w:val="22"/>
        </w:rPr>
        <w:t xml:space="preserve">4 euros contre 2607 en novembre. </w:t>
      </w:r>
      <w:r w:rsidRPr="000C15D4">
        <w:rPr>
          <w:rFonts w:ascii="Arial" w:hAnsi="Arial" w:cs="Arial"/>
          <w:sz w:val="22"/>
          <w:szCs w:val="22"/>
        </w:rPr>
        <w:t>[ ... ]</w:t>
      </w:r>
    </w:p>
    <w:p w:rsidR="000C15D4" w:rsidRPr="000C15D4" w:rsidRDefault="000C15D4" w:rsidP="000C15D4">
      <w:pPr>
        <w:autoSpaceDE w:val="0"/>
        <w:autoSpaceDN w:val="0"/>
        <w:adjustRightInd w:val="0"/>
        <w:spacing w:after="120"/>
        <w:rPr>
          <w:rFonts w:ascii="Arial" w:hAnsi="Arial" w:cs="Arial"/>
          <w:sz w:val="22"/>
          <w:szCs w:val="22"/>
        </w:rPr>
      </w:pPr>
      <w:r w:rsidRPr="000C15D4">
        <w:rPr>
          <w:rFonts w:ascii="Arial" w:hAnsi="Arial" w:cs="Arial"/>
          <w:sz w:val="22"/>
          <w:szCs w:val="22"/>
        </w:rPr>
        <w:t>Au mois de mars, la durée moyenne des prêts a atteint son plus haut niveau depuis deux ans, à 217 mois, soit un peu plus de 18 ans. Les crédits supérieurs à 25 ans représentent maintenant 27% des prêts, contre seulement 25,8% fin 201 O. Enfin, la solvabilité des acheteurs serait aussi dopée par la reprise du marché de la revente. Les particuliers qui peuvent se permettre de revendre leurs résidences principales bénéficient mécaniquement d'un apport personnel plus important, en hausse de 1% sur un an, surtout chez les foyers aisés. Quant au nouveau prêt à taux zéro, difficile de mesurer ses premiers effets. Par rapport aux anciens dispositifs - le crédit d'impôt sur les intérêts d'emprunts notamment – il n'apporterait que 1,1% de solvabilité supplémentaire dans le neuf et 0,6% dans l'ancien. Son impact sur les ménages modestes n'a pas encore été évalué.</w:t>
      </w:r>
    </w:p>
    <w:p w:rsidR="000C15D4" w:rsidRDefault="000C15D4" w:rsidP="000C15D4">
      <w:pPr>
        <w:autoSpaceDE w:val="0"/>
        <w:autoSpaceDN w:val="0"/>
        <w:adjustRightInd w:val="0"/>
        <w:rPr>
          <w:rFonts w:ascii="Arial" w:hAnsi="Arial" w:cs="Arial"/>
          <w:i/>
          <w:iCs/>
          <w:sz w:val="22"/>
          <w:szCs w:val="22"/>
        </w:rPr>
      </w:pPr>
    </w:p>
    <w:p w:rsidR="000C15D4" w:rsidRDefault="000C15D4" w:rsidP="000C15D4">
      <w:pPr>
        <w:autoSpaceDE w:val="0"/>
        <w:autoSpaceDN w:val="0"/>
        <w:adjustRightInd w:val="0"/>
        <w:rPr>
          <w:rFonts w:ascii="Arial" w:hAnsi="Arial" w:cs="Arial"/>
          <w:i/>
          <w:iCs/>
          <w:sz w:val="22"/>
          <w:szCs w:val="22"/>
        </w:rPr>
      </w:pPr>
    </w:p>
    <w:p w:rsidR="000C15D4" w:rsidRDefault="000C15D4" w:rsidP="000C15D4">
      <w:pPr>
        <w:autoSpaceDE w:val="0"/>
        <w:autoSpaceDN w:val="0"/>
        <w:adjustRightInd w:val="0"/>
        <w:jc w:val="right"/>
        <w:rPr>
          <w:rFonts w:ascii="Arial" w:hAnsi="Arial" w:cs="Arial"/>
          <w:i/>
          <w:iCs/>
          <w:sz w:val="22"/>
          <w:szCs w:val="22"/>
        </w:rPr>
      </w:pPr>
      <w:r w:rsidRPr="000C15D4">
        <w:rPr>
          <w:rFonts w:ascii="Arial" w:hAnsi="Arial" w:cs="Arial"/>
          <w:i/>
          <w:iCs/>
          <w:sz w:val="22"/>
          <w:szCs w:val="22"/>
        </w:rPr>
        <w:t>L 'expansion.com, 20 juillet 2011</w:t>
      </w:r>
    </w:p>
    <w:p w:rsidR="000C15D4" w:rsidRDefault="000C15D4" w:rsidP="000C15D4">
      <w:r>
        <w:br w:type="page"/>
      </w:r>
    </w:p>
    <w:p w:rsidR="00BF7ABB" w:rsidRDefault="000C15D4" w:rsidP="000C15D4">
      <w:pPr>
        <w:autoSpaceDE w:val="0"/>
        <w:autoSpaceDN w:val="0"/>
        <w:adjustRightInd w:val="0"/>
        <w:rPr>
          <w:rFonts w:ascii="Arial" w:hAnsi="Arial" w:cs="Arial"/>
          <w:b/>
          <w:sz w:val="22"/>
          <w:szCs w:val="22"/>
        </w:rPr>
      </w:pPr>
      <w:r w:rsidRPr="00876B33">
        <w:rPr>
          <w:rFonts w:ascii="Arial" w:hAnsi="Arial" w:cs="Arial"/>
          <w:b/>
          <w:sz w:val="22"/>
          <w:szCs w:val="22"/>
        </w:rPr>
        <w:lastRenderedPageBreak/>
        <w:t xml:space="preserve">Annexe </w:t>
      </w:r>
      <w:r>
        <w:rPr>
          <w:rFonts w:ascii="Arial" w:hAnsi="Arial" w:cs="Arial"/>
          <w:b/>
          <w:sz w:val="22"/>
          <w:szCs w:val="22"/>
        </w:rPr>
        <w:t>4</w:t>
      </w:r>
      <w:r w:rsidRPr="00876B33">
        <w:rPr>
          <w:rFonts w:ascii="Arial" w:hAnsi="Arial" w:cs="Arial"/>
          <w:b/>
          <w:sz w:val="22"/>
          <w:szCs w:val="22"/>
        </w:rPr>
        <w:t xml:space="preserve"> : </w:t>
      </w:r>
      <w:r w:rsidRPr="000C15D4">
        <w:rPr>
          <w:rFonts w:ascii="Arial" w:hAnsi="Arial" w:cs="Arial"/>
          <w:b/>
          <w:sz w:val="22"/>
          <w:szCs w:val="22"/>
        </w:rPr>
        <w:t>Immobilier 2012, de nombreux changements à venir pour le logement</w:t>
      </w:r>
    </w:p>
    <w:p w:rsidR="000C15D4" w:rsidRDefault="000C15D4" w:rsidP="000C15D4">
      <w:pPr>
        <w:autoSpaceDE w:val="0"/>
        <w:autoSpaceDN w:val="0"/>
        <w:adjustRightInd w:val="0"/>
        <w:rPr>
          <w:rFonts w:ascii="Arial" w:hAnsi="Arial" w:cs="Arial"/>
          <w:b/>
          <w:sz w:val="22"/>
          <w:szCs w:val="22"/>
        </w:rPr>
      </w:pPr>
    </w:p>
    <w:p w:rsidR="000C15D4" w:rsidRPr="000C15D4" w:rsidRDefault="000C15D4" w:rsidP="000C15D4">
      <w:pPr>
        <w:autoSpaceDE w:val="0"/>
        <w:autoSpaceDN w:val="0"/>
        <w:adjustRightInd w:val="0"/>
        <w:spacing w:after="120"/>
        <w:rPr>
          <w:rFonts w:ascii="Arial" w:hAnsi="Arial" w:cs="Arial"/>
          <w:sz w:val="22"/>
          <w:szCs w:val="22"/>
        </w:rPr>
      </w:pPr>
      <w:r w:rsidRPr="000C15D4">
        <w:rPr>
          <w:rFonts w:ascii="Arial" w:hAnsi="Arial" w:cs="Arial"/>
          <w:sz w:val="22"/>
          <w:szCs w:val="22"/>
        </w:rPr>
        <w:t>Le gouvernement cherche différents moyens de réduire ses dépenses pour tenter de faire face à ses dettes. Or le soutien du marché immobilier par différents mécanismes d'aides coûte plusieurs milliards d'euros par an à l'État. Toutes les mesures d'aides au logement vont donc être passées au peigne fin afin d'y trouver des sources d'économies.</w:t>
      </w:r>
    </w:p>
    <w:p w:rsidR="000C15D4" w:rsidRPr="000C15D4" w:rsidRDefault="000C15D4" w:rsidP="000C15D4">
      <w:pPr>
        <w:autoSpaceDE w:val="0"/>
        <w:autoSpaceDN w:val="0"/>
        <w:adjustRightInd w:val="0"/>
        <w:spacing w:after="120"/>
        <w:rPr>
          <w:rFonts w:ascii="Arial" w:hAnsi="Arial" w:cs="Arial"/>
          <w:sz w:val="22"/>
          <w:szCs w:val="22"/>
        </w:rPr>
      </w:pPr>
      <w:r w:rsidRPr="000C15D4">
        <w:rPr>
          <w:rFonts w:ascii="Arial" w:hAnsi="Arial" w:cs="Arial"/>
          <w:sz w:val="22"/>
          <w:szCs w:val="22"/>
        </w:rPr>
        <w:t>En ce qui concerne l'accession à la propriété, le nouveau prêt à taux zéro de 2011 pourrait être modifié dès 2012. On a entendu parler cet été d'une possible fusion entre le prêt à taux zéro à l'accession sociale et l'éco-PTZ. Benoist Apparu, secrétaire d'État au Logement, a confié que si cette mesure devait se faire, cela ne serait pas avant 2012.</w:t>
      </w:r>
    </w:p>
    <w:p w:rsidR="000C15D4" w:rsidRPr="000C15D4" w:rsidRDefault="000C15D4" w:rsidP="000C15D4">
      <w:pPr>
        <w:autoSpaceDE w:val="0"/>
        <w:autoSpaceDN w:val="0"/>
        <w:adjustRightInd w:val="0"/>
        <w:spacing w:after="120"/>
        <w:rPr>
          <w:rFonts w:ascii="Arial" w:hAnsi="Arial" w:cs="Arial"/>
          <w:sz w:val="22"/>
          <w:szCs w:val="22"/>
        </w:rPr>
      </w:pPr>
      <w:r w:rsidRPr="000C15D4">
        <w:rPr>
          <w:rFonts w:ascii="Arial" w:hAnsi="Arial" w:cs="Arial"/>
          <w:sz w:val="22"/>
          <w:szCs w:val="22"/>
        </w:rPr>
        <w:t xml:space="preserve">Alors que le gouvernement se félicite du succès du PTZ Plus (plus de 200 000 ont déjà été signés depuis le début de l'année), les promoteurs commencent à critiquer les changements survenus sur la défiscalisation </w:t>
      </w:r>
      <w:proofErr w:type="spellStart"/>
      <w:r w:rsidRPr="000C15D4">
        <w:rPr>
          <w:rFonts w:ascii="Arial" w:hAnsi="Arial" w:cs="Arial"/>
          <w:sz w:val="22"/>
          <w:szCs w:val="22"/>
        </w:rPr>
        <w:t>Scellier</w:t>
      </w:r>
      <w:proofErr w:type="spellEnd"/>
      <w:r w:rsidRPr="000C15D4">
        <w:rPr>
          <w:rFonts w:ascii="Arial" w:hAnsi="Arial" w:cs="Arial"/>
          <w:sz w:val="22"/>
          <w:szCs w:val="22"/>
        </w:rPr>
        <w:t xml:space="preserve"> en 2011 et sur le fait que les montants alloués au prêt à taux zéro sont fortement utilisés pour des achats dans l'immobilier ancien.</w:t>
      </w:r>
    </w:p>
    <w:p w:rsidR="000C15D4" w:rsidRPr="000C15D4" w:rsidRDefault="000C15D4" w:rsidP="000C15D4">
      <w:pPr>
        <w:autoSpaceDE w:val="0"/>
        <w:autoSpaceDN w:val="0"/>
        <w:adjustRightInd w:val="0"/>
        <w:spacing w:after="120"/>
        <w:rPr>
          <w:rFonts w:ascii="Arial" w:hAnsi="Arial" w:cs="Arial"/>
          <w:sz w:val="22"/>
          <w:szCs w:val="22"/>
        </w:rPr>
      </w:pPr>
      <w:r w:rsidRPr="000C15D4">
        <w:rPr>
          <w:rFonts w:ascii="Arial" w:hAnsi="Arial" w:cs="Arial"/>
          <w:sz w:val="22"/>
          <w:szCs w:val="22"/>
        </w:rPr>
        <w:t xml:space="preserve">En effet, les chiffres pour le logement neuf au 1er semestre 2011 sont très mauvais et les promoteurs français commencent à s'inquiéter de la prochaine diminution des avantages de la loi </w:t>
      </w:r>
      <w:proofErr w:type="spellStart"/>
      <w:r w:rsidRPr="000C15D4">
        <w:rPr>
          <w:rFonts w:ascii="Arial" w:hAnsi="Arial" w:cs="Arial"/>
          <w:sz w:val="22"/>
          <w:szCs w:val="22"/>
        </w:rPr>
        <w:t>Scellier</w:t>
      </w:r>
      <w:proofErr w:type="spellEnd"/>
      <w:r w:rsidRPr="000C15D4">
        <w:rPr>
          <w:rFonts w:ascii="Arial" w:hAnsi="Arial" w:cs="Arial"/>
          <w:sz w:val="22"/>
          <w:szCs w:val="22"/>
        </w:rPr>
        <w:t xml:space="preserve"> pour 2012. Ils préfèreraient que les efforts financiers de l'État se dirigent sur la construction plutôt que sur les logements anciens.</w:t>
      </w:r>
    </w:p>
    <w:p w:rsidR="000C15D4" w:rsidRPr="000C15D4" w:rsidRDefault="000C15D4" w:rsidP="000C15D4">
      <w:pPr>
        <w:autoSpaceDE w:val="0"/>
        <w:autoSpaceDN w:val="0"/>
        <w:adjustRightInd w:val="0"/>
        <w:spacing w:after="120"/>
        <w:rPr>
          <w:rFonts w:ascii="Arial" w:hAnsi="Arial" w:cs="Arial"/>
          <w:sz w:val="22"/>
          <w:szCs w:val="22"/>
        </w:rPr>
      </w:pPr>
      <w:r w:rsidRPr="000C15D4">
        <w:rPr>
          <w:rFonts w:ascii="Arial" w:hAnsi="Arial" w:cs="Arial"/>
          <w:sz w:val="22"/>
          <w:szCs w:val="22"/>
        </w:rPr>
        <w:t>Alors que les prix ne cessent d'augmenter et que les caisses de l'État se vident, il va peut-être falloir songer à augmenter l'offre (réduire le prix du foncier, faciliter les constructions, etc.) plutôt qu'à chercher à soutenir la demande à tout prix et à entretenir la bulle immobilière Française.</w:t>
      </w:r>
    </w:p>
    <w:p w:rsidR="000C15D4" w:rsidRPr="000C15D4" w:rsidRDefault="000C15D4" w:rsidP="000C15D4">
      <w:pPr>
        <w:autoSpaceDE w:val="0"/>
        <w:autoSpaceDN w:val="0"/>
        <w:adjustRightInd w:val="0"/>
        <w:spacing w:after="120"/>
        <w:rPr>
          <w:rFonts w:ascii="Arial" w:hAnsi="Arial" w:cs="Arial"/>
          <w:sz w:val="22"/>
          <w:szCs w:val="22"/>
        </w:rPr>
      </w:pPr>
      <w:r w:rsidRPr="000C15D4">
        <w:rPr>
          <w:rFonts w:ascii="Arial" w:hAnsi="Arial" w:cs="Arial"/>
          <w:sz w:val="22"/>
          <w:szCs w:val="22"/>
        </w:rPr>
        <w:t>Réduire les dépenses n'est qu'une partie de la solution. L'augmentation des impôts sera l'autre cheval de bataille du gouvernement. Les principaux changements à attendre du côté de l'immobilier concernent l'augmentation des impôts sur les plus-values immobilières.</w:t>
      </w:r>
    </w:p>
    <w:p w:rsidR="000C15D4" w:rsidRPr="000C15D4" w:rsidRDefault="000C15D4" w:rsidP="000C15D4">
      <w:pPr>
        <w:autoSpaceDE w:val="0"/>
        <w:autoSpaceDN w:val="0"/>
        <w:adjustRightInd w:val="0"/>
        <w:spacing w:after="120"/>
        <w:rPr>
          <w:rFonts w:ascii="Arial" w:hAnsi="Arial" w:cs="Arial"/>
          <w:sz w:val="22"/>
          <w:szCs w:val="22"/>
        </w:rPr>
      </w:pPr>
      <w:r w:rsidRPr="000C15D4">
        <w:rPr>
          <w:rFonts w:ascii="Arial" w:hAnsi="Arial" w:cs="Arial"/>
          <w:sz w:val="22"/>
          <w:szCs w:val="22"/>
        </w:rPr>
        <w:t>Plusieurs modifications sont à l'étude :</w:t>
      </w:r>
    </w:p>
    <w:p w:rsidR="000C15D4" w:rsidRPr="000C15D4" w:rsidRDefault="000C15D4" w:rsidP="000C15D4">
      <w:pPr>
        <w:pStyle w:val="Paragraphedeliste"/>
        <w:numPr>
          <w:ilvl w:val="0"/>
          <w:numId w:val="5"/>
        </w:numPr>
        <w:autoSpaceDE w:val="0"/>
        <w:autoSpaceDN w:val="0"/>
        <w:adjustRightInd w:val="0"/>
        <w:spacing w:after="120"/>
        <w:rPr>
          <w:rFonts w:ascii="Arial" w:hAnsi="Arial" w:cs="Arial"/>
          <w:sz w:val="22"/>
          <w:szCs w:val="22"/>
        </w:rPr>
      </w:pPr>
      <w:r w:rsidRPr="000C15D4">
        <w:rPr>
          <w:rFonts w:ascii="Arial" w:hAnsi="Arial" w:cs="Arial"/>
          <w:sz w:val="22"/>
          <w:szCs w:val="22"/>
        </w:rPr>
        <w:t>Réduction du taux d'abattement de 10% par an à 5% par an (après 5 ans de détention)</w:t>
      </w:r>
    </w:p>
    <w:p w:rsidR="000C15D4" w:rsidRPr="000C15D4" w:rsidRDefault="000C15D4" w:rsidP="000C15D4">
      <w:pPr>
        <w:pStyle w:val="Paragraphedeliste"/>
        <w:numPr>
          <w:ilvl w:val="0"/>
          <w:numId w:val="5"/>
        </w:numPr>
        <w:autoSpaceDE w:val="0"/>
        <w:autoSpaceDN w:val="0"/>
        <w:adjustRightInd w:val="0"/>
        <w:spacing w:after="120"/>
        <w:rPr>
          <w:rFonts w:ascii="Arial" w:hAnsi="Arial" w:cs="Arial"/>
          <w:sz w:val="22"/>
          <w:szCs w:val="22"/>
        </w:rPr>
      </w:pPr>
      <w:r w:rsidRPr="000C15D4">
        <w:rPr>
          <w:rFonts w:ascii="Arial" w:hAnsi="Arial" w:cs="Arial"/>
          <w:sz w:val="22"/>
          <w:szCs w:val="22"/>
        </w:rPr>
        <w:t>Augmentation des taxes sur les terrains à bâtir dans les zones en fort déficit foncier.</w:t>
      </w:r>
    </w:p>
    <w:p w:rsidR="000C15D4" w:rsidRPr="000C15D4" w:rsidRDefault="000C15D4" w:rsidP="000C15D4">
      <w:pPr>
        <w:pStyle w:val="Paragraphedeliste"/>
        <w:numPr>
          <w:ilvl w:val="0"/>
          <w:numId w:val="5"/>
        </w:numPr>
        <w:autoSpaceDE w:val="0"/>
        <w:autoSpaceDN w:val="0"/>
        <w:adjustRightInd w:val="0"/>
        <w:spacing w:after="120"/>
        <w:rPr>
          <w:rFonts w:ascii="Arial" w:hAnsi="Arial" w:cs="Arial"/>
          <w:sz w:val="22"/>
          <w:szCs w:val="22"/>
        </w:rPr>
      </w:pPr>
      <w:r w:rsidRPr="000C15D4">
        <w:rPr>
          <w:rFonts w:ascii="Arial" w:hAnsi="Arial" w:cs="Arial"/>
          <w:sz w:val="22"/>
          <w:szCs w:val="22"/>
        </w:rPr>
        <w:t xml:space="preserve">Contribution CSG </w:t>
      </w:r>
      <w:r w:rsidRPr="000C15D4">
        <w:rPr>
          <w:rFonts w:ascii="Arial" w:hAnsi="Arial" w:cs="Arial"/>
          <w:i/>
          <w:iCs/>
          <w:sz w:val="22"/>
          <w:szCs w:val="22"/>
        </w:rPr>
        <w:t xml:space="preserve">1 </w:t>
      </w:r>
      <w:r w:rsidRPr="000C15D4">
        <w:rPr>
          <w:rFonts w:ascii="Arial" w:hAnsi="Arial" w:cs="Arial"/>
          <w:sz w:val="22"/>
          <w:szCs w:val="22"/>
        </w:rPr>
        <w:t>CROS (prélèvements sociaux) dès le 1er euro de plus-value et sans prise en compte d'abattements.</w:t>
      </w:r>
    </w:p>
    <w:p w:rsidR="000C15D4" w:rsidRPr="000C15D4" w:rsidRDefault="000C15D4" w:rsidP="000C15D4">
      <w:pPr>
        <w:pStyle w:val="Paragraphedeliste"/>
        <w:numPr>
          <w:ilvl w:val="0"/>
          <w:numId w:val="5"/>
        </w:numPr>
        <w:autoSpaceDE w:val="0"/>
        <w:autoSpaceDN w:val="0"/>
        <w:adjustRightInd w:val="0"/>
        <w:spacing w:after="120"/>
        <w:rPr>
          <w:rFonts w:ascii="Arial" w:hAnsi="Arial" w:cs="Arial"/>
          <w:sz w:val="22"/>
          <w:szCs w:val="22"/>
        </w:rPr>
      </w:pPr>
      <w:r w:rsidRPr="000C15D4">
        <w:rPr>
          <w:rFonts w:ascii="Arial" w:hAnsi="Arial" w:cs="Arial"/>
          <w:sz w:val="22"/>
          <w:szCs w:val="22"/>
        </w:rPr>
        <w:t>Taxation des plus-values sur les résidences principales, jusqu'à présent exonérées.</w:t>
      </w:r>
    </w:p>
    <w:p w:rsidR="000C15D4" w:rsidRPr="000C15D4" w:rsidRDefault="000C15D4" w:rsidP="000C15D4">
      <w:pPr>
        <w:autoSpaceDE w:val="0"/>
        <w:autoSpaceDN w:val="0"/>
        <w:adjustRightInd w:val="0"/>
        <w:spacing w:after="120"/>
        <w:rPr>
          <w:rFonts w:ascii="Arial" w:hAnsi="Arial" w:cs="Arial"/>
          <w:sz w:val="22"/>
          <w:szCs w:val="22"/>
        </w:rPr>
      </w:pPr>
      <w:r w:rsidRPr="000C15D4">
        <w:rPr>
          <w:rFonts w:ascii="Arial" w:hAnsi="Arial" w:cs="Arial"/>
          <w:sz w:val="22"/>
          <w:szCs w:val="22"/>
        </w:rPr>
        <w:t>Enfin, d'autres augmentations d'impôts sont à prévoir pour le logement. Il s'agit des hausses des impôts locaux ! Les taxes d'habitation et taxes foncières ont déjà bien augmenté en 2010.</w:t>
      </w:r>
      <w:r>
        <w:rPr>
          <w:rFonts w:ascii="Arial" w:hAnsi="Arial" w:cs="Arial"/>
          <w:sz w:val="22"/>
          <w:szCs w:val="22"/>
        </w:rPr>
        <w:t xml:space="preserve"> </w:t>
      </w:r>
      <w:r w:rsidRPr="000C15D4">
        <w:rPr>
          <w:rFonts w:ascii="Arial" w:hAnsi="Arial" w:cs="Arial"/>
          <w:sz w:val="22"/>
          <w:szCs w:val="22"/>
        </w:rPr>
        <w:t>Il faut s'attendre à de nouvelles hausses sensibles dans les années qui viennent pour que les collectivités puissent boucler leurs prochains budgets.</w:t>
      </w:r>
    </w:p>
    <w:p w:rsidR="000C15D4" w:rsidRDefault="000C15D4" w:rsidP="000C15D4">
      <w:pPr>
        <w:autoSpaceDE w:val="0"/>
        <w:autoSpaceDN w:val="0"/>
        <w:adjustRightInd w:val="0"/>
        <w:spacing w:after="120"/>
        <w:rPr>
          <w:rFonts w:ascii="Arial" w:hAnsi="Arial" w:cs="Arial"/>
          <w:i/>
          <w:iCs/>
          <w:sz w:val="22"/>
          <w:szCs w:val="22"/>
        </w:rPr>
      </w:pPr>
    </w:p>
    <w:p w:rsidR="000C15D4" w:rsidRDefault="000C15D4" w:rsidP="000C15D4">
      <w:pPr>
        <w:autoSpaceDE w:val="0"/>
        <w:autoSpaceDN w:val="0"/>
        <w:adjustRightInd w:val="0"/>
        <w:spacing w:after="120"/>
        <w:rPr>
          <w:rFonts w:ascii="Arial" w:hAnsi="Arial" w:cs="Arial"/>
          <w:i/>
          <w:iCs/>
          <w:sz w:val="22"/>
          <w:szCs w:val="22"/>
        </w:rPr>
      </w:pPr>
    </w:p>
    <w:p w:rsidR="000C15D4" w:rsidRPr="000C15D4" w:rsidRDefault="000C15D4" w:rsidP="000C15D4">
      <w:pPr>
        <w:autoSpaceDE w:val="0"/>
        <w:autoSpaceDN w:val="0"/>
        <w:adjustRightInd w:val="0"/>
        <w:spacing w:after="120"/>
        <w:jc w:val="right"/>
        <w:rPr>
          <w:rFonts w:ascii="Arial" w:hAnsi="Arial" w:cs="Arial"/>
          <w:b/>
          <w:sz w:val="22"/>
          <w:szCs w:val="22"/>
        </w:rPr>
      </w:pPr>
      <w:r w:rsidRPr="000C15D4">
        <w:rPr>
          <w:rFonts w:ascii="Arial" w:hAnsi="Arial" w:cs="Arial"/>
          <w:i/>
          <w:iCs/>
          <w:sz w:val="22"/>
          <w:szCs w:val="22"/>
        </w:rPr>
        <w:t>CAPGEMINI consulting, 10 août 2011</w:t>
      </w:r>
    </w:p>
    <w:sectPr w:rsidR="000C15D4" w:rsidRPr="000C15D4">
      <w:headerReference w:type="default" r:id="rId12"/>
      <w:footerReference w:type="even" r:id="rId13"/>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6442" w:rsidRDefault="00E26442">
      <w:r>
        <w:separator/>
      </w:r>
    </w:p>
  </w:endnote>
  <w:endnote w:type="continuationSeparator" w:id="0">
    <w:p w:rsidR="00E26442" w:rsidRDefault="00E264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772C" w:rsidRDefault="00B0772C">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B0772C" w:rsidRDefault="00B0772C">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Grilledutableau"/>
      <w:tblW w:w="0" w:type="auto"/>
      <w:tblLook w:val="04A0" w:firstRow="1" w:lastRow="0" w:firstColumn="1" w:lastColumn="0" w:noHBand="0" w:noVBand="1"/>
    </w:tblPr>
    <w:tblGrid>
      <w:gridCol w:w="4786"/>
      <w:gridCol w:w="2552"/>
      <w:gridCol w:w="1874"/>
    </w:tblGrid>
    <w:tr w:rsidR="00C75734" w:rsidTr="00CF02EA">
      <w:tc>
        <w:tcPr>
          <w:tcW w:w="9212" w:type="dxa"/>
          <w:gridSpan w:val="3"/>
        </w:tcPr>
        <w:p w:rsidR="00C75734" w:rsidRDefault="00C75734" w:rsidP="00410191">
          <w:pPr>
            <w:jc w:val="center"/>
          </w:pPr>
          <w:r>
            <w:rPr>
              <w:rFonts w:ascii="Arial" w:hAnsi="Arial" w:cs="Arial"/>
              <w:b/>
              <w:bCs/>
              <w:sz w:val="18"/>
              <w:szCs w:val="18"/>
            </w:rPr>
            <w:t xml:space="preserve">BREVET DE TECHNICIEN SUPERIEUR – </w:t>
          </w:r>
          <w:r w:rsidR="003D0C63" w:rsidRPr="003D0C63">
            <w:rPr>
              <w:rFonts w:ascii="Arial" w:hAnsi="Arial" w:cs="Arial"/>
              <w:b/>
              <w:bCs/>
              <w:sz w:val="18"/>
              <w:szCs w:val="18"/>
            </w:rPr>
            <w:t>FINANCIERS</w:t>
          </w:r>
        </w:p>
      </w:tc>
    </w:tr>
    <w:tr w:rsidR="00C75734" w:rsidTr="003D0C63">
      <w:tc>
        <w:tcPr>
          <w:tcW w:w="4786" w:type="dxa"/>
        </w:tcPr>
        <w:p w:rsidR="00C75734" w:rsidRDefault="003D0C63" w:rsidP="00410191">
          <w:pPr>
            <w:jc w:val="center"/>
          </w:pPr>
          <w:r w:rsidRPr="003D0C63">
            <w:rPr>
              <w:rFonts w:ascii="Arial" w:hAnsi="Arial" w:cs="Arial"/>
              <w:b/>
              <w:bCs/>
              <w:sz w:val="18"/>
              <w:szCs w:val="18"/>
            </w:rPr>
            <w:t>Econom</w:t>
          </w:r>
          <w:r>
            <w:rPr>
              <w:rFonts w:ascii="Arial" w:hAnsi="Arial" w:cs="Arial"/>
              <w:b/>
              <w:bCs/>
              <w:sz w:val="18"/>
              <w:szCs w:val="18"/>
            </w:rPr>
            <w:t>ie Générale et Economie d'Entrep</w:t>
          </w:r>
          <w:r w:rsidRPr="003D0C63">
            <w:rPr>
              <w:rFonts w:ascii="Arial" w:hAnsi="Arial" w:cs="Arial"/>
              <w:b/>
              <w:bCs/>
              <w:sz w:val="18"/>
              <w:szCs w:val="18"/>
            </w:rPr>
            <w:t>rise</w:t>
          </w:r>
        </w:p>
      </w:tc>
      <w:tc>
        <w:tcPr>
          <w:tcW w:w="2552" w:type="dxa"/>
        </w:tcPr>
        <w:p w:rsidR="00C75734" w:rsidRDefault="003D0C63" w:rsidP="009730F3">
          <w:pPr>
            <w:jc w:val="center"/>
          </w:pPr>
          <w:r w:rsidRPr="003D0C63">
            <w:rPr>
              <w:rFonts w:ascii="Arial" w:hAnsi="Arial" w:cs="Arial"/>
              <w:b/>
              <w:bCs/>
              <w:sz w:val="18"/>
              <w:szCs w:val="18"/>
            </w:rPr>
            <w:t>1</w:t>
          </w:r>
          <w:r w:rsidR="009730F3">
            <w:rPr>
              <w:rFonts w:ascii="Arial" w:hAnsi="Arial" w:cs="Arial"/>
              <w:b/>
              <w:bCs/>
              <w:sz w:val="18"/>
              <w:szCs w:val="18"/>
            </w:rPr>
            <w:t>2</w:t>
          </w:r>
          <w:r w:rsidRPr="003D0C63">
            <w:rPr>
              <w:rFonts w:ascii="Arial" w:hAnsi="Arial" w:cs="Arial"/>
              <w:b/>
              <w:bCs/>
              <w:sz w:val="18"/>
              <w:szCs w:val="18"/>
            </w:rPr>
            <w:t>-ECOGEN</w:t>
          </w:r>
        </w:p>
      </w:tc>
      <w:tc>
        <w:tcPr>
          <w:tcW w:w="1874" w:type="dxa"/>
        </w:tcPr>
        <w:p w:rsidR="00C75734" w:rsidRDefault="00C75734" w:rsidP="009730F3">
          <w:pPr>
            <w:jc w:val="center"/>
          </w:pPr>
          <w:r>
            <w:rPr>
              <w:rFonts w:ascii="Arial" w:hAnsi="Arial" w:cs="Arial"/>
              <w:b/>
              <w:bCs/>
              <w:sz w:val="18"/>
              <w:szCs w:val="18"/>
            </w:rPr>
            <w:t>SESSION 201</w:t>
          </w:r>
          <w:r w:rsidR="009730F3">
            <w:rPr>
              <w:rFonts w:ascii="Arial" w:hAnsi="Arial" w:cs="Arial"/>
              <w:b/>
              <w:bCs/>
              <w:sz w:val="18"/>
              <w:szCs w:val="18"/>
            </w:rPr>
            <w:t>2</w:t>
          </w:r>
        </w:p>
      </w:tc>
    </w:tr>
  </w:tbl>
  <w:p w:rsidR="00C75734" w:rsidRDefault="00C75734">
    <w:pPr>
      <w:pStyle w:val="Pieddepage"/>
      <w:ind w:right="360"/>
      <w:rPr>
        <w:sz w:val="20"/>
      </w:rPr>
    </w:pPr>
  </w:p>
  <w:p w:rsidR="00B0772C" w:rsidRDefault="00466F89">
    <w:pPr>
      <w:pStyle w:val="Pieddepage"/>
      <w:ind w:right="360"/>
      <w:rPr>
        <w:sz w:val="20"/>
      </w:rPr>
    </w:pPr>
    <w:r w:rsidRPr="00466F89">
      <w:rPr>
        <w:sz w:val="20"/>
      </w:rPr>
      <w:t xml:space="preserve">© Comptazine </w:t>
    </w:r>
    <w:r w:rsidR="001268F8">
      <w:rPr>
        <w:sz w:val="20"/>
      </w:rPr>
      <w:t xml:space="preserve">BTS </w:t>
    </w:r>
    <w:r w:rsidR="00233A44">
      <w:rPr>
        <w:sz w:val="20"/>
      </w:rPr>
      <w:t xml:space="preserve">Banque </w:t>
    </w:r>
    <w:r w:rsidR="001268F8">
      <w:rPr>
        <w:sz w:val="20"/>
      </w:rPr>
      <w:t>201</w:t>
    </w:r>
    <w:r w:rsidR="009730F3">
      <w:rPr>
        <w:sz w:val="20"/>
      </w:rPr>
      <w:t>2</w:t>
    </w:r>
    <w:r w:rsidR="00B0772C">
      <w:rPr>
        <w:sz w:val="20"/>
      </w:rPr>
      <w:t xml:space="preserve"> – </w:t>
    </w:r>
    <w:r w:rsidR="001268F8">
      <w:rPr>
        <w:sz w:val="20"/>
      </w:rPr>
      <w:t xml:space="preserve">EPREUVE </w:t>
    </w:r>
    <w:r w:rsidR="003D0C63">
      <w:rPr>
        <w:sz w:val="20"/>
      </w:rPr>
      <w:t>3.1</w:t>
    </w:r>
    <w:r w:rsidR="00B0772C">
      <w:rPr>
        <w:sz w:val="20"/>
      </w:rPr>
      <w:t xml:space="preserve"> - </w:t>
    </w:r>
    <w:r w:rsidR="003D0C63" w:rsidRPr="003D0C63">
      <w:rPr>
        <w:sz w:val="20"/>
      </w:rPr>
      <w:t>Economie Générale et Economie d'Entreprise</w:t>
    </w:r>
    <w:r w:rsidR="00B0772C">
      <w:rPr>
        <w:sz w:val="20"/>
      </w:rPr>
      <w:tab/>
    </w:r>
    <w:r w:rsidR="00B0772C">
      <w:rPr>
        <w:sz w:val="20"/>
      </w:rPr>
      <w:tab/>
    </w:r>
    <w:r w:rsidR="00B0772C">
      <w:rPr>
        <w:rStyle w:val="Numrodepage"/>
        <w:sz w:val="20"/>
      </w:rPr>
      <w:fldChar w:fldCharType="begin"/>
    </w:r>
    <w:r w:rsidR="00B0772C">
      <w:rPr>
        <w:rStyle w:val="Numrodepage"/>
        <w:sz w:val="20"/>
      </w:rPr>
      <w:instrText xml:space="preserve"> PAGE </w:instrText>
    </w:r>
    <w:r w:rsidR="00B0772C">
      <w:rPr>
        <w:rStyle w:val="Numrodepage"/>
        <w:sz w:val="20"/>
      </w:rPr>
      <w:fldChar w:fldCharType="separate"/>
    </w:r>
    <w:r w:rsidR="00233A44">
      <w:rPr>
        <w:rStyle w:val="Numrodepage"/>
        <w:noProof/>
        <w:sz w:val="20"/>
      </w:rPr>
      <w:t>1</w:t>
    </w:r>
    <w:r w:rsidR="00B0772C">
      <w:rPr>
        <w:rStyle w:val="Numrodepage"/>
        <w:sz w:val="20"/>
      </w:rPr>
      <w:fldChar w:fldCharType="end"/>
    </w:r>
    <w:r w:rsidR="00B0772C">
      <w:rPr>
        <w:sz w:val="20"/>
      </w:rPr>
      <w:t>/</w:t>
    </w:r>
    <w:r w:rsidR="00B0772C">
      <w:rPr>
        <w:rStyle w:val="Numrodepage"/>
        <w:sz w:val="20"/>
      </w:rPr>
      <w:fldChar w:fldCharType="begin"/>
    </w:r>
    <w:r w:rsidR="00B0772C">
      <w:rPr>
        <w:rStyle w:val="Numrodepage"/>
        <w:sz w:val="20"/>
      </w:rPr>
      <w:instrText xml:space="preserve"> NUMPAGES </w:instrText>
    </w:r>
    <w:r w:rsidR="00B0772C">
      <w:rPr>
        <w:rStyle w:val="Numrodepage"/>
        <w:sz w:val="20"/>
      </w:rPr>
      <w:fldChar w:fldCharType="separate"/>
    </w:r>
    <w:r w:rsidR="00233A44">
      <w:rPr>
        <w:rStyle w:val="Numrodepage"/>
        <w:noProof/>
        <w:sz w:val="20"/>
      </w:rPr>
      <w:t>6</w:t>
    </w:r>
    <w:r w:rsidR="00B0772C">
      <w:rPr>
        <w:rStyle w:val="Numrodepage"/>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6442" w:rsidRDefault="00E26442">
      <w:r>
        <w:separator/>
      </w:r>
    </w:p>
  </w:footnote>
  <w:footnote w:type="continuationSeparator" w:id="0">
    <w:p w:rsidR="00E26442" w:rsidRDefault="00E26442">
      <w:r>
        <w:continuationSeparator/>
      </w:r>
    </w:p>
  </w:footnote>
  <w:footnote w:id="1">
    <w:p w:rsidR="009730F3" w:rsidRDefault="009730F3">
      <w:pPr>
        <w:pStyle w:val="Notedebasdepage"/>
      </w:pPr>
      <w:r>
        <w:rPr>
          <w:rStyle w:val="Appelnotedebasdep"/>
        </w:rPr>
        <w:footnoteRef/>
      </w:r>
      <w:r>
        <w:t xml:space="preserve"> </w:t>
      </w:r>
      <w:r>
        <w:rPr>
          <w:rFonts w:ascii="Arial" w:hAnsi="Arial" w:cs="Arial"/>
          <w:i/>
          <w:iCs/>
          <w:sz w:val="17"/>
          <w:szCs w:val="17"/>
        </w:rPr>
        <w:t>L'OSEO est un Etablissement Public qui soutient l'innovation et la croissance des PME.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F89" w:rsidRDefault="00752C4A" w:rsidP="00466F89">
    <w:pPr>
      <w:pStyle w:val="En-tte"/>
      <w:ind w:right="849"/>
      <w:jc w:val="right"/>
    </w:pPr>
    <w:r>
      <w:rPr>
        <w:noProof/>
      </w:rPr>
      <w:drawing>
        <wp:anchor distT="0" distB="0" distL="114300" distR="114300" simplePos="0" relativeHeight="251657216" behindDoc="1" locked="0" layoutInCell="1" allowOverlap="1" wp14:anchorId="4CF07F4B" wp14:editId="41503CEF">
          <wp:simplePos x="0" y="0"/>
          <wp:positionH relativeFrom="margin">
            <wp:posOffset>5530215</wp:posOffset>
          </wp:positionH>
          <wp:positionV relativeFrom="margin">
            <wp:posOffset>-571500</wp:posOffset>
          </wp:positionV>
          <wp:extent cx="381000" cy="381000"/>
          <wp:effectExtent l="0" t="0" r="0" b="0"/>
          <wp:wrapNone/>
          <wp:docPr id="1" name="Image 6" descr="Description : C:\Mes documents\ACCOUNTANCY SIMPLY\Projet\logos_Comptazine_FB_TW-40-x-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Description : C:\Mes documents\ACCOUNTANCY SIMPLY\Projet\logos_Comptazine_FB_TW-40-x-40.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2" w:history="1">
      <w:r w:rsidR="00466F89" w:rsidRPr="006E50E1">
        <w:rPr>
          <w:rStyle w:val="Lienhypertexte"/>
          <w:rFonts w:ascii="Calibri" w:hAnsi="Calibri" w:cs="Calibri"/>
          <w:color w:val="E36C0A"/>
          <w:sz w:val="18"/>
        </w:rPr>
        <w:t>www.comptazine.fr</w:t>
      </w:r>
    </w:hyperlink>
    <w:r w:rsidR="00E26442">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92013490" o:spid="_x0000_s2050" type="#_x0000_t75" style="position:absolute;left:0;text-align:left;margin-left:0;margin-top:0;width:495.9pt;height:495.9pt;z-index:-251658240;mso-position-horizontal:center;mso-position-horizontal-relative:margin;mso-position-vertical:center;mso-position-vertical-relative:margin" o:allowincell="f">
          <v:imagedata r:id="rId3" o:title="logos_Comptazine_NB-OPACITE-20-200-x-200"/>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1.5pt;height:19.5pt;visibility:visible;mso-wrap-style:square" o:bullet="t">
        <v:imagedata r:id="rId1" o:title=""/>
      </v:shape>
    </w:pict>
  </w:numPicBullet>
  <w:abstractNum w:abstractNumId="0">
    <w:nsid w:val="137E0281"/>
    <w:multiLevelType w:val="hybridMultilevel"/>
    <w:tmpl w:val="6722DED0"/>
    <w:lvl w:ilvl="0" w:tplc="13200BEA">
      <w:start w:val="30"/>
      <w:numFmt w:val="bullet"/>
      <w:lvlText w:val="-"/>
      <w:lvlJc w:val="left"/>
      <w:pPr>
        <w:ind w:left="360" w:hanging="360"/>
      </w:pPr>
      <w:rPr>
        <w:rFonts w:ascii="Arial" w:eastAsia="Times New Roman"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20DF3E89"/>
    <w:multiLevelType w:val="hybridMultilevel"/>
    <w:tmpl w:val="BAE0BA2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414F3076"/>
    <w:multiLevelType w:val="hybridMultilevel"/>
    <w:tmpl w:val="60C01A96"/>
    <w:lvl w:ilvl="0" w:tplc="A8789A84">
      <w:start w:val="1"/>
      <w:numFmt w:val="lowerLetter"/>
      <w:lvlText w:val="%1)"/>
      <w:lvlJc w:val="left"/>
      <w:pPr>
        <w:tabs>
          <w:tab w:val="num" w:pos="1065"/>
        </w:tabs>
        <w:ind w:left="1065" w:hanging="360"/>
      </w:pPr>
      <w:rPr>
        <w:rFonts w:hint="default"/>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abstractNum w:abstractNumId="3">
    <w:nsid w:val="47764E1E"/>
    <w:multiLevelType w:val="hybridMultilevel"/>
    <w:tmpl w:val="3A80BF80"/>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479310A3"/>
    <w:multiLevelType w:val="hybridMultilevel"/>
    <w:tmpl w:val="09B48E9E"/>
    <w:lvl w:ilvl="0" w:tplc="A80C5DE0">
      <w:start w:val="1"/>
      <w:numFmt w:val="lowerLetter"/>
      <w:lvlText w:val="%1)"/>
      <w:lvlJc w:val="left"/>
      <w:pPr>
        <w:tabs>
          <w:tab w:val="num" w:pos="1065"/>
        </w:tabs>
        <w:ind w:left="1065" w:hanging="360"/>
      </w:pPr>
      <w:rPr>
        <w:rFonts w:hint="default"/>
        <w:b/>
      </w:rPr>
    </w:lvl>
    <w:lvl w:ilvl="1" w:tplc="040C0019" w:tentative="1">
      <w:start w:val="1"/>
      <w:numFmt w:val="lowerLetter"/>
      <w:lvlText w:val="%2."/>
      <w:lvlJc w:val="left"/>
      <w:pPr>
        <w:tabs>
          <w:tab w:val="num" w:pos="1785"/>
        </w:tabs>
        <w:ind w:left="1785" w:hanging="360"/>
      </w:pPr>
    </w:lvl>
    <w:lvl w:ilvl="2" w:tplc="040C001B" w:tentative="1">
      <w:start w:val="1"/>
      <w:numFmt w:val="lowerRoman"/>
      <w:lvlText w:val="%3."/>
      <w:lvlJc w:val="right"/>
      <w:pPr>
        <w:tabs>
          <w:tab w:val="num" w:pos="2505"/>
        </w:tabs>
        <w:ind w:left="2505" w:hanging="180"/>
      </w:pPr>
    </w:lvl>
    <w:lvl w:ilvl="3" w:tplc="040C000F" w:tentative="1">
      <w:start w:val="1"/>
      <w:numFmt w:val="decimal"/>
      <w:lvlText w:val="%4."/>
      <w:lvlJc w:val="left"/>
      <w:pPr>
        <w:tabs>
          <w:tab w:val="num" w:pos="3225"/>
        </w:tabs>
        <w:ind w:left="3225" w:hanging="360"/>
      </w:pPr>
    </w:lvl>
    <w:lvl w:ilvl="4" w:tplc="040C0019" w:tentative="1">
      <w:start w:val="1"/>
      <w:numFmt w:val="lowerLetter"/>
      <w:lvlText w:val="%5."/>
      <w:lvlJc w:val="left"/>
      <w:pPr>
        <w:tabs>
          <w:tab w:val="num" w:pos="3945"/>
        </w:tabs>
        <w:ind w:left="3945" w:hanging="360"/>
      </w:pPr>
    </w:lvl>
    <w:lvl w:ilvl="5" w:tplc="040C001B" w:tentative="1">
      <w:start w:val="1"/>
      <w:numFmt w:val="lowerRoman"/>
      <w:lvlText w:val="%6."/>
      <w:lvlJc w:val="right"/>
      <w:pPr>
        <w:tabs>
          <w:tab w:val="num" w:pos="4665"/>
        </w:tabs>
        <w:ind w:left="4665" w:hanging="180"/>
      </w:pPr>
    </w:lvl>
    <w:lvl w:ilvl="6" w:tplc="040C000F" w:tentative="1">
      <w:start w:val="1"/>
      <w:numFmt w:val="decimal"/>
      <w:lvlText w:val="%7."/>
      <w:lvlJc w:val="left"/>
      <w:pPr>
        <w:tabs>
          <w:tab w:val="num" w:pos="5385"/>
        </w:tabs>
        <w:ind w:left="5385" w:hanging="360"/>
      </w:pPr>
    </w:lvl>
    <w:lvl w:ilvl="7" w:tplc="040C0019" w:tentative="1">
      <w:start w:val="1"/>
      <w:numFmt w:val="lowerLetter"/>
      <w:lvlText w:val="%8."/>
      <w:lvlJc w:val="left"/>
      <w:pPr>
        <w:tabs>
          <w:tab w:val="num" w:pos="6105"/>
        </w:tabs>
        <w:ind w:left="6105" w:hanging="360"/>
      </w:pPr>
    </w:lvl>
    <w:lvl w:ilvl="8" w:tplc="040C001B" w:tentative="1">
      <w:start w:val="1"/>
      <w:numFmt w:val="lowerRoman"/>
      <w:lvlText w:val="%9."/>
      <w:lvlJc w:val="right"/>
      <w:pPr>
        <w:tabs>
          <w:tab w:val="num" w:pos="6825"/>
        </w:tabs>
        <w:ind w:left="6825" w:hanging="18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772C"/>
    <w:rsid w:val="00075DB6"/>
    <w:rsid w:val="000C15D4"/>
    <w:rsid w:val="001268F8"/>
    <w:rsid w:val="001618CA"/>
    <w:rsid w:val="00233A44"/>
    <w:rsid w:val="002E646B"/>
    <w:rsid w:val="003D0C63"/>
    <w:rsid w:val="00466F89"/>
    <w:rsid w:val="0049403B"/>
    <w:rsid w:val="00507D61"/>
    <w:rsid w:val="00704E17"/>
    <w:rsid w:val="00752C4A"/>
    <w:rsid w:val="007825F9"/>
    <w:rsid w:val="007A3C90"/>
    <w:rsid w:val="00876B33"/>
    <w:rsid w:val="009730F3"/>
    <w:rsid w:val="00B0772C"/>
    <w:rsid w:val="00B753B4"/>
    <w:rsid w:val="00BF7ABB"/>
    <w:rsid w:val="00C7079A"/>
    <w:rsid w:val="00C75734"/>
    <w:rsid w:val="00CF042D"/>
    <w:rsid w:val="00DF0AE4"/>
    <w:rsid w:val="00E26442"/>
    <w:rsid w:val="00E761CE"/>
    <w:rsid w:val="00F5348A"/>
    <w:rsid w:val="00F54A6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sz w:val="40"/>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jc w:val="center"/>
      <w:outlineLvl w:val="4"/>
    </w:pPr>
    <w:rPr>
      <w:b/>
      <w:u w:val="single"/>
    </w:rPr>
  </w:style>
  <w:style w:type="paragraph" w:styleId="Titre6">
    <w:name w:val="heading 6"/>
    <w:basedOn w:val="Normal"/>
    <w:next w:val="Normal"/>
    <w:qFormat/>
    <w:pPr>
      <w:keepNext/>
      <w:shd w:val="clear" w:color="auto" w:fill="FFFFFF"/>
      <w:jc w:val="center"/>
      <w:outlineLvl w:val="5"/>
    </w:pPr>
    <w:rPr>
      <w:i/>
      <w:iCs/>
      <w:color w:val="000000"/>
      <w:spacing w:val="-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basedOn w:val="Policepardfaut"/>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basedOn w:val="Policepardfaut"/>
    <w:rsid w:val="00C7079A"/>
    <w:rPr>
      <w:vertAlign w:val="superscript"/>
    </w:rPr>
  </w:style>
  <w:style w:type="paragraph" w:styleId="Paragraphedeliste">
    <w:name w:val="List Paragraph"/>
    <w:basedOn w:val="Normal"/>
    <w:uiPriority w:val="34"/>
    <w:qFormat/>
    <w:rsid w:val="003D0C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Titre1">
    <w:name w:val="heading 1"/>
    <w:basedOn w:val="Normal"/>
    <w:next w:val="Normal"/>
    <w:qFormat/>
    <w:pPr>
      <w:keepNext/>
      <w:jc w:val="both"/>
      <w:outlineLvl w:val="0"/>
    </w:pPr>
    <w:rPr>
      <w:rFonts w:eastAsia="Arial Unicode MS"/>
      <w:b/>
      <w:bCs/>
      <w:sz w:val="36"/>
      <w:szCs w:val="36"/>
    </w:rPr>
  </w:style>
  <w:style w:type="paragraph" w:styleId="Titre2">
    <w:name w:val="heading 2"/>
    <w:basedOn w:val="Normal"/>
    <w:next w:val="Normal"/>
    <w:qFormat/>
    <w:pPr>
      <w:keepNext/>
      <w:outlineLvl w:val="1"/>
    </w:pPr>
    <w:rPr>
      <w:b/>
    </w:rPr>
  </w:style>
  <w:style w:type="paragraph" w:styleId="Titre3">
    <w:name w:val="heading 3"/>
    <w:basedOn w:val="Normal"/>
    <w:next w:val="Normal"/>
    <w:qFormat/>
    <w:pPr>
      <w:keepNext/>
      <w:jc w:val="center"/>
      <w:outlineLvl w:val="2"/>
    </w:pPr>
    <w:rPr>
      <w:b/>
      <w:sz w:val="40"/>
    </w:rPr>
  </w:style>
  <w:style w:type="paragraph" w:styleId="Titre4">
    <w:name w:val="heading 4"/>
    <w:basedOn w:val="Normal"/>
    <w:next w:val="Normal"/>
    <w:qFormat/>
    <w:pPr>
      <w:keepNext/>
      <w:jc w:val="center"/>
      <w:outlineLvl w:val="3"/>
    </w:pPr>
    <w:rPr>
      <w:b/>
      <w:bCs/>
    </w:rPr>
  </w:style>
  <w:style w:type="paragraph" w:styleId="Titre5">
    <w:name w:val="heading 5"/>
    <w:basedOn w:val="Normal"/>
    <w:next w:val="Normal"/>
    <w:qFormat/>
    <w:pPr>
      <w:keepNext/>
      <w:jc w:val="center"/>
      <w:outlineLvl w:val="4"/>
    </w:pPr>
    <w:rPr>
      <w:b/>
      <w:u w:val="single"/>
    </w:rPr>
  </w:style>
  <w:style w:type="paragraph" w:styleId="Titre6">
    <w:name w:val="heading 6"/>
    <w:basedOn w:val="Normal"/>
    <w:next w:val="Normal"/>
    <w:qFormat/>
    <w:pPr>
      <w:keepNext/>
      <w:shd w:val="clear" w:color="auto" w:fill="FFFFFF"/>
      <w:jc w:val="center"/>
      <w:outlineLvl w:val="5"/>
    </w:pPr>
    <w:rPr>
      <w:i/>
      <w:iCs/>
      <w:color w:val="000000"/>
      <w:spacing w:val="-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qFormat/>
    <w:pPr>
      <w:widowControl w:val="0"/>
      <w:overflowPunct w:val="0"/>
      <w:autoSpaceDE w:val="0"/>
      <w:autoSpaceDN w:val="0"/>
      <w:adjustRightInd w:val="0"/>
      <w:jc w:val="center"/>
    </w:pPr>
    <w:rPr>
      <w:sz w:val="28"/>
      <w:szCs w:val="28"/>
    </w:rPr>
  </w:style>
  <w:style w:type="paragraph" w:styleId="Sous-titre">
    <w:name w:val="Subtitle"/>
    <w:basedOn w:val="Normal"/>
    <w:qFormat/>
    <w:pPr>
      <w:spacing w:line="256" w:lineRule="auto"/>
      <w:jc w:val="center"/>
    </w:pPr>
    <w:rPr>
      <w:b/>
      <w:sz w:val="28"/>
      <w:szCs w:val="22"/>
    </w:rPr>
  </w:style>
  <w:style w:type="paragraph" w:styleId="En-tte">
    <w:name w:val="header"/>
    <w:basedOn w:val="Normal"/>
    <w:link w:val="En-tteCar"/>
    <w:pPr>
      <w:tabs>
        <w:tab w:val="center" w:pos="4536"/>
        <w:tab w:val="right" w:pos="9072"/>
      </w:tabs>
    </w:pPr>
  </w:style>
  <w:style w:type="paragraph" w:styleId="Corpsdetexte">
    <w:name w:val="Body Text"/>
    <w:basedOn w:val="Normal"/>
    <w:pPr>
      <w:pBdr>
        <w:top w:val="single" w:sz="4" w:space="1" w:color="auto"/>
        <w:left w:val="single" w:sz="4" w:space="4" w:color="auto"/>
        <w:bottom w:val="single" w:sz="4" w:space="1" w:color="auto"/>
        <w:right w:val="single" w:sz="4" w:space="4" w:color="auto"/>
      </w:pBdr>
      <w:jc w:val="both"/>
    </w:pPr>
    <w:rPr>
      <w:b/>
      <w:bCs/>
      <w:sz w:val="22"/>
      <w:szCs w:val="22"/>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paragraph" w:styleId="Pieddepage">
    <w:name w:val="footer"/>
    <w:basedOn w:val="Normal"/>
    <w:pPr>
      <w:tabs>
        <w:tab w:val="center" w:pos="4536"/>
        <w:tab w:val="right" w:pos="9072"/>
      </w:tabs>
    </w:pPr>
  </w:style>
  <w:style w:type="character" w:styleId="Numrodepage">
    <w:name w:val="page number"/>
    <w:basedOn w:val="Policepardfaut"/>
  </w:style>
  <w:style w:type="paragraph" w:styleId="Retraitcorpsdetexte">
    <w:name w:val="Body Text Indent"/>
    <w:basedOn w:val="Normal"/>
    <w:pPr>
      <w:ind w:left="284" w:hanging="284"/>
      <w:jc w:val="both"/>
    </w:pPr>
    <w:rPr>
      <w:b/>
    </w:rPr>
  </w:style>
  <w:style w:type="character" w:styleId="Lienhypertexte">
    <w:name w:val="Hyperlink"/>
    <w:uiPriority w:val="99"/>
    <w:unhideWhenUsed/>
    <w:rsid w:val="00466F89"/>
    <w:rPr>
      <w:color w:val="0000FF"/>
      <w:u w:val="single"/>
    </w:rPr>
  </w:style>
  <w:style w:type="character" w:customStyle="1" w:styleId="En-tteCar">
    <w:name w:val="En-tête Car"/>
    <w:link w:val="En-tte"/>
    <w:rsid w:val="00466F89"/>
    <w:rPr>
      <w:sz w:val="24"/>
      <w:szCs w:val="24"/>
    </w:rPr>
  </w:style>
  <w:style w:type="table" w:styleId="Grilledutableau">
    <w:name w:val="Table Grid"/>
    <w:basedOn w:val="TableauNormal"/>
    <w:rsid w:val="00C757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edebulles">
    <w:name w:val="Balloon Text"/>
    <w:basedOn w:val="Normal"/>
    <w:link w:val="TextedebullesCar"/>
    <w:rsid w:val="00C75734"/>
    <w:rPr>
      <w:rFonts w:ascii="Tahoma" w:hAnsi="Tahoma" w:cs="Tahoma"/>
      <w:sz w:val="16"/>
      <w:szCs w:val="16"/>
    </w:rPr>
  </w:style>
  <w:style w:type="character" w:customStyle="1" w:styleId="TextedebullesCar">
    <w:name w:val="Texte de bulles Car"/>
    <w:basedOn w:val="Policepardfaut"/>
    <w:link w:val="Textedebulles"/>
    <w:rsid w:val="00C75734"/>
    <w:rPr>
      <w:rFonts w:ascii="Tahoma" w:hAnsi="Tahoma" w:cs="Tahoma"/>
      <w:sz w:val="16"/>
      <w:szCs w:val="16"/>
    </w:rPr>
  </w:style>
  <w:style w:type="paragraph" w:styleId="Notedebasdepage">
    <w:name w:val="footnote text"/>
    <w:basedOn w:val="Normal"/>
    <w:link w:val="NotedebasdepageCar"/>
    <w:rsid w:val="00C7079A"/>
    <w:rPr>
      <w:sz w:val="20"/>
      <w:szCs w:val="20"/>
    </w:rPr>
  </w:style>
  <w:style w:type="character" w:customStyle="1" w:styleId="NotedebasdepageCar">
    <w:name w:val="Note de bas de page Car"/>
    <w:basedOn w:val="Policepardfaut"/>
    <w:link w:val="Notedebasdepage"/>
    <w:rsid w:val="00C7079A"/>
  </w:style>
  <w:style w:type="character" w:styleId="Appelnotedebasdep">
    <w:name w:val="footnote reference"/>
    <w:basedOn w:val="Policepardfaut"/>
    <w:rsid w:val="00C7079A"/>
    <w:rPr>
      <w:vertAlign w:val="superscript"/>
    </w:rPr>
  </w:style>
  <w:style w:type="paragraph" w:styleId="Paragraphedeliste">
    <w:name w:val="List Paragraph"/>
    <w:basedOn w:val="Normal"/>
    <w:uiPriority w:val="34"/>
    <w:qFormat/>
    <w:rsid w:val="003D0C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112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emf"/><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hyperlink" Target="http://www.comptazine.fr" TargetMode="External"/><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602668-B7FD-42A8-BC4B-CB21B22BD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6</Pages>
  <Words>1309</Words>
  <Characters>7202</Characters>
  <Application>Microsoft Office Word</Application>
  <DocSecurity>0</DocSecurity>
  <Lines>60</Lines>
  <Paragraphs>16</Paragraphs>
  <ScaleCrop>false</ScaleCrop>
  <HeadingPairs>
    <vt:vector size="2" baseType="variant">
      <vt:variant>
        <vt:lpstr>Titre</vt:lpstr>
      </vt:variant>
      <vt:variant>
        <vt:i4>1</vt:i4>
      </vt:variant>
    </vt:vector>
  </HeadingPairs>
  <TitlesOfParts>
    <vt:vector size="1" baseType="lpstr">
      <vt:lpstr/>
    </vt:vector>
  </TitlesOfParts>
  <Company>siec</Company>
  <LinksUpToDate>false</LinksUpToDate>
  <CharactersWithSpaces>8495</CharactersWithSpaces>
  <SharedDoc>false</SharedDoc>
  <HLinks>
    <vt:vector size="6" baseType="variant">
      <vt:variant>
        <vt:i4>1638468</vt:i4>
      </vt:variant>
      <vt:variant>
        <vt:i4>0</vt:i4>
      </vt:variant>
      <vt:variant>
        <vt:i4>0</vt:i4>
      </vt:variant>
      <vt:variant>
        <vt:i4>5</vt:i4>
      </vt:variant>
      <vt:variant>
        <vt:lpwstr>http://www.comptazine.fr/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Comptazine</dc:creator>
  <cp:lastModifiedBy>Comptazine</cp:lastModifiedBy>
  <cp:revision>8</cp:revision>
  <cp:lastPrinted>2012-09-11T17:45:00Z</cp:lastPrinted>
  <dcterms:created xsi:type="dcterms:W3CDTF">2012-09-11T17:45:00Z</dcterms:created>
  <dcterms:modified xsi:type="dcterms:W3CDTF">2012-11-28T16:22:00Z</dcterms:modified>
</cp:coreProperties>
</file>