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w:t>
      </w:r>
      <w:r w:rsidR="009730F3">
        <w:rPr>
          <w:rFonts w:ascii="Arial" w:hAnsi="Arial" w:cs="Arial"/>
          <w:b/>
          <w:bCs/>
          <w:sz w:val="28"/>
          <w:szCs w:val="28"/>
        </w:rPr>
        <w:t>2</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9730F3">
        <w:rPr>
          <w:rFonts w:ascii="Arial" w:hAnsi="Arial" w:cs="Arial"/>
          <w:b/>
          <w:bCs/>
        </w:rPr>
        <w:t>6</w:t>
      </w:r>
      <w:r>
        <w:rPr>
          <w:rFonts w:ascii="Arial" w:hAnsi="Arial" w:cs="Arial"/>
          <w:b/>
          <w:bCs/>
        </w:rPr>
        <w:t xml:space="preserve"> pages, numérotées de 1 à </w:t>
      </w:r>
      <w:r w:rsidR="009730F3">
        <w:rPr>
          <w:rFonts w:ascii="Arial" w:hAnsi="Arial" w:cs="Arial"/>
          <w:b/>
          <w:bCs/>
        </w:rPr>
        <w:t>6</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3D0C63">
      <w:pPr>
        <w:autoSpaceDE w:val="0"/>
        <w:autoSpaceDN w:val="0"/>
        <w:adjustRightInd w:val="0"/>
        <w:rPr>
          <w:rFonts w:ascii="Arial" w:hAnsi="Arial" w:cs="Arial"/>
          <w:b/>
          <w:bCs/>
          <w:sz w:val="28"/>
          <w:szCs w:val="32"/>
        </w:rPr>
      </w:pPr>
    </w:p>
    <w:p w:rsidR="003D0C63" w:rsidRDefault="009730F3" w:rsidP="009730F3">
      <w:pPr>
        <w:autoSpaceDE w:val="0"/>
        <w:autoSpaceDN w:val="0"/>
        <w:adjustRightInd w:val="0"/>
        <w:rPr>
          <w:rFonts w:ascii="Arial" w:hAnsi="Arial" w:cs="Arial"/>
          <w:bCs/>
          <w:szCs w:val="32"/>
        </w:rPr>
      </w:pPr>
      <w:r w:rsidRPr="009730F3">
        <w:rPr>
          <w:rFonts w:ascii="Arial" w:hAnsi="Arial" w:cs="Arial"/>
          <w:bCs/>
          <w:szCs w:val="32"/>
        </w:rPr>
        <w:t>À partir de vos connaissances et des documents proposés en annexes 1 à 4, vous répondrez</w:t>
      </w:r>
      <w:r>
        <w:rPr>
          <w:rFonts w:ascii="Arial" w:hAnsi="Arial" w:cs="Arial"/>
          <w:bCs/>
          <w:szCs w:val="32"/>
        </w:rPr>
        <w:t xml:space="preserve"> </w:t>
      </w:r>
      <w:r w:rsidRPr="009730F3">
        <w:rPr>
          <w:rFonts w:ascii="Arial" w:hAnsi="Arial" w:cs="Arial"/>
          <w:bCs/>
          <w:szCs w:val="32"/>
        </w:rPr>
        <w:t>aux questions suivantes :</w:t>
      </w:r>
    </w:p>
    <w:p w:rsidR="009730F3" w:rsidRPr="003D0C63" w:rsidRDefault="009730F3" w:rsidP="009730F3">
      <w:pPr>
        <w:autoSpaceDE w:val="0"/>
        <w:autoSpaceDN w:val="0"/>
        <w:adjustRightInd w:val="0"/>
        <w:rPr>
          <w:rFonts w:ascii="Arial" w:hAnsi="Arial" w:cs="Arial"/>
          <w:bCs/>
          <w:szCs w:val="32"/>
        </w:rPr>
      </w:pPr>
    </w:p>
    <w:p w:rsidR="009730F3" w:rsidRDefault="009730F3" w:rsidP="009730F3">
      <w:pPr>
        <w:pStyle w:val="Paragraphedeliste"/>
        <w:numPr>
          <w:ilvl w:val="0"/>
          <w:numId w:val="4"/>
        </w:numPr>
        <w:autoSpaceDE w:val="0"/>
        <w:autoSpaceDN w:val="0"/>
        <w:adjustRightInd w:val="0"/>
        <w:rPr>
          <w:rFonts w:ascii="Arial" w:hAnsi="Arial" w:cs="Arial"/>
          <w:bCs/>
          <w:szCs w:val="32"/>
        </w:rPr>
      </w:pPr>
      <w:r w:rsidRPr="009730F3">
        <w:rPr>
          <w:rFonts w:ascii="Arial" w:hAnsi="Arial" w:cs="Arial"/>
          <w:bCs/>
          <w:szCs w:val="32"/>
        </w:rPr>
        <w:t>Analysez les principales évolutions du marché des crédits immobiliers depuis dix ans en France.</w:t>
      </w:r>
    </w:p>
    <w:p w:rsidR="009730F3" w:rsidRPr="009730F3" w:rsidRDefault="009730F3" w:rsidP="009730F3">
      <w:pPr>
        <w:autoSpaceDE w:val="0"/>
        <w:autoSpaceDN w:val="0"/>
        <w:adjustRightInd w:val="0"/>
        <w:rPr>
          <w:rFonts w:ascii="Arial" w:hAnsi="Arial" w:cs="Arial"/>
          <w:bCs/>
          <w:szCs w:val="32"/>
        </w:rPr>
      </w:pPr>
    </w:p>
    <w:p w:rsidR="009730F3" w:rsidRDefault="009730F3" w:rsidP="009730F3">
      <w:pPr>
        <w:pStyle w:val="Paragraphedeliste"/>
        <w:numPr>
          <w:ilvl w:val="0"/>
          <w:numId w:val="4"/>
        </w:numPr>
        <w:autoSpaceDE w:val="0"/>
        <w:autoSpaceDN w:val="0"/>
        <w:adjustRightInd w:val="0"/>
        <w:rPr>
          <w:rFonts w:ascii="Arial" w:hAnsi="Arial" w:cs="Arial"/>
          <w:bCs/>
          <w:szCs w:val="32"/>
        </w:rPr>
      </w:pPr>
      <w:r w:rsidRPr="009730F3">
        <w:rPr>
          <w:rFonts w:ascii="Arial" w:hAnsi="Arial" w:cs="Arial"/>
          <w:bCs/>
          <w:szCs w:val="32"/>
        </w:rPr>
        <w:t>Appréciez la relation entre le marché des crédits et le marché immobilier.</w:t>
      </w:r>
    </w:p>
    <w:p w:rsidR="009730F3" w:rsidRPr="009730F3" w:rsidRDefault="009730F3" w:rsidP="009730F3">
      <w:pPr>
        <w:pStyle w:val="Paragraphedeliste"/>
        <w:rPr>
          <w:rFonts w:ascii="Arial" w:hAnsi="Arial" w:cs="Arial"/>
          <w:bCs/>
          <w:szCs w:val="32"/>
        </w:rPr>
      </w:pPr>
    </w:p>
    <w:p w:rsidR="009730F3" w:rsidRPr="009730F3" w:rsidRDefault="009730F3" w:rsidP="009730F3">
      <w:pPr>
        <w:autoSpaceDE w:val="0"/>
        <w:autoSpaceDN w:val="0"/>
        <w:adjustRightInd w:val="0"/>
        <w:rPr>
          <w:rFonts w:ascii="Arial" w:hAnsi="Arial" w:cs="Arial"/>
          <w:bCs/>
          <w:szCs w:val="32"/>
        </w:rPr>
      </w:pPr>
    </w:p>
    <w:p w:rsidR="009730F3" w:rsidRDefault="009730F3" w:rsidP="009730F3">
      <w:pPr>
        <w:pStyle w:val="Paragraphedeliste"/>
        <w:numPr>
          <w:ilvl w:val="0"/>
          <w:numId w:val="4"/>
        </w:numPr>
        <w:autoSpaceDE w:val="0"/>
        <w:autoSpaceDN w:val="0"/>
        <w:adjustRightInd w:val="0"/>
        <w:rPr>
          <w:rFonts w:ascii="Arial" w:hAnsi="Arial" w:cs="Arial"/>
          <w:bCs/>
          <w:szCs w:val="32"/>
        </w:rPr>
      </w:pPr>
      <w:r w:rsidRPr="009730F3">
        <w:rPr>
          <w:rFonts w:ascii="Arial" w:hAnsi="Arial" w:cs="Arial"/>
          <w:bCs/>
          <w:szCs w:val="32"/>
        </w:rPr>
        <w:t>Présentez les moyens d'intervention à la disposition des pouvoirs publics pour soutenir l'activité immobilière.</w:t>
      </w:r>
    </w:p>
    <w:p w:rsidR="009730F3" w:rsidRPr="009730F3" w:rsidRDefault="009730F3" w:rsidP="009730F3">
      <w:pPr>
        <w:autoSpaceDE w:val="0"/>
        <w:autoSpaceDN w:val="0"/>
        <w:adjustRightInd w:val="0"/>
        <w:rPr>
          <w:rFonts w:ascii="Arial" w:hAnsi="Arial" w:cs="Arial"/>
          <w:bCs/>
          <w:szCs w:val="32"/>
        </w:rPr>
      </w:pPr>
    </w:p>
    <w:p w:rsidR="003D0C63" w:rsidRPr="009730F3" w:rsidRDefault="009730F3" w:rsidP="009730F3">
      <w:pPr>
        <w:pStyle w:val="Paragraphedeliste"/>
        <w:numPr>
          <w:ilvl w:val="0"/>
          <w:numId w:val="4"/>
        </w:numPr>
        <w:autoSpaceDE w:val="0"/>
        <w:autoSpaceDN w:val="0"/>
        <w:adjustRightInd w:val="0"/>
        <w:rPr>
          <w:rFonts w:ascii="Arial" w:hAnsi="Arial" w:cs="Arial"/>
          <w:bCs/>
          <w:szCs w:val="32"/>
        </w:rPr>
      </w:pPr>
      <w:r w:rsidRPr="009730F3">
        <w:rPr>
          <w:rFonts w:ascii="Arial" w:hAnsi="Arial" w:cs="Arial"/>
          <w:bCs/>
          <w:szCs w:val="32"/>
        </w:rPr>
        <w:t>L'augmentation de la dette publique peut-elle infléchir la dynamique du marché</w:t>
      </w:r>
      <w:r>
        <w:rPr>
          <w:rFonts w:ascii="Arial" w:hAnsi="Arial" w:cs="Arial"/>
          <w:bCs/>
          <w:szCs w:val="32"/>
        </w:rPr>
        <w:t xml:space="preserve"> </w:t>
      </w:r>
      <w:r w:rsidRPr="009730F3">
        <w:rPr>
          <w:rFonts w:ascii="Arial" w:hAnsi="Arial" w:cs="Arial"/>
          <w:bCs/>
          <w:szCs w:val="32"/>
        </w:rPr>
        <w:t>immobilier ?</w:t>
      </w:r>
    </w:p>
    <w:p w:rsidR="00C75734" w:rsidRDefault="00C75734" w:rsidP="003D0C63">
      <w:pPr>
        <w:autoSpaceDE w:val="0"/>
        <w:autoSpaceDN w:val="0"/>
        <w:adjustRightInd w:val="0"/>
        <w:rPr>
          <w:rFonts w:ascii="Arial" w:hAnsi="Arial" w:cs="Arial"/>
          <w:b/>
          <w:bCs/>
          <w:sz w:val="28"/>
          <w:szCs w:val="28"/>
        </w:rPr>
      </w:pPr>
    </w:p>
    <w:p w:rsidR="00C75734" w:rsidRDefault="00C75734" w:rsidP="003D0C63">
      <w:pPr>
        <w:autoSpaceDE w:val="0"/>
        <w:autoSpaceDN w:val="0"/>
        <w:adjustRightInd w:val="0"/>
        <w:rPr>
          <w:rFonts w:ascii="Arial" w:hAnsi="Arial" w:cs="Arial"/>
          <w:b/>
          <w:bCs/>
          <w:sz w:val="28"/>
          <w:szCs w:val="28"/>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9730F3" w:rsidRDefault="009730F3" w:rsidP="009730F3">
      <w:pPr>
        <w:autoSpaceDE w:val="0"/>
        <w:autoSpaceDN w:val="0"/>
        <w:adjustRightInd w:val="0"/>
        <w:rPr>
          <w:rFonts w:ascii="Arial" w:hAnsi="Arial" w:cs="Arial"/>
          <w:bCs/>
          <w:szCs w:val="32"/>
        </w:rPr>
      </w:pPr>
      <w:r w:rsidRPr="009730F3">
        <w:rPr>
          <w:rFonts w:ascii="Arial" w:hAnsi="Arial" w:cs="Arial"/>
          <w:bCs/>
          <w:szCs w:val="32"/>
        </w:rPr>
        <w:t>Selon OSE0</w:t>
      </w:r>
      <w:r>
        <w:rPr>
          <w:rStyle w:val="Appelnotedebasdep"/>
          <w:rFonts w:ascii="Arial" w:hAnsi="Arial" w:cs="Arial"/>
          <w:bCs/>
          <w:szCs w:val="32"/>
        </w:rPr>
        <w:footnoteReference w:id="1"/>
      </w:r>
      <w:r w:rsidRPr="009730F3">
        <w:rPr>
          <w:rFonts w:ascii="Arial" w:hAnsi="Arial" w:cs="Arial"/>
          <w:bCs/>
          <w:szCs w:val="32"/>
        </w:rPr>
        <w:t xml:space="preserve">, </w:t>
      </w:r>
      <w:r w:rsidRPr="009730F3">
        <w:rPr>
          <w:rFonts w:ascii="Arial" w:hAnsi="Arial" w:cs="Arial"/>
          <w:bCs/>
          <w:i/>
          <w:szCs w:val="32"/>
        </w:rPr>
        <w:t>« L'innovation est une stratégie incontournable pour les entreprises même si le processus d'innovation reste complexe, car les échecs sont fréquents et onéreux »</w:t>
      </w:r>
      <w:r w:rsidRPr="009730F3">
        <w:rPr>
          <w:rFonts w:ascii="Arial" w:hAnsi="Arial" w:cs="Arial"/>
          <w:bCs/>
          <w:szCs w:val="32"/>
        </w:rPr>
        <w:t>.</w:t>
      </w:r>
    </w:p>
    <w:p w:rsidR="009730F3" w:rsidRDefault="009730F3" w:rsidP="009730F3">
      <w:pPr>
        <w:autoSpaceDE w:val="0"/>
        <w:autoSpaceDN w:val="0"/>
        <w:adjustRightInd w:val="0"/>
        <w:rPr>
          <w:rFonts w:ascii="Arial" w:hAnsi="Arial" w:cs="Arial"/>
          <w:bCs/>
          <w:szCs w:val="32"/>
        </w:rPr>
      </w:pPr>
    </w:p>
    <w:p w:rsidR="009730F3" w:rsidRDefault="009730F3" w:rsidP="009730F3">
      <w:pPr>
        <w:autoSpaceDE w:val="0"/>
        <w:autoSpaceDN w:val="0"/>
        <w:adjustRightInd w:val="0"/>
        <w:rPr>
          <w:rFonts w:ascii="Arial" w:hAnsi="Arial" w:cs="Arial"/>
          <w:bCs/>
          <w:szCs w:val="32"/>
        </w:rPr>
      </w:pPr>
      <w:r w:rsidRPr="009730F3">
        <w:rPr>
          <w:rFonts w:ascii="Arial" w:hAnsi="Arial" w:cs="Arial"/>
          <w:bCs/>
          <w:szCs w:val="32"/>
        </w:rPr>
        <w:t>A l'aide de vos connaissances et dans un développement structuré, comportant une</w:t>
      </w:r>
      <w:r>
        <w:rPr>
          <w:rFonts w:ascii="Arial" w:hAnsi="Arial" w:cs="Arial"/>
          <w:bCs/>
          <w:szCs w:val="32"/>
        </w:rPr>
        <w:t xml:space="preserve"> </w:t>
      </w:r>
      <w:r w:rsidRPr="009730F3">
        <w:rPr>
          <w:rFonts w:ascii="Arial" w:hAnsi="Arial" w:cs="Arial"/>
          <w:bCs/>
          <w:szCs w:val="32"/>
        </w:rPr>
        <w:t>introduction et une conclusion, vous répondrez aux questions suivantes :</w:t>
      </w:r>
      <w:r>
        <w:rPr>
          <w:rFonts w:ascii="Arial" w:hAnsi="Arial" w:cs="Arial"/>
          <w:bCs/>
          <w:szCs w:val="32"/>
        </w:rPr>
        <w:t xml:space="preserve"> </w:t>
      </w:r>
    </w:p>
    <w:p w:rsidR="009730F3" w:rsidRDefault="009730F3" w:rsidP="009730F3">
      <w:pPr>
        <w:autoSpaceDE w:val="0"/>
        <w:autoSpaceDN w:val="0"/>
        <w:adjustRightInd w:val="0"/>
        <w:rPr>
          <w:rFonts w:ascii="Arial" w:hAnsi="Arial" w:cs="Arial"/>
          <w:bCs/>
          <w:szCs w:val="32"/>
        </w:rPr>
      </w:pPr>
    </w:p>
    <w:p w:rsidR="009730F3" w:rsidRDefault="009730F3" w:rsidP="009730F3">
      <w:pPr>
        <w:autoSpaceDE w:val="0"/>
        <w:autoSpaceDN w:val="0"/>
        <w:adjustRightInd w:val="0"/>
        <w:rPr>
          <w:rFonts w:ascii="Arial" w:hAnsi="Arial" w:cs="Arial"/>
          <w:bCs/>
          <w:szCs w:val="32"/>
        </w:rPr>
      </w:pPr>
    </w:p>
    <w:p w:rsidR="003D0C63" w:rsidRPr="009730F3" w:rsidRDefault="009730F3" w:rsidP="009730F3">
      <w:pPr>
        <w:autoSpaceDE w:val="0"/>
        <w:autoSpaceDN w:val="0"/>
        <w:adjustRightInd w:val="0"/>
        <w:jc w:val="center"/>
        <w:rPr>
          <w:rFonts w:ascii="Arial" w:hAnsi="Arial" w:cs="Arial"/>
          <w:b/>
          <w:bCs/>
          <w:sz w:val="20"/>
          <w:szCs w:val="32"/>
        </w:rPr>
      </w:pPr>
      <w:r w:rsidRPr="009730F3">
        <w:rPr>
          <w:rFonts w:ascii="Arial" w:hAnsi="Arial" w:cs="Arial"/>
          <w:b/>
          <w:bCs/>
          <w:sz w:val="20"/>
          <w:szCs w:val="32"/>
        </w:rPr>
        <w:t>« Pour quelles raisons une politique d'innovation est essentielle pour les entreprises et quelles sont les conditions de sa réussite ? »</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876B33" w:rsidRDefault="003D0C63" w:rsidP="003D0C63">
      <w:pPr>
        <w:rPr>
          <w:rFonts w:ascii="Arial" w:hAnsi="Arial" w:cs="Arial"/>
          <w:b/>
          <w:bCs/>
          <w:sz w:val="28"/>
          <w:szCs w:val="32"/>
          <w:u w:val="single"/>
        </w:rPr>
      </w:pPr>
      <w:r>
        <w:rPr>
          <w:rFonts w:ascii="Arial" w:hAnsi="Arial" w:cs="Arial"/>
          <w:b/>
          <w:bCs/>
          <w:sz w:val="28"/>
          <w:szCs w:val="32"/>
          <w:u w:val="single"/>
        </w:rPr>
        <w:br w:type="page"/>
      </w:r>
    </w:p>
    <w:p w:rsidR="003D0C63" w:rsidRPr="009730F3" w:rsidRDefault="003D0C63" w:rsidP="003D0C63">
      <w:pPr>
        <w:rPr>
          <w:rFonts w:ascii="Arial" w:hAnsi="Arial" w:cs="Arial"/>
          <w:b/>
          <w:bCs/>
          <w:szCs w:val="22"/>
        </w:rPr>
      </w:pPr>
      <w:r w:rsidRPr="009730F3">
        <w:rPr>
          <w:rFonts w:ascii="Arial" w:hAnsi="Arial" w:cs="Arial"/>
          <w:b/>
          <w:bCs/>
          <w:szCs w:val="22"/>
        </w:rPr>
        <w:lastRenderedPageBreak/>
        <w:t xml:space="preserve">Annexe 1 : </w:t>
      </w:r>
      <w:r w:rsidR="009730F3" w:rsidRPr="009730F3">
        <w:rPr>
          <w:rFonts w:ascii="Arial" w:hAnsi="Arial" w:cs="Arial"/>
          <w:b/>
          <w:bCs/>
          <w:szCs w:val="22"/>
        </w:rPr>
        <w:t>Le marché des crédits immobiliers</w:t>
      </w:r>
    </w:p>
    <w:p w:rsidR="003D0C63" w:rsidRPr="009730F3" w:rsidRDefault="003D0C63" w:rsidP="003D0C63">
      <w:pPr>
        <w:rPr>
          <w:rFonts w:ascii="Arial" w:hAnsi="Arial" w:cs="Arial"/>
          <w:b/>
          <w:bCs/>
          <w:sz w:val="22"/>
          <w:szCs w:val="22"/>
        </w:rPr>
      </w:pPr>
    </w:p>
    <w:p w:rsidR="009730F3" w:rsidRPr="009730F3" w:rsidRDefault="009730F3" w:rsidP="009730F3">
      <w:pPr>
        <w:autoSpaceDE w:val="0"/>
        <w:autoSpaceDN w:val="0"/>
        <w:adjustRightInd w:val="0"/>
        <w:rPr>
          <w:rFonts w:ascii="Arial" w:hAnsi="Arial" w:cs="Arial"/>
          <w:i/>
          <w:iCs/>
          <w:sz w:val="22"/>
          <w:szCs w:val="22"/>
        </w:rPr>
      </w:pPr>
      <w:r w:rsidRPr="009730F3">
        <w:rPr>
          <w:rFonts w:ascii="Arial" w:hAnsi="Arial" w:cs="Arial"/>
          <w:i/>
          <w:iCs/>
          <w:sz w:val="22"/>
          <w:szCs w:val="22"/>
        </w:rPr>
        <w:t>Evolution des taux des crédits aux particuliers (2001-2011)</w:t>
      </w:r>
    </w:p>
    <w:p w:rsidR="009730F3" w:rsidRPr="009730F3" w:rsidRDefault="009730F3" w:rsidP="009730F3">
      <w:pPr>
        <w:rPr>
          <w:rFonts w:ascii="Arial" w:hAnsi="Arial" w:cs="Arial"/>
          <w:sz w:val="22"/>
          <w:szCs w:val="22"/>
        </w:rPr>
      </w:pPr>
    </w:p>
    <w:p w:rsidR="009730F3" w:rsidRPr="009730F3" w:rsidRDefault="009730F3" w:rsidP="009730F3">
      <w:pPr>
        <w:rPr>
          <w:rFonts w:ascii="Arial" w:hAnsi="Arial" w:cs="Arial"/>
          <w:sz w:val="22"/>
          <w:szCs w:val="22"/>
        </w:rPr>
      </w:pPr>
    </w:p>
    <w:p w:rsidR="003D0C63" w:rsidRPr="009730F3" w:rsidRDefault="009730F3" w:rsidP="009730F3">
      <w:pPr>
        <w:rPr>
          <w:rFonts w:ascii="Arial" w:hAnsi="Arial" w:cs="Arial"/>
          <w:sz w:val="22"/>
          <w:szCs w:val="22"/>
        </w:rPr>
      </w:pPr>
      <w:r w:rsidRPr="009730F3">
        <w:rPr>
          <w:rFonts w:ascii="Arial" w:hAnsi="Arial" w:cs="Arial"/>
          <w:sz w:val="22"/>
          <w:szCs w:val="22"/>
        </w:rPr>
        <w:t>Taux d'intérêt(%)</w:t>
      </w:r>
    </w:p>
    <w:p w:rsidR="009730F3" w:rsidRPr="009730F3" w:rsidRDefault="009730F3" w:rsidP="009730F3">
      <w:pPr>
        <w:rPr>
          <w:rFonts w:ascii="Arial" w:hAnsi="Arial" w:cs="Arial"/>
          <w:sz w:val="22"/>
          <w:szCs w:val="22"/>
        </w:rPr>
      </w:pPr>
    </w:p>
    <w:p w:rsidR="009730F3" w:rsidRPr="009730F3" w:rsidRDefault="009730F3" w:rsidP="009730F3">
      <w:pPr>
        <w:rPr>
          <w:rFonts w:ascii="Arial" w:hAnsi="Arial" w:cs="Arial"/>
          <w:bCs/>
          <w:sz w:val="22"/>
          <w:szCs w:val="22"/>
        </w:rPr>
      </w:pPr>
      <w:r w:rsidRPr="009730F3">
        <w:rPr>
          <w:rFonts w:ascii="Arial" w:hAnsi="Arial" w:cs="Arial"/>
          <w:bCs/>
          <w:noProof/>
          <w:sz w:val="22"/>
          <w:szCs w:val="22"/>
        </w:rPr>
        <w:drawing>
          <wp:inline distT="0" distB="0" distL="0" distR="0" wp14:anchorId="41310422" wp14:editId="10786392">
            <wp:extent cx="5760720" cy="3331958"/>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331958"/>
                    </a:xfrm>
                    <a:prstGeom prst="rect">
                      <a:avLst/>
                    </a:prstGeom>
                    <a:noFill/>
                    <a:ln>
                      <a:noFill/>
                    </a:ln>
                  </pic:spPr>
                </pic:pic>
              </a:graphicData>
            </a:graphic>
          </wp:inline>
        </w:drawing>
      </w:r>
    </w:p>
    <w:p w:rsidR="009730F3" w:rsidRPr="009730F3" w:rsidRDefault="009730F3" w:rsidP="009730F3">
      <w:pPr>
        <w:jc w:val="right"/>
        <w:rPr>
          <w:rFonts w:ascii="Arial" w:hAnsi="Arial" w:cs="Arial"/>
          <w:bCs/>
          <w:sz w:val="22"/>
          <w:szCs w:val="22"/>
        </w:rPr>
      </w:pPr>
      <w:r w:rsidRPr="009730F3">
        <w:rPr>
          <w:rFonts w:ascii="Arial" w:hAnsi="Arial" w:cs="Arial"/>
          <w:i/>
          <w:iCs/>
          <w:sz w:val="22"/>
          <w:szCs w:val="22"/>
        </w:rPr>
        <w:t>Source: L'observatoire Crédit Logement/CSA</w:t>
      </w:r>
    </w:p>
    <w:p w:rsidR="00876B33" w:rsidRDefault="00876B33" w:rsidP="003D0C63">
      <w:pPr>
        <w:rPr>
          <w:rFonts w:ascii="Arial" w:hAnsi="Arial" w:cs="Arial"/>
          <w:bCs/>
          <w:szCs w:val="32"/>
        </w:rPr>
      </w:pPr>
    </w:p>
    <w:p w:rsidR="003D0C63" w:rsidRPr="009730F3" w:rsidRDefault="009730F3" w:rsidP="003D0C63">
      <w:pPr>
        <w:rPr>
          <w:rFonts w:ascii="Arial" w:hAnsi="Arial" w:cs="Arial"/>
          <w:b/>
          <w:bCs/>
          <w:sz w:val="22"/>
          <w:szCs w:val="32"/>
        </w:rPr>
      </w:pPr>
      <w:r w:rsidRPr="009730F3">
        <w:rPr>
          <w:rFonts w:ascii="Arial" w:hAnsi="Arial" w:cs="Arial"/>
          <w:b/>
          <w:bCs/>
          <w:sz w:val="22"/>
          <w:szCs w:val="32"/>
        </w:rPr>
        <w:t>Evolution de la structure en% de la production de crédits immobiliers (2001-2011)</w:t>
      </w:r>
    </w:p>
    <w:p w:rsidR="003D0C63" w:rsidRPr="003D0C63" w:rsidRDefault="003D0C63" w:rsidP="003D0C63">
      <w:pPr>
        <w:rPr>
          <w:rFonts w:ascii="Arial" w:hAnsi="Arial" w:cs="Arial"/>
          <w:b/>
          <w:bCs/>
          <w:szCs w:val="32"/>
        </w:rPr>
      </w:pPr>
    </w:p>
    <w:tbl>
      <w:tblPr>
        <w:tblStyle w:val="Grilledutableau"/>
        <w:tblW w:w="8400" w:type="dxa"/>
        <w:tblLook w:val="04A0" w:firstRow="1" w:lastRow="0" w:firstColumn="1" w:lastColumn="0" w:noHBand="0" w:noVBand="1"/>
      </w:tblPr>
      <w:tblGrid>
        <w:gridCol w:w="1276"/>
        <w:gridCol w:w="1200"/>
        <w:gridCol w:w="1200"/>
        <w:gridCol w:w="1200"/>
        <w:gridCol w:w="1200"/>
        <w:gridCol w:w="1200"/>
        <w:gridCol w:w="1200"/>
      </w:tblGrid>
      <w:tr w:rsidR="009730F3" w:rsidRPr="009730F3" w:rsidTr="009730F3">
        <w:trPr>
          <w:trHeight w:val="300"/>
        </w:trPr>
        <w:tc>
          <w:tcPr>
            <w:tcW w:w="1200" w:type="dxa"/>
            <w:noWrap/>
            <w:vAlign w:val="center"/>
            <w:hideMark/>
          </w:tcPr>
          <w:p w:rsidR="009730F3" w:rsidRPr="009730F3" w:rsidRDefault="009730F3" w:rsidP="009730F3">
            <w:pPr>
              <w:jc w:val="center"/>
              <w:rPr>
                <w:rFonts w:ascii="Arial" w:hAnsi="Arial" w:cs="Arial"/>
              </w:rPr>
            </w:pPr>
            <w:r w:rsidRPr="009730F3">
              <w:rPr>
                <w:rFonts w:ascii="Arial" w:hAnsi="Arial" w:cs="Arial"/>
              </w:rPr>
              <w:t>Durée d'emprunt</w:t>
            </w:r>
          </w:p>
          <w:p w:rsidR="009730F3" w:rsidRPr="009730F3" w:rsidRDefault="009730F3" w:rsidP="009730F3">
            <w:pPr>
              <w:jc w:val="center"/>
              <w:rPr>
                <w:rFonts w:ascii="Arial" w:hAnsi="Arial" w:cs="Arial"/>
                <w:color w:val="000000"/>
              </w:rPr>
            </w:pPr>
            <w:r w:rsidRPr="009730F3">
              <w:rPr>
                <w:rFonts w:ascii="Arial" w:hAnsi="Arial" w:cs="Arial"/>
              </w:rPr>
              <w:t>Années</w:t>
            </w:r>
          </w:p>
        </w:tc>
        <w:tc>
          <w:tcPr>
            <w:tcW w:w="1200" w:type="dxa"/>
            <w:noWrap/>
            <w:vAlign w:val="center"/>
            <w:hideMark/>
          </w:tcPr>
          <w:p w:rsidR="009730F3" w:rsidRPr="009730F3" w:rsidRDefault="009730F3" w:rsidP="009730F3">
            <w:pPr>
              <w:jc w:val="center"/>
              <w:rPr>
                <w:rFonts w:ascii="Arial" w:hAnsi="Arial" w:cs="Arial"/>
              </w:rPr>
            </w:pPr>
            <w:r w:rsidRPr="009730F3">
              <w:rPr>
                <w:rFonts w:ascii="Arial" w:hAnsi="Arial" w:cs="Arial"/>
              </w:rPr>
              <w:t xml:space="preserve">moins de </w:t>
            </w:r>
            <w:r w:rsidRPr="009730F3">
              <w:rPr>
                <w:rFonts w:ascii="Arial" w:hAnsi="Arial" w:cs="Arial"/>
                <w:color w:val="000000"/>
              </w:rPr>
              <w:t>10 ans</w:t>
            </w:r>
          </w:p>
        </w:tc>
        <w:tc>
          <w:tcPr>
            <w:tcW w:w="1200" w:type="dxa"/>
            <w:noWrap/>
            <w:vAlign w:val="center"/>
            <w:hideMark/>
          </w:tcPr>
          <w:p w:rsidR="009730F3" w:rsidRPr="009730F3" w:rsidRDefault="009730F3" w:rsidP="009730F3">
            <w:pPr>
              <w:jc w:val="center"/>
              <w:rPr>
                <w:rFonts w:ascii="Arial" w:hAnsi="Arial" w:cs="Arial"/>
                <w:color w:val="000000"/>
              </w:rPr>
            </w:pPr>
            <w:r w:rsidRPr="009730F3">
              <w:rPr>
                <w:rFonts w:ascii="Arial" w:hAnsi="Arial" w:cs="Arial"/>
              </w:rPr>
              <w:t>10 à 15</w:t>
            </w:r>
            <w:r w:rsidRPr="009730F3">
              <w:rPr>
                <w:rFonts w:ascii="Arial" w:hAnsi="Arial" w:cs="Arial"/>
                <w:color w:val="000000"/>
              </w:rPr>
              <w:t xml:space="preserve">  ans</w:t>
            </w:r>
          </w:p>
        </w:tc>
        <w:tc>
          <w:tcPr>
            <w:tcW w:w="1200" w:type="dxa"/>
            <w:noWrap/>
            <w:vAlign w:val="center"/>
            <w:hideMark/>
          </w:tcPr>
          <w:p w:rsidR="009730F3" w:rsidRPr="009730F3" w:rsidRDefault="009730F3" w:rsidP="009730F3">
            <w:pPr>
              <w:jc w:val="center"/>
              <w:rPr>
                <w:rFonts w:ascii="Arial" w:hAnsi="Arial" w:cs="Arial"/>
                <w:color w:val="000000"/>
              </w:rPr>
            </w:pPr>
            <w:r w:rsidRPr="009730F3">
              <w:rPr>
                <w:rFonts w:ascii="Arial" w:hAnsi="Arial" w:cs="Arial"/>
              </w:rPr>
              <w:t>15 à 20</w:t>
            </w:r>
            <w:r w:rsidRPr="009730F3">
              <w:rPr>
                <w:rFonts w:ascii="Arial" w:hAnsi="Arial" w:cs="Arial"/>
                <w:color w:val="000000"/>
              </w:rPr>
              <w:t xml:space="preserve"> ans</w:t>
            </w:r>
          </w:p>
        </w:tc>
        <w:tc>
          <w:tcPr>
            <w:tcW w:w="1200" w:type="dxa"/>
            <w:noWrap/>
            <w:vAlign w:val="center"/>
            <w:hideMark/>
          </w:tcPr>
          <w:p w:rsidR="009730F3" w:rsidRPr="009730F3" w:rsidRDefault="009730F3" w:rsidP="009730F3">
            <w:pPr>
              <w:jc w:val="center"/>
              <w:rPr>
                <w:rFonts w:ascii="Arial" w:hAnsi="Arial" w:cs="Arial"/>
                <w:color w:val="000000"/>
              </w:rPr>
            </w:pPr>
            <w:r w:rsidRPr="009730F3">
              <w:rPr>
                <w:rFonts w:ascii="Arial" w:hAnsi="Arial" w:cs="Arial"/>
                <w:color w:val="000000"/>
              </w:rPr>
              <w:t>20 à 25 ans</w:t>
            </w:r>
          </w:p>
        </w:tc>
        <w:tc>
          <w:tcPr>
            <w:tcW w:w="1200" w:type="dxa"/>
            <w:noWrap/>
            <w:vAlign w:val="center"/>
            <w:hideMark/>
          </w:tcPr>
          <w:p w:rsidR="009730F3" w:rsidRPr="009730F3" w:rsidRDefault="009730F3" w:rsidP="009730F3">
            <w:pPr>
              <w:jc w:val="center"/>
              <w:rPr>
                <w:rFonts w:ascii="Arial" w:hAnsi="Arial" w:cs="Arial"/>
                <w:color w:val="000000"/>
              </w:rPr>
            </w:pPr>
            <w:r w:rsidRPr="009730F3">
              <w:rPr>
                <w:rFonts w:ascii="Arial" w:hAnsi="Arial" w:cs="Arial"/>
              </w:rPr>
              <w:t>25 à 30</w:t>
            </w:r>
            <w:r w:rsidRPr="009730F3">
              <w:rPr>
                <w:rFonts w:ascii="Arial" w:hAnsi="Arial" w:cs="Arial"/>
                <w:color w:val="000000"/>
              </w:rPr>
              <w:t xml:space="preserve">  ans</w:t>
            </w:r>
          </w:p>
        </w:tc>
        <w:tc>
          <w:tcPr>
            <w:tcW w:w="1200" w:type="dxa"/>
            <w:noWrap/>
            <w:vAlign w:val="center"/>
            <w:hideMark/>
          </w:tcPr>
          <w:p w:rsidR="009730F3" w:rsidRPr="009730F3" w:rsidRDefault="009730F3" w:rsidP="009730F3">
            <w:pPr>
              <w:jc w:val="center"/>
              <w:rPr>
                <w:rFonts w:ascii="Arial" w:hAnsi="Arial" w:cs="Arial"/>
                <w:color w:val="000000"/>
              </w:rPr>
            </w:pPr>
            <w:r w:rsidRPr="009730F3">
              <w:rPr>
                <w:rFonts w:ascii="Arial" w:hAnsi="Arial" w:cs="Arial"/>
              </w:rPr>
              <w:t>30 ans et plus</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11,6</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26,7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45,3</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15,6</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0,7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0,1</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2002</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10,8</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23,8</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42,4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21,8</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0,1</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2003</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9,5</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21,9</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38,5</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27,7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2,3</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0,1</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9,6</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33,6</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30,7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5,9</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0,1</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2005</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6,5</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16,3</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30,1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30,7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16,2</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0,2</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2006</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3,9</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13</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26,9</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31,1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24,2</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0,9</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22,4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30,5</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29,1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3,6</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2008</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12,3</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23,2</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31,3</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26,7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2,8</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2009</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4,4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13,5</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25,6</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30</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25,4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1,1</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2010</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4,7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15,4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26,4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29</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23,5</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w:t>
            </w:r>
          </w:p>
        </w:tc>
      </w:tr>
      <w:tr w:rsidR="009730F3" w:rsidRPr="009730F3" w:rsidTr="009730F3">
        <w:trPr>
          <w:trHeight w:val="300"/>
        </w:trPr>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sept-11</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4,9</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15,7</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24,4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29,4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24,4</w:t>
            </w:r>
          </w:p>
        </w:tc>
        <w:tc>
          <w:tcPr>
            <w:tcW w:w="1200" w:type="dxa"/>
            <w:noWrap/>
            <w:hideMark/>
          </w:tcPr>
          <w:p w:rsidR="009730F3" w:rsidRPr="009730F3" w:rsidRDefault="009730F3">
            <w:pPr>
              <w:jc w:val="right"/>
              <w:rPr>
                <w:rFonts w:ascii="Arial" w:hAnsi="Arial" w:cs="Arial"/>
                <w:color w:val="000000"/>
              </w:rPr>
            </w:pPr>
            <w:r w:rsidRPr="009730F3">
              <w:rPr>
                <w:rFonts w:ascii="Arial" w:hAnsi="Arial" w:cs="Arial"/>
                <w:color w:val="000000"/>
              </w:rPr>
              <w:t>1,2</w:t>
            </w:r>
          </w:p>
        </w:tc>
      </w:tr>
    </w:tbl>
    <w:p w:rsidR="00E761CE" w:rsidRDefault="00E761CE" w:rsidP="003D0C63">
      <w:pPr>
        <w:rPr>
          <w:rFonts w:ascii="Arial" w:hAnsi="Arial" w:cs="Arial"/>
          <w:bCs/>
          <w:szCs w:val="32"/>
        </w:rPr>
      </w:pPr>
    </w:p>
    <w:p w:rsidR="00876B33" w:rsidRDefault="00876B33" w:rsidP="003D0C63">
      <w:pPr>
        <w:rPr>
          <w:rFonts w:ascii="Arial" w:hAnsi="Arial" w:cs="Arial"/>
          <w:bCs/>
          <w:szCs w:val="32"/>
        </w:rPr>
      </w:pPr>
    </w:p>
    <w:p w:rsidR="009730F3" w:rsidRDefault="009730F3">
      <w:pPr>
        <w:rPr>
          <w:rFonts w:ascii="Arial" w:hAnsi="Arial" w:cs="Arial"/>
          <w:b/>
          <w:bCs/>
          <w:szCs w:val="32"/>
        </w:rPr>
      </w:pPr>
      <w:r>
        <w:rPr>
          <w:rFonts w:ascii="Arial" w:hAnsi="Arial" w:cs="Arial"/>
          <w:b/>
          <w:bCs/>
          <w:szCs w:val="32"/>
        </w:rPr>
        <w:br w:type="page"/>
      </w:r>
    </w:p>
    <w:p w:rsidR="00E761CE" w:rsidRDefault="009730F3" w:rsidP="00E761CE">
      <w:pPr>
        <w:rPr>
          <w:rFonts w:ascii="Arial" w:hAnsi="Arial" w:cs="Arial"/>
          <w:b/>
          <w:bCs/>
          <w:szCs w:val="32"/>
        </w:rPr>
      </w:pPr>
      <w:r w:rsidRPr="009730F3">
        <w:rPr>
          <w:rFonts w:ascii="Arial" w:hAnsi="Arial" w:cs="Arial"/>
          <w:b/>
          <w:bCs/>
          <w:szCs w:val="32"/>
        </w:rPr>
        <w:lastRenderedPageBreak/>
        <w:t>Evolution de la durée moyenne d'un crédit</w:t>
      </w:r>
    </w:p>
    <w:p w:rsidR="009730F3" w:rsidRDefault="009730F3" w:rsidP="00E761CE">
      <w:pPr>
        <w:rPr>
          <w:rFonts w:ascii="Arial" w:hAnsi="Arial" w:cs="Arial"/>
          <w:b/>
          <w:bCs/>
          <w:szCs w:val="32"/>
        </w:rPr>
      </w:pPr>
    </w:p>
    <w:p w:rsidR="009730F3" w:rsidRDefault="009730F3" w:rsidP="00E761CE">
      <w:pPr>
        <w:rPr>
          <w:rFonts w:ascii="Arial" w:hAnsi="Arial" w:cs="Arial"/>
          <w:b/>
          <w:bCs/>
          <w:szCs w:val="32"/>
        </w:rPr>
      </w:pPr>
      <w:r>
        <w:rPr>
          <w:rFonts w:ascii="Arial" w:hAnsi="Arial" w:cs="Arial"/>
          <w:b/>
          <w:bCs/>
          <w:noProof/>
          <w:szCs w:val="32"/>
        </w:rPr>
        <w:drawing>
          <wp:inline distT="0" distB="0" distL="0" distR="0">
            <wp:extent cx="5760720" cy="2703250"/>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03250"/>
                    </a:xfrm>
                    <a:prstGeom prst="rect">
                      <a:avLst/>
                    </a:prstGeom>
                    <a:noFill/>
                    <a:ln>
                      <a:noFill/>
                    </a:ln>
                  </pic:spPr>
                </pic:pic>
              </a:graphicData>
            </a:graphic>
          </wp:inline>
        </w:drawing>
      </w:r>
    </w:p>
    <w:p w:rsidR="009730F3" w:rsidRPr="00E761CE" w:rsidRDefault="009730F3" w:rsidP="009730F3">
      <w:pPr>
        <w:jc w:val="right"/>
        <w:rPr>
          <w:rFonts w:ascii="Arial" w:hAnsi="Arial" w:cs="Arial"/>
          <w:b/>
          <w:bCs/>
          <w:szCs w:val="32"/>
        </w:rPr>
      </w:pPr>
      <w:r>
        <w:rPr>
          <w:rFonts w:ascii="Arial" w:hAnsi="Arial" w:cs="Arial"/>
          <w:i/>
          <w:iCs/>
          <w:sz w:val="23"/>
          <w:szCs w:val="23"/>
        </w:rPr>
        <w:t>Source : L'observatoire Crédit Logement/CSA</w:t>
      </w:r>
    </w:p>
    <w:p w:rsidR="009730F3" w:rsidRDefault="009730F3" w:rsidP="00E761CE">
      <w:pPr>
        <w:autoSpaceDE w:val="0"/>
        <w:autoSpaceDN w:val="0"/>
        <w:adjustRightInd w:val="0"/>
        <w:rPr>
          <w:rFonts w:ascii="Arial" w:hAnsi="Arial" w:cs="Arial"/>
          <w:bCs/>
          <w:sz w:val="22"/>
          <w:szCs w:val="22"/>
        </w:rPr>
      </w:pPr>
    </w:p>
    <w:p w:rsidR="00E761CE" w:rsidRDefault="00E761CE" w:rsidP="00E761CE">
      <w:pPr>
        <w:autoSpaceDE w:val="0"/>
        <w:autoSpaceDN w:val="0"/>
        <w:adjustRightInd w:val="0"/>
        <w:rPr>
          <w:rFonts w:ascii="Arial" w:hAnsi="Arial" w:cs="Arial"/>
          <w:sz w:val="22"/>
          <w:szCs w:val="22"/>
        </w:rPr>
      </w:pPr>
    </w:p>
    <w:p w:rsidR="00075DB6" w:rsidRDefault="00075DB6" w:rsidP="00E761CE">
      <w:pPr>
        <w:autoSpaceDE w:val="0"/>
        <w:autoSpaceDN w:val="0"/>
        <w:adjustRightInd w:val="0"/>
        <w:rPr>
          <w:rFonts w:ascii="Arial" w:hAnsi="Arial" w:cs="Arial"/>
          <w:sz w:val="22"/>
          <w:szCs w:val="22"/>
        </w:rPr>
      </w:pPr>
    </w:p>
    <w:p w:rsidR="00E761CE" w:rsidRDefault="00E761CE" w:rsidP="00E761CE">
      <w:pPr>
        <w:autoSpaceDE w:val="0"/>
        <w:autoSpaceDN w:val="0"/>
        <w:adjustRightInd w:val="0"/>
        <w:rPr>
          <w:rFonts w:ascii="Arial" w:hAnsi="Arial" w:cs="Arial"/>
          <w:b/>
          <w:bCs/>
          <w:sz w:val="23"/>
          <w:szCs w:val="23"/>
        </w:rPr>
      </w:pPr>
      <w:r w:rsidRPr="00E761CE">
        <w:rPr>
          <w:rFonts w:ascii="Arial" w:hAnsi="Arial" w:cs="Arial"/>
          <w:b/>
          <w:sz w:val="22"/>
          <w:szCs w:val="22"/>
        </w:rPr>
        <w:t xml:space="preserve">Annexe 2 : </w:t>
      </w:r>
      <w:r w:rsidR="009730F3">
        <w:rPr>
          <w:rFonts w:ascii="Arial" w:hAnsi="Arial" w:cs="Arial"/>
          <w:b/>
          <w:bCs/>
          <w:sz w:val="23"/>
          <w:szCs w:val="23"/>
        </w:rPr>
        <w:t>Evolution des ventes immobilières en France (2004-2011)</w:t>
      </w:r>
    </w:p>
    <w:p w:rsidR="009730F3" w:rsidRDefault="009730F3" w:rsidP="00E761CE">
      <w:pPr>
        <w:autoSpaceDE w:val="0"/>
        <w:autoSpaceDN w:val="0"/>
        <w:adjustRightInd w:val="0"/>
        <w:rPr>
          <w:rFonts w:ascii="Arial" w:hAnsi="Arial" w:cs="Arial"/>
          <w:b/>
          <w:bCs/>
          <w:sz w:val="23"/>
          <w:szCs w:val="23"/>
        </w:rPr>
      </w:pPr>
    </w:p>
    <w:p w:rsidR="000C15D4" w:rsidRDefault="000C15D4" w:rsidP="00E761CE">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extent cx="5760720" cy="3745976"/>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745976"/>
                    </a:xfrm>
                    <a:prstGeom prst="rect">
                      <a:avLst/>
                    </a:prstGeom>
                    <a:noFill/>
                    <a:ln>
                      <a:noFill/>
                    </a:ln>
                  </pic:spPr>
                </pic:pic>
              </a:graphicData>
            </a:graphic>
          </wp:inline>
        </w:drawing>
      </w:r>
    </w:p>
    <w:p w:rsidR="000C15D4" w:rsidRDefault="000C15D4" w:rsidP="000C15D4">
      <w:pPr>
        <w:autoSpaceDE w:val="0"/>
        <w:autoSpaceDN w:val="0"/>
        <w:adjustRightInd w:val="0"/>
        <w:rPr>
          <w:rFonts w:ascii="Arial" w:hAnsi="Arial" w:cs="Arial"/>
          <w:i/>
          <w:iCs/>
          <w:sz w:val="20"/>
          <w:szCs w:val="20"/>
        </w:rPr>
      </w:pPr>
      <w:r>
        <w:rPr>
          <w:rFonts w:ascii="Arial" w:hAnsi="Arial" w:cs="Arial"/>
          <w:i/>
          <w:iCs/>
          <w:sz w:val="20"/>
          <w:szCs w:val="20"/>
        </w:rPr>
        <w:t>Source : Conseil Général de l'environnement et du développement durable, Ministère de l'écologie, du développement durable, des transports et du logement</w:t>
      </w:r>
    </w:p>
    <w:p w:rsidR="000C15D4" w:rsidRDefault="000C15D4" w:rsidP="000C15D4">
      <w:r>
        <w:br w:type="page"/>
      </w:r>
    </w:p>
    <w:p w:rsidR="00876B33" w:rsidRDefault="00876B33" w:rsidP="00876B33">
      <w:pPr>
        <w:autoSpaceDE w:val="0"/>
        <w:autoSpaceDN w:val="0"/>
        <w:adjustRightInd w:val="0"/>
        <w:rPr>
          <w:rFonts w:ascii="Arial" w:hAnsi="Arial" w:cs="Arial"/>
          <w:b/>
          <w:sz w:val="22"/>
          <w:szCs w:val="22"/>
        </w:rPr>
      </w:pPr>
      <w:r w:rsidRPr="00876B33">
        <w:rPr>
          <w:rFonts w:ascii="Arial" w:hAnsi="Arial" w:cs="Arial"/>
          <w:b/>
          <w:sz w:val="22"/>
          <w:szCs w:val="22"/>
        </w:rPr>
        <w:lastRenderedPageBreak/>
        <w:t xml:space="preserve">Annexe 3 : </w:t>
      </w:r>
      <w:r w:rsidR="000C15D4" w:rsidRPr="000C15D4">
        <w:rPr>
          <w:rFonts w:ascii="Arial" w:hAnsi="Arial" w:cs="Arial"/>
          <w:b/>
          <w:sz w:val="22"/>
          <w:szCs w:val="22"/>
        </w:rPr>
        <w:t>L'activité immobilière est restée dynamique au premier semestre 2011</w:t>
      </w:r>
    </w:p>
    <w:p w:rsidR="000C15D4" w:rsidRPr="000C15D4" w:rsidRDefault="000C15D4" w:rsidP="00876B33">
      <w:pPr>
        <w:autoSpaceDE w:val="0"/>
        <w:autoSpaceDN w:val="0"/>
        <w:adjustRightInd w:val="0"/>
        <w:rPr>
          <w:rFonts w:ascii="Arial" w:hAnsi="Arial" w:cs="Arial"/>
          <w:b/>
          <w:sz w:val="22"/>
          <w:szCs w:val="22"/>
        </w:rPr>
      </w:pP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Sur les six premiers mois de 2011, la production de crédits immobiliers a continué à progresser à un rythme très soutenu, de 17,5% en glissement annuel, même s'il a ralenti par rapport à la même période de l'an dernier (+53,9%), selon une étude de l'Observatoire Crédit Logement/CSA publiée mercredi. Le dynamisme du marché n'a pas été affecté par la remontée des taux d'intérêt qui s'est amorcée en fin d'année dernière. Ils ont grimpé, hors assurance, depuis novembre 2010, pour s'établir à 3,90% en juin, soit pratiquement le niveau qui était le leur en septembre 2009 (3,89%).</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L'année 2010, marquée par un "très fort redémarrage" après deux années de dépression, avait profité des dispositions publiques contenues dans le plan de relance, du repli des taux d'intérêt et de l'offre de crédit très dynamique. [ ... ]. Pour l'instant, la hausse observée des taux d'intérêt a pu être en partie compensée par un allongement des durées des crédits immobiliers, qui ont atteint 215 mois en moyenne en juin et par un accroissement de l'apport personnel, qui a tiré profit du redémarrage du marché de la revente.</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L'Observatoire Crédit Logement/CSA prévoit toutefois une stabilisation de la production de crédits en 2011. Le ralentissement de la hausse des prix observé ces derniers mois reste timide. Le coût moyen des opérations atteint 199 200 euros, contre 188 200 euros un an plus tôt, selon l'Observatoire du Crédit Logement.</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Côté perspectives, l'Observatoire anticipe une hausse des prix sur le marché de l'ancien comprise entre 6% et 7% en 2011, moindre qu'en 2010 (+ 7%), mais ses auteurs s'attendent à ce qu'elle "ne bloque pas le marché". Selon ces derniers, le nombre de logements anciens acquis par les ménages cette année devrait s'accroître "de l'ordre de 7% à 8%".</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En un an, le revenu moyen des emprunteurs est passé de 59 700 euros à 61 100 euros, toujours selon le Crédit Logement. Un signe que les candidats les plus modestes renoncent à leurs projets ? Entre novembre et aujourd'hui, les ménages ont perdu 6,4% de leur pouvoir d'achat immobilier. Pour emprunter 150 000 euros sur 20 ans, ils doivent justifier d'un revenu</w:t>
      </w:r>
      <w:r>
        <w:rPr>
          <w:rFonts w:ascii="Arial" w:hAnsi="Arial" w:cs="Arial"/>
          <w:sz w:val="22"/>
          <w:szCs w:val="22"/>
        </w:rPr>
        <w:t xml:space="preserve"> </w:t>
      </w:r>
      <w:r w:rsidRPr="000C15D4">
        <w:rPr>
          <w:rFonts w:ascii="Arial" w:hAnsi="Arial" w:cs="Arial"/>
          <w:sz w:val="22"/>
          <w:szCs w:val="22"/>
        </w:rPr>
        <w:t>mensuel net de 278</w:t>
      </w:r>
      <w:r>
        <w:rPr>
          <w:rFonts w:ascii="Arial" w:hAnsi="Arial" w:cs="Arial"/>
          <w:sz w:val="22"/>
          <w:szCs w:val="22"/>
        </w:rPr>
        <w:t xml:space="preserve">4 euros contre 2607 en novembre. </w:t>
      </w:r>
      <w:r w:rsidRPr="000C15D4">
        <w:rPr>
          <w:rFonts w:ascii="Arial" w:hAnsi="Arial" w:cs="Arial"/>
          <w:sz w:val="22"/>
          <w:szCs w:val="22"/>
        </w:rPr>
        <w:t>[ ... ]</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Au mois de mars, la durée moyenne des prêts a atteint son plus haut niveau depuis deux ans, à 217 mois, soit un peu plus de 18 ans. Les crédits supérieurs à 25 ans représentent maintenant 27% des prêts, contre seulement 25,8% fin 201 O. Enfin, la solvabilité des acheteurs serait aussi dopée par la reprise du marché de la revente. Les particuliers qui peuvent se permettre de revendre leurs résidences principales bénéficient mécaniquement d'un apport personnel plus important, en hausse de 1% sur un an, surtout chez les foyers aisés. Quant au nouveau prêt à taux zéro, difficile de mesurer ses premiers effets. Par rapport aux anciens dispositifs - le crédit d'impôt sur les intérêts d'emprunts notamment – il n'apporterait que 1,1% de solvabilité supplémentaire dans le neuf et 0,6% dans l'ancien. Son impact sur les ménages modestes n'a pas encore été évalué.</w:t>
      </w:r>
    </w:p>
    <w:p w:rsidR="000C15D4" w:rsidRDefault="000C15D4" w:rsidP="000C15D4">
      <w:pPr>
        <w:autoSpaceDE w:val="0"/>
        <w:autoSpaceDN w:val="0"/>
        <w:adjustRightInd w:val="0"/>
        <w:rPr>
          <w:rFonts w:ascii="Arial" w:hAnsi="Arial" w:cs="Arial"/>
          <w:i/>
          <w:iCs/>
          <w:sz w:val="22"/>
          <w:szCs w:val="22"/>
        </w:rPr>
      </w:pPr>
    </w:p>
    <w:p w:rsidR="000C15D4" w:rsidRDefault="000C15D4" w:rsidP="000C15D4">
      <w:pPr>
        <w:autoSpaceDE w:val="0"/>
        <w:autoSpaceDN w:val="0"/>
        <w:adjustRightInd w:val="0"/>
        <w:rPr>
          <w:rFonts w:ascii="Arial" w:hAnsi="Arial" w:cs="Arial"/>
          <w:i/>
          <w:iCs/>
          <w:sz w:val="22"/>
          <w:szCs w:val="22"/>
        </w:rPr>
      </w:pPr>
    </w:p>
    <w:p w:rsidR="000C15D4" w:rsidRDefault="000C15D4" w:rsidP="000C15D4">
      <w:pPr>
        <w:autoSpaceDE w:val="0"/>
        <w:autoSpaceDN w:val="0"/>
        <w:adjustRightInd w:val="0"/>
        <w:jc w:val="right"/>
        <w:rPr>
          <w:rFonts w:ascii="Arial" w:hAnsi="Arial" w:cs="Arial"/>
          <w:i/>
          <w:iCs/>
          <w:sz w:val="22"/>
          <w:szCs w:val="22"/>
        </w:rPr>
      </w:pPr>
      <w:r w:rsidRPr="000C15D4">
        <w:rPr>
          <w:rFonts w:ascii="Arial" w:hAnsi="Arial" w:cs="Arial"/>
          <w:i/>
          <w:iCs/>
          <w:sz w:val="22"/>
          <w:szCs w:val="22"/>
        </w:rPr>
        <w:t>L 'expansion.com, 20 juillet 2011</w:t>
      </w:r>
    </w:p>
    <w:p w:rsidR="000C15D4" w:rsidRDefault="000C15D4" w:rsidP="000C15D4">
      <w:r>
        <w:br w:type="page"/>
      </w:r>
    </w:p>
    <w:p w:rsidR="00BF7ABB" w:rsidRDefault="000C15D4" w:rsidP="000C15D4">
      <w:pPr>
        <w:autoSpaceDE w:val="0"/>
        <w:autoSpaceDN w:val="0"/>
        <w:adjustRightInd w:val="0"/>
        <w:rPr>
          <w:rFonts w:ascii="Arial" w:hAnsi="Arial" w:cs="Arial"/>
          <w:b/>
          <w:sz w:val="22"/>
          <w:szCs w:val="22"/>
        </w:rPr>
      </w:pPr>
      <w:r w:rsidRPr="00876B33">
        <w:rPr>
          <w:rFonts w:ascii="Arial" w:hAnsi="Arial" w:cs="Arial"/>
          <w:b/>
          <w:sz w:val="22"/>
          <w:szCs w:val="22"/>
        </w:rPr>
        <w:lastRenderedPageBreak/>
        <w:t xml:space="preserve">Annexe </w:t>
      </w:r>
      <w:r>
        <w:rPr>
          <w:rFonts w:ascii="Arial" w:hAnsi="Arial" w:cs="Arial"/>
          <w:b/>
          <w:sz w:val="22"/>
          <w:szCs w:val="22"/>
        </w:rPr>
        <w:t>4</w:t>
      </w:r>
      <w:r w:rsidRPr="00876B33">
        <w:rPr>
          <w:rFonts w:ascii="Arial" w:hAnsi="Arial" w:cs="Arial"/>
          <w:b/>
          <w:sz w:val="22"/>
          <w:szCs w:val="22"/>
        </w:rPr>
        <w:t xml:space="preserve"> : </w:t>
      </w:r>
      <w:r w:rsidRPr="000C15D4">
        <w:rPr>
          <w:rFonts w:ascii="Arial" w:hAnsi="Arial" w:cs="Arial"/>
          <w:b/>
          <w:sz w:val="22"/>
          <w:szCs w:val="22"/>
        </w:rPr>
        <w:t>Immobilier 2012, de nombreux changements à venir pour le logement</w:t>
      </w:r>
    </w:p>
    <w:p w:rsidR="000C15D4" w:rsidRDefault="000C15D4" w:rsidP="000C15D4">
      <w:pPr>
        <w:autoSpaceDE w:val="0"/>
        <w:autoSpaceDN w:val="0"/>
        <w:adjustRightInd w:val="0"/>
        <w:rPr>
          <w:rFonts w:ascii="Arial" w:hAnsi="Arial" w:cs="Arial"/>
          <w:b/>
          <w:sz w:val="22"/>
          <w:szCs w:val="22"/>
        </w:rPr>
      </w:pP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Le gouvernement cherche différents moyens de réduire ses dépenses pour tenter de faire face à ses dettes. Or le soutien du marché immobilier par différents mécanismes d'aides coûte plusieurs milliards d'euros par an à l'État. Toutes les mesures d'aides au logement vont donc être passées au peigne fin afin d'y trouver des sources d'économies.</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En ce qui concerne l'accession à la propriété, le nouveau prêt à taux zéro de 2011 pourrait être modifié dès 2012. On a entendu parler cet été d'une possible fusion entre le prêt à taux zéro à l'accession sociale et l'éco-PTZ. Benoist Apparu, secrétaire d'État au Logement, a confié que si cette mesure devait se faire, cela ne serait pas avant 2012.</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 xml:space="preserve">Alors que le gouvernement se félicite du succès du PTZ Plus (plus de 200 000 ont déjà été signés depuis le début de l'année), les promoteurs commencent à critiquer les changements survenus sur la défiscalisation </w:t>
      </w:r>
      <w:proofErr w:type="spellStart"/>
      <w:r w:rsidRPr="000C15D4">
        <w:rPr>
          <w:rFonts w:ascii="Arial" w:hAnsi="Arial" w:cs="Arial"/>
          <w:sz w:val="22"/>
          <w:szCs w:val="22"/>
        </w:rPr>
        <w:t>Scellier</w:t>
      </w:r>
      <w:proofErr w:type="spellEnd"/>
      <w:r w:rsidRPr="000C15D4">
        <w:rPr>
          <w:rFonts w:ascii="Arial" w:hAnsi="Arial" w:cs="Arial"/>
          <w:sz w:val="22"/>
          <w:szCs w:val="22"/>
        </w:rPr>
        <w:t xml:space="preserve"> en 2011 et sur le fait que les montants alloués au prêt à taux zéro sont fortement utilisés pour des achats dans l'immobilier ancien.</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 xml:space="preserve">En effet, les chiffres pour le logement neuf au 1er semestre 2011 sont très mauvais et les promoteurs français commencent à s'inquiéter de la prochaine diminution des avantages de la loi </w:t>
      </w:r>
      <w:proofErr w:type="spellStart"/>
      <w:r w:rsidRPr="000C15D4">
        <w:rPr>
          <w:rFonts w:ascii="Arial" w:hAnsi="Arial" w:cs="Arial"/>
          <w:sz w:val="22"/>
          <w:szCs w:val="22"/>
        </w:rPr>
        <w:t>Scellier</w:t>
      </w:r>
      <w:proofErr w:type="spellEnd"/>
      <w:r w:rsidRPr="000C15D4">
        <w:rPr>
          <w:rFonts w:ascii="Arial" w:hAnsi="Arial" w:cs="Arial"/>
          <w:sz w:val="22"/>
          <w:szCs w:val="22"/>
        </w:rPr>
        <w:t xml:space="preserve"> pour 2012. Ils préfèreraient que les efforts financiers de l'État se dirigent sur la construction plutôt que sur les logements anciens.</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Alors que les prix ne cessent d'augmenter et que les caisses de l'État se vident, il va peut-être falloir songer à augmenter l'offre (réduire le prix du foncier, faciliter les constructions, etc.) plutôt qu'à chercher à soutenir la demande à tout prix et à entretenir la bulle immobilière Française.</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Réduire les dépenses n'est qu'une partie de la solution. L'augmentation des impôts sera l'autre cheval de bataille du gouvernement. Les principaux changements à attendre du côté de l'immobilier concernent l'augmentation des impôts sur les plus-values immobilières.</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Plusieurs modifications sont à l'étude :</w:t>
      </w:r>
    </w:p>
    <w:p w:rsidR="000C15D4" w:rsidRPr="000C15D4" w:rsidRDefault="000C15D4" w:rsidP="000C15D4">
      <w:pPr>
        <w:pStyle w:val="Paragraphedeliste"/>
        <w:numPr>
          <w:ilvl w:val="0"/>
          <w:numId w:val="5"/>
        </w:numPr>
        <w:autoSpaceDE w:val="0"/>
        <w:autoSpaceDN w:val="0"/>
        <w:adjustRightInd w:val="0"/>
        <w:spacing w:after="120"/>
        <w:rPr>
          <w:rFonts w:ascii="Arial" w:hAnsi="Arial" w:cs="Arial"/>
          <w:sz w:val="22"/>
          <w:szCs w:val="22"/>
        </w:rPr>
      </w:pPr>
      <w:r w:rsidRPr="000C15D4">
        <w:rPr>
          <w:rFonts w:ascii="Arial" w:hAnsi="Arial" w:cs="Arial"/>
          <w:sz w:val="22"/>
          <w:szCs w:val="22"/>
        </w:rPr>
        <w:t>Réduction du taux d'abattement de 10% par an à 5% par an (après 5 ans de détention)</w:t>
      </w:r>
    </w:p>
    <w:p w:rsidR="000C15D4" w:rsidRPr="000C15D4" w:rsidRDefault="000C15D4" w:rsidP="000C15D4">
      <w:pPr>
        <w:pStyle w:val="Paragraphedeliste"/>
        <w:numPr>
          <w:ilvl w:val="0"/>
          <w:numId w:val="5"/>
        </w:numPr>
        <w:autoSpaceDE w:val="0"/>
        <w:autoSpaceDN w:val="0"/>
        <w:adjustRightInd w:val="0"/>
        <w:spacing w:after="120"/>
        <w:rPr>
          <w:rFonts w:ascii="Arial" w:hAnsi="Arial" w:cs="Arial"/>
          <w:sz w:val="22"/>
          <w:szCs w:val="22"/>
        </w:rPr>
      </w:pPr>
      <w:r w:rsidRPr="000C15D4">
        <w:rPr>
          <w:rFonts w:ascii="Arial" w:hAnsi="Arial" w:cs="Arial"/>
          <w:sz w:val="22"/>
          <w:szCs w:val="22"/>
        </w:rPr>
        <w:t>Augmentation des taxes sur les terrains à bâtir dans les zones en fort déficit foncier.</w:t>
      </w:r>
    </w:p>
    <w:p w:rsidR="000C15D4" w:rsidRPr="000C15D4" w:rsidRDefault="000C15D4" w:rsidP="000C15D4">
      <w:pPr>
        <w:pStyle w:val="Paragraphedeliste"/>
        <w:numPr>
          <w:ilvl w:val="0"/>
          <w:numId w:val="5"/>
        </w:numPr>
        <w:autoSpaceDE w:val="0"/>
        <w:autoSpaceDN w:val="0"/>
        <w:adjustRightInd w:val="0"/>
        <w:spacing w:after="120"/>
        <w:rPr>
          <w:rFonts w:ascii="Arial" w:hAnsi="Arial" w:cs="Arial"/>
          <w:sz w:val="22"/>
          <w:szCs w:val="22"/>
        </w:rPr>
      </w:pPr>
      <w:r w:rsidRPr="000C15D4">
        <w:rPr>
          <w:rFonts w:ascii="Arial" w:hAnsi="Arial" w:cs="Arial"/>
          <w:sz w:val="22"/>
          <w:szCs w:val="22"/>
        </w:rPr>
        <w:t xml:space="preserve">Contribution CSG </w:t>
      </w:r>
      <w:r w:rsidRPr="000C15D4">
        <w:rPr>
          <w:rFonts w:ascii="Arial" w:hAnsi="Arial" w:cs="Arial"/>
          <w:i/>
          <w:iCs/>
          <w:sz w:val="22"/>
          <w:szCs w:val="22"/>
        </w:rPr>
        <w:t xml:space="preserve">1 </w:t>
      </w:r>
      <w:r w:rsidRPr="000C15D4">
        <w:rPr>
          <w:rFonts w:ascii="Arial" w:hAnsi="Arial" w:cs="Arial"/>
          <w:sz w:val="22"/>
          <w:szCs w:val="22"/>
        </w:rPr>
        <w:t>CROS (prélèvements sociaux) dès le 1er euro de plus-value et sans prise en compte d'abattements.</w:t>
      </w:r>
    </w:p>
    <w:p w:rsidR="000C15D4" w:rsidRPr="000C15D4" w:rsidRDefault="000C15D4" w:rsidP="000C15D4">
      <w:pPr>
        <w:pStyle w:val="Paragraphedeliste"/>
        <w:numPr>
          <w:ilvl w:val="0"/>
          <w:numId w:val="5"/>
        </w:numPr>
        <w:autoSpaceDE w:val="0"/>
        <w:autoSpaceDN w:val="0"/>
        <w:adjustRightInd w:val="0"/>
        <w:spacing w:after="120"/>
        <w:rPr>
          <w:rFonts w:ascii="Arial" w:hAnsi="Arial" w:cs="Arial"/>
          <w:sz w:val="22"/>
          <w:szCs w:val="22"/>
        </w:rPr>
      </w:pPr>
      <w:r w:rsidRPr="000C15D4">
        <w:rPr>
          <w:rFonts w:ascii="Arial" w:hAnsi="Arial" w:cs="Arial"/>
          <w:sz w:val="22"/>
          <w:szCs w:val="22"/>
        </w:rPr>
        <w:t>Taxation des plus-values sur les résidences principales, jusqu'à présent exonérées.</w:t>
      </w:r>
    </w:p>
    <w:p w:rsidR="000C15D4" w:rsidRPr="000C15D4" w:rsidRDefault="000C15D4" w:rsidP="000C15D4">
      <w:pPr>
        <w:autoSpaceDE w:val="0"/>
        <w:autoSpaceDN w:val="0"/>
        <w:adjustRightInd w:val="0"/>
        <w:spacing w:after="120"/>
        <w:rPr>
          <w:rFonts w:ascii="Arial" w:hAnsi="Arial" w:cs="Arial"/>
          <w:sz w:val="22"/>
          <w:szCs w:val="22"/>
        </w:rPr>
      </w:pPr>
      <w:r w:rsidRPr="000C15D4">
        <w:rPr>
          <w:rFonts w:ascii="Arial" w:hAnsi="Arial" w:cs="Arial"/>
          <w:sz w:val="22"/>
          <w:szCs w:val="22"/>
        </w:rPr>
        <w:t>Enfin, d'autres augmentations d'impôts sont à prévoir pour le logement. Il s'agit des hausses des impôts locaux ! Les taxes d'habitation et taxes foncières ont déjà bien augmenté en 2010.</w:t>
      </w:r>
      <w:r>
        <w:rPr>
          <w:rFonts w:ascii="Arial" w:hAnsi="Arial" w:cs="Arial"/>
          <w:sz w:val="22"/>
          <w:szCs w:val="22"/>
        </w:rPr>
        <w:t xml:space="preserve"> </w:t>
      </w:r>
      <w:r w:rsidRPr="000C15D4">
        <w:rPr>
          <w:rFonts w:ascii="Arial" w:hAnsi="Arial" w:cs="Arial"/>
          <w:sz w:val="22"/>
          <w:szCs w:val="22"/>
        </w:rPr>
        <w:t>Il faut s'attendre à de nouvelles hausses sensibles dans les années qui viennent pour que les collectivités puissent boucler leurs prochains budgets.</w:t>
      </w:r>
    </w:p>
    <w:p w:rsidR="000C15D4" w:rsidRDefault="000C15D4" w:rsidP="000C15D4">
      <w:pPr>
        <w:autoSpaceDE w:val="0"/>
        <w:autoSpaceDN w:val="0"/>
        <w:adjustRightInd w:val="0"/>
        <w:spacing w:after="120"/>
        <w:rPr>
          <w:rFonts w:ascii="Arial" w:hAnsi="Arial" w:cs="Arial"/>
          <w:i/>
          <w:iCs/>
          <w:sz w:val="22"/>
          <w:szCs w:val="22"/>
        </w:rPr>
      </w:pPr>
    </w:p>
    <w:p w:rsidR="000C15D4" w:rsidRDefault="000C15D4" w:rsidP="000C15D4">
      <w:pPr>
        <w:autoSpaceDE w:val="0"/>
        <w:autoSpaceDN w:val="0"/>
        <w:adjustRightInd w:val="0"/>
        <w:spacing w:after="120"/>
        <w:rPr>
          <w:rFonts w:ascii="Arial" w:hAnsi="Arial" w:cs="Arial"/>
          <w:i/>
          <w:iCs/>
          <w:sz w:val="22"/>
          <w:szCs w:val="22"/>
        </w:rPr>
      </w:pPr>
    </w:p>
    <w:p w:rsidR="000C15D4" w:rsidRPr="000C15D4" w:rsidRDefault="000C15D4" w:rsidP="000C15D4">
      <w:pPr>
        <w:autoSpaceDE w:val="0"/>
        <w:autoSpaceDN w:val="0"/>
        <w:adjustRightInd w:val="0"/>
        <w:spacing w:after="120"/>
        <w:jc w:val="right"/>
        <w:rPr>
          <w:rFonts w:ascii="Arial" w:hAnsi="Arial" w:cs="Arial"/>
          <w:b/>
          <w:sz w:val="22"/>
          <w:szCs w:val="22"/>
        </w:rPr>
      </w:pPr>
      <w:r w:rsidRPr="000C15D4">
        <w:rPr>
          <w:rFonts w:ascii="Arial" w:hAnsi="Arial" w:cs="Arial"/>
          <w:i/>
          <w:iCs/>
          <w:sz w:val="22"/>
          <w:szCs w:val="22"/>
        </w:rPr>
        <w:t>CAPGEMINI consulting, 10 août 2011</w:t>
      </w:r>
    </w:p>
    <w:sectPr w:rsidR="000C15D4" w:rsidRPr="000C15D4">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42" w:rsidRDefault="00E26442">
      <w:r>
        <w:separator/>
      </w:r>
    </w:p>
  </w:endnote>
  <w:endnote w:type="continuationSeparator" w:id="0">
    <w:p w:rsidR="00E26442" w:rsidRDefault="00E2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3D0C63" w:rsidP="009730F3">
          <w:pPr>
            <w:jc w:val="center"/>
          </w:pPr>
          <w:r w:rsidRPr="003D0C63">
            <w:rPr>
              <w:rFonts w:ascii="Arial" w:hAnsi="Arial" w:cs="Arial"/>
              <w:b/>
              <w:bCs/>
              <w:sz w:val="18"/>
              <w:szCs w:val="18"/>
            </w:rPr>
            <w:t>1</w:t>
          </w:r>
          <w:r w:rsidR="009730F3">
            <w:rPr>
              <w:rFonts w:ascii="Arial" w:hAnsi="Arial" w:cs="Arial"/>
              <w:b/>
              <w:bCs/>
              <w:sz w:val="18"/>
              <w:szCs w:val="18"/>
            </w:rPr>
            <w:t>2</w:t>
          </w:r>
          <w:r w:rsidRPr="003D0C63">
            <w:rPr>
              <w:rFonts w:ascii="Arial" w:hAnsi="Arial" w:cs="Arial"/>
              <w:b/>
              <w:bCs/>
              <w:sz w:val="18"/>
              <w:szCs w:val="18"/>
            </w:rPr>
            <w:t>-ECOGEN</w:t>
          </w:r>
        </w:p>
      </w:tc>
      <w:tc>
        <w:tcPr>
          <w:tcW w:w="1874" w:type="dxa"/>
        </w:tcPr>
        <w:p w:rsidR="00C75734" w:rsidRDefault="00C75734" w:rsidP="009730F3">
          <w:pPr>
            <w:jc w:val="center"/>
          </w:pPr>
          <w:r>
            <w:rPr>
              <w:rFonts w:ascii="Arial" w:hAnsi="Arial" w:cs="Arial"/>
              <w:b/>
              <w:bCs/>
              <w:sz w:val="18"/>
              <w:szCs w:val="18"/>
            </w:rPr>
            <w:t>SESSION 201</w:t>
          </w:r>
          <w:r w:rsidR="009730F3">
            <w:rPr>
              <w:rFonts w:ascii="Arial" w:hAnsi="Arial" w:cs="Arial"/>
              <w:b/>
              <w:bCs/>
              <w:sz w:val="18"/>
              <w:szCs w:val="18"/>
            </w:rPr>
            <w:t>2</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233A44">
      <w:rPr>
        <w:sz w:val="20"/>
      </w:rPr>
      <w:t xml:space="preserve">Banque </w:t>
    </w:r>
    <w:r w:rsidR="001268F8">
      <w:rPr>
        <w:sz w:val="20"/>
      </w:rPr>
      <w:t>201</w:t>
    </w:r>
    <w:r w:rsidR="009730F3">
      <w:rPr>
        <w:sz w:val="20"/>
      </w:rPr>
      <w:t>2</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233A44">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233A44">
      <w:rPr>
        <w:rStyle w:val="Numrodepage"/>
        <w:noProof/>
        <w:sz w:val="20"/>
      </w:rPr>
      <w:t>6</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42" w:rsidRDefault="00E26442">
      <w:r>
        <w:separator/>
      </w:r>
    </w:p>
  </w:footnote>
  <w:footnote w:type="continuationSeparator" w:id="0">
    <w:p w:rsidR="00E26442" w:rsidRDefault="00E26442">
      <w:r>
        <w:continuationSeparator/>
      </w:r>
    </w:p>
  </w:footnote>
  <w:footnote w:id="1">
    <w:p w:rsidR="009730F3" w:rsidRDefault="009730F3">
      <w:pPr>
        <w:pStyle w:val="Notedebasdepage"/>
      </w:pPr>
      <w:r>
        <w:rPr>
          <w:rStyle w:val="Appelnotedebasdep"/>
        </w:rPr>
        <w:footnoteRef/>
      </w:r>
      <w:r>
        <w:t xml:space="preserve"> </w:t>
      </w:r>
      <w:r>
        <w:rPr>
          <w:rFonts w:ascii="Arial" w:hAnsi="Arial" w:cs="Arial"/>
          <w:i/>
          <w:iCs/>
          <w:sz w:val="17"/>
          <w:szCs w:val="17"/>
        </w:rPr>
        <w:t>L'OSEO est un Etablissement Public qui soutient l'innovation et la croissance des PME.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CF07F4B" wp14:editId="41503CEF">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E264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19.5pt;visibility:visible;mso-wrap-style:square" o:bullet="t">
        <v:imagedata r:id="rId1" o:title=""/>
      </v:shape>
    </w:pict>
  </w:numPicBullet>
  <w:abstractNum w:abstractNumId="0">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75DB6"/>
    <w:rsid w:val="000C15D4"/>
    <w:rsid w:val="001268F8"/>
    <w:rsid w:val="001618CA"/>
    <w:rsid w:val="00233A44"/>
    <w:rsid w:val="002E646B"/>
    <w:rsid w:val="003D0C63"/>
    <w:rsid w:val="00466F89"/>
    <w:rsid w:val="0049403B"/>
    <w:rsid w:val="00507D61"/>
    <w:rsid w:val="00704E17"/>
    <w:rsid w:val="00752C4A"/>
    <w:rsid w:val="007825F9"/>
    <w:rsid w:val="007A3C90"/>
    <w:rsid w:val="00876B33"/>
    <w:rsid w:val="009730F3"/>
    <w:rsid w:val="00B0772C"/>
    <w:rsid w:val="00B753B4"/>
    <w:rsid w:val="00BF7ABB"/>
    <w:rsid w:val="00C7079A"/>
    <w:rsid w:val="00C75734"/>
    <w:rsid w:val="00CF042D"/>
    <w:rsid w:val="00DF0AE4"/>
    <w:rsid w:val="00E26442"/>
    <w:rsid w:val="00E761CE"/>
    <w:rsid w:val="00F5348A"/>
    <w:rsid w:val="00F54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comptazine.fr"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2668-B7FD-42A8-BC4B-CB21B22B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1309</Words>
  <Characters>7202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8495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8</cp:revision>
  <cp:lastPrinted>2012-09-11T17:45:00Z</cp:lastPrinted>
  <dcterms:created xsi:type="dcterms:W3CDTF">2012-09-11T17:45:00Z</dcterms:created>
  <dcterms:modified xsi:type="dcterms:W3CDTF">2012-11-28T16:22:00Z</dcterms:modified>
</cp:coreProperties>
</file>