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3D0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3D0C63" w:rsidRPr="003D0C63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3D0C63">
        <w:rPr>
          <w:rFonts w:ascii="Arial" w:hAnsi="Arial" w:cs="Arial"/>
          <w:b w:val="0"/>
          <w:bCs w:val="0"/>
        </w:rPr>
        <w:t>BANQUE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2056A5" w:rsidRPr="002056A5" w:rsidRDefault="002056A5" w:rsidP="002056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056A5">
        <w:rPr>
          <w:rFonts w:ascii="Arial" w:hAnsi="Arial" w:cs="Arial"/>
          <w:b/>
          <w:bCs/>
          <w:sz w:val="36"/>
          <w:szCs w:val="36"/>
        </w:rPr>
        <w:t>GESTION DE CLIENTÈLE ET</w:t>
      </w:r>
    </w:p>
    <w:p w:rsidR="00C75734" w:rsidRPr="00C75734" w:rsidRDefault="002056A5" w:rsidP="002056A5">
      <w:pPr>
        <w:jc w:val="center"/>
      </w:pPr>
      <w:r w:rsidRPr="002056A5">
        <w:rPr>
          <w:rFonts w:ascii="Arial" w:hAnsi="Arial" w:cs="Arial"/>
          <w:b/>
          <w:bCs/>
          <w:sz w:val="36"/>
          <w:szCs w:val="36"/>
        </w:rPr>
        <w:t>COMMUNICATION PROFESSIONNELLE</w:t>
      </w:r>
    </w:p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C61B6F">
        <w:rPr>
          <w:rFonts w:ascii="Arial" w:hAnsi="Arial" w:cs="Arial"/>
          <w:b/>
          <w:bCs/>
          <w:sz w:val="28"/>
          <w:szCs w:val="28"/>
        </w:rPr>
        <w:t>09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056A5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3D0C63" w:rsidRDefault="003D0C6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0C63" w:rsidRPr="003D0C63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 xml:space="preserve">Coefficient </w:t>
      </w:r>
      <w:r w:rsidR="002056A5">
        <w:rPr>
          <w:rFonts w:ascii="Arial" w:hAnsi="Arial" w:cs="Arial"/>
          <w:b/>
          <w:bCs/>
          <w:sz w:val="28"/>
          <w:szCs w:val="28"/>
        </w:rPr>
        <w:t>1,5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  <w:r>
        <w:rPr>
          <w:rFonts w:ascii="Arial" w:hAnsi="Arial" w:cs="Arial"/>
          <w:b/>
          <w:bCs/>
          <w:color w:val="0B0B0B"/>
          <w:sz w:val="33"/>
          <w:szCs w:val="33"/>
        </w:rPr>
        <w:t>SUJET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Dès remise du sujet, assurez-vous qu'il est complet.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1 </w:t>
      </w:r>
      <w:r>
        <w:rPr>
          <w:rFonts w:ascii="Arial" w:hAnsi="Arial" w:cs="Arial"/>
          <w:color w:val="2D2D2D"/>
          <w:sz w:val="25"/>
          <w:szCs w:val="25"/>
        </w:rPr>
        <w:t xml:space="preserve">: </w:t>
      </w:r>
      <w:r w:rsidR="00C61B6F">
        <w:rPr>
          <w:rFonts w:ascii="Arial" w:hAnsi="Arial" w:cs="Arial"/>
          <w:color w:val="0B0B0B"/>
          <w:sz w:val="25"/>
          <w:szCs w:val="25"/>
        </w:rPr>
        <w:t>9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2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 w:rsidR="00C61B6F">
        <w:rPr>
          <w:rFonts w:ascii="Arial" w:hAnsi="Arial" w:cs="Arial"/>
          <w:color w:val="0B0B0B"/>
          <w:sz w:val="25"/>
          <w:szCs w:val="25"/>
        </w:rPr>
        <w:t>12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3 </w:t>
      </w:r>
      <w:r>
        <w:rPr>
          <w:rFonts w:ascii="Arial" w:hAnsi="Arial" w:cs="Arial"/>
          <w:color w:val="3C3C3C"/>
          <w:sz w:val="25"/>
          <w:szCs w:val="25"/>
        </w:rPr>
        <w:t xml:space="preserve">: </w:t>
      </w:r>
      <w:r w:rsidR="00C61B6F">
        <w:rPr>
          <w:rFonts w:ascii="Arial" w:hAnsi="Arial" w:cs="Arial"/>
          <w:color w:val="0B0B0B"/>
          <w:sz w:val="25"/>
          <w:szCs w:val="25"/>
        </w:rPr>
        <w:t>7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FORME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>
        <w:rPr>
          <w:rFonts w:ascii="Arial" w:hAnsi="Arial" w:cs="Arial"/>
          <w:color w:val="0B0B0B"/>
          <w:sz w:val="25"/>
          <w:szCs w:val="25"/>
        </w:rPr>
        <w:t>2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</w:p>
    <w:p w:rsidR="004B362A" w:rsidRDefault="00C61B6F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La clarté des raisonnements,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 la qualité de la rédaction </w:t>
      </w:r>
      <w:r>
        <w:rPr>
          <w:rFonts w:ascii="Arial" w:hAnsi="Arial" w:cs="Arial"/>
          <w:color w:val="0B0B0B"/>
          <w:sz w:val="22"/>
          <w:szCs w:val="22"/>
        </w:rPr>
        <w:t xml:space="preserve">et le respect de la méthodologie 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interviendront pour une part importante dans </w:t>
      </w:r>
      <w:r w:rsidR="004B362A">
        <w:rPr>
          <w:rFonts w:ascii="Arial" w:hAnsi="Arial" w:cs="Arial"/>
          <w:color w:val="1E1E1E"/>
          <w:sz w:val="22"/>
          <w:szCs w:val="22"/>
        </w:rPr>
        <w:t xml:space="preserve">l'appréciation 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des </w:t>
      </w:r>
      <w:r w:rsidR="004B362A">
        <w:rPr>
          <w:rFonts w:ascii="Arial" w:hAnsi="Arial" w:cs="Arial"/>
          <w:color w:val="1E1E1E"/>
          <w:sz w:val="22"/>
          <w:szCs w:val="22"/>
        </w:rPr>
        <w:t>copies.</w:t>
      </w: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C61B6F" w:rsidRDefault="00C61B6F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</w:p>
    <w:p w:rsidR="004B362A" w:rsidRP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Aucun document n'est autorisé.</w:t>
      </w:r>
    </w:p>
    <w:p w:rsidR="00620E93" w:rsidRPr="004B362A" w:rsidRDefault="004B362A" w:rsidP="004B3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L'usage de la calculatrice est autorisé.</w:t>
      </w:r>
    </w:p>
    <w:p w:rsidR="00620E93" w:rsidRPr="004B362A" w:rsidRDefault="00620E93" w:rsidP="00620E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07F5" w:rsidRDefault="003D07F5" w:rsidP="003D07F5">
      <w:r>
        <w:br w:type="page"/>
      </w:r>
    </w:p>
    <w:p w:rsidR="004B362A" w:rsidRDefault="00C61B6F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C61B6F">
        <w:rPr>
          <w:rFonts w:ascii="Arial" w:hAnsi="Arial" w:cs="Arial"/>
          <w:b/>
          <w:bCs/>
          <w:color w:val="141414"/>
          <w:sz w:val="22"/>
          <w:szCs w:val="22"/>
        </w:rPr>
        <w:lastRenderedPageBreak/>
        <w:t>AGENCE ROND POINT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C61B6F" w:rsidRPr="00C61B6F" w:rsidRDefault="00C61B6F" w:rsidP="00C61B6F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C61B6F">
        <w:rPr>
          <w:rFonts w:ascii="Arial" w:hAnsi="Arial" w:cs="Arial"/>
          <w:color w:val="141414"/>
          <w:sz w:val="21"/>
          <w:szCs w:val="21"/>
        </w:rPr>
        <w:t xml:space="preserve">Vous avez pris récemment vos fonctions de </w:t>
      </w:r>
      <w:r>
        <w:rPr>
          <w:rFonts w:ascii="Arial" w:hAnsi="Arial" w:cs="Arial"/>
          <w:color w:val="141414"/>
          <w:sz w:val="21"/>
          <w:szCs w:val="21"/>
        </w:rPr>
        <w:t>conseiller</w:t>
      </w:r>
      <w:r w:rsidRPr="00C61B6F">
        <w:rPr>
          <w:rFonts w:ascii="Arial" w:hAnsi="Arial" w:cs="Arial"/>
          <w:color w:val="141414"/>
          <w:sz w:val="21"/>
          <w:szCs w:val="21"/>
        </w:rPr>
        <w:t xml:space="preserve">(ère) de clientèle dans l'agence </w:t>
      </w:r>
      <w:proofErr w:type="spellStart"/>
      <w:r w:rsidRPr="00C61B6F">
        <w:rPr>
          <w:rFonts w:ascii="Arial" w:hAnsi="Arial" w:cs="Arial"/>
          <w:color w:val="141414"/>
          <w:sz w:val="21"/>
          <w:szCs w:val="21"/>
        </w:rPr>
        <w:t>Rond Point</w:t>
      </w:r>
      <w:proofErr w:type="spellEnd"/>
      <w:r w:rsidRPr="00C61B6F">
        <w:rPr>
          <w:rFonts w:ascii="Arial" w:hAnsi="Arial" w:cs="Arial"/>
          <w:color w:val="141414"/>
          <w:sz w:val="21"/>
          <w:szCs w:val="21"/>
        </w:rPr>
        <w:t xml:space="preserve"> de </w:t>
      </w:r>
      <w:r>
        <w:rPr>
          <w:rFonts w:ascii="Arial" w:hAnsi="Arial" w:cs="Arial"/>
          <w:color w:val="141414"/>
          <w:sz w:val="21"/>
          <w:szCs w:val="21"/>
        </w:rPr>
        <w:t>l</w:t>
      </w:r>
      <w:r w:rsidRPr="00C61B6F">
        <w:rPr>
          <w:rFonts w:ascii="Arial" w:hAnsi="Arial" w:cs="Arial"/>
          <w:color w:val="141414"/>
          <w:sz w:val="21"/>
          <w:szCs w:val="21"/>
        </w:rPr>
        <w:t>a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C61B6F">
        <w:rPr>
          <w:rFonts w:ascii="Arial" w:hAnsi="Arial" w:cs="Arial"/>
          <w:color w:val="141414"/>
          <w:sz w:val="21"/>
          <w:szCs w:val="21"/>
        </w:rPr>
        <w:t>Banque Princ</w:t>
      </w:r>
      <w:r>
        <w:rPr>
          <w:rFonts w:ascii="Arial" w:hAnsi="Arial" w:cs="Arial"/>
          <w:color w:val="141414"/>
          <w:sz w:val="21"/>
          <w:szCs w:val="21"/>
        </w:rPr>
        <w:t>ipale</w:t>
      </w:r>
      <w:r w:rsidRPr="00C61B6F">
        <w:rPr>
          <w:rFonts w:ascii="Arial" w:hAnsi="Arial" w:cs="Arial"/>
          <w:color w:val="141414"/>
          <w:sz w:val="21"/>
          <w:szCs w:val="21"/>
        </w:rPr>
        <w:t xml:space="preserve"> de Crédit</w:t>
      </w:r>
      <w:r>
        <w:rPr>
          <w:rFonts w:ascii="Arial" w:hAnsi="Arial" w:cs="Arial"/>
          <w:color w:val="141414"/>
          <w:sz w:val="21"/>
          <w:szCs w:val="21"/>
        </w:rPr>
        <w:t xml:space="preserve">. </w:t>
      </w:r>
      <w:r w:rsidRPr="00C61B6F">
        <w:rPr>
          <w:rFonts w:ascii="Arial" w:hAnsi="Arial" w:cs="Arial"/>
          <w:color w:val="141414"/>
          <w:sz w:val="21"/>
          <w:szCs w:val="21"/>
        </w:rPr>
        <w:t>Cette banque qui compte près de 8 millions de clients est o</w:t>
      </w:r>
      <w:r>
        <w:rPr>
          <w:rFonts w:ascii="Arial" w:hAnsi="Arial" w:cs="Arial"/>
          <w:color w:val="141414"/>
          <w:sz w:val="21"/>
          <w:szCs w:val="21"/>
        </w:rPr>
        <w:t>r</w:t>
      </w:r>
      <w:r w:rsidRPr="00C61B6F">
        <w:rPr>
          <w:rFonts w:ascii="Arial" w:hAnsi="Arial" w:cs="Arial"/>
          <w:color w:val="141414"/>
          <w:sz w:val="21"/>
          <w:szCs w:val="21"/>
        </w:rPr>
        <w:t>ganisée en 17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C61B6F">
        <w:rPr>
          <w:rFonts w:ascii="Arial" w:hAnsi="Arial" w:cs="Arial"/>
          <w:color w:val="141414"/>
          <w:sz w:val="21"/>
          <w:szCs w:val="21"/>
        </w:rPr>
        <w:t>cai</w:t>
      </w:r>
      <w:r>
        <w:rPr>
          <w:rFonts w:ascii="Arial" w:hAnsi="Arial" w:cs="Arial"/>
          <w:color w:val="141414"/>
          <w:sz w:val="21"/>
          <w:szCs w:val="21"/>
        </w:rPr>
        <w:t>s</w:t>
      </w:r>
      <w:r w:rsidRPr="00C61B6F">
        <w:rPr>
          <w:rFonts w:ascii="Arial" w:hAnsi="Arial" w:cs="Arial"/>
          <w:color w:val="141414"/>
          <w:sz w:val="21"/>
          <w:szCs w:val="21"/>
        </w:rPr>
        <w:t>ses régionales, dont la v</w:t>
      </w:r>
      <w:r>
        <w:rPr>
          <w:rFonts w:ascii="Arial" w:hAnsi="Arial" w:cs="Arial"/>
          <w:color w:val="141414"/>
          <w:sz w:val="21"/>
          <w:szCs w:val="21"/>
        </w:rPr>
        <w:t>ô</w:t>
      </w:r>
      <w:r w:rsidRPr="00C61B6F">
        <w:rPr>
          <w:rFonts w:ascii="Arial" w:hAnsi="Arial" w:cs="Arial"/>
          <w:color w:val="141414"/>
          <w:sz w:val="21"/>
          <w:szCs w:val="21"/>
        </w:rPr>
        <w:t>tre qui regroupe 182 agences. Très bien implantée dans la région pour des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C61B6F">
        <w:rPr>
          <w:rFonts w:ascii="Arial" w:hAnsi="Arial" w:cs="Arial"/>
          <w:color w:val="141414"/>
          <w:sz w:val="21"/>
          <w:szCs w:val="21"/>
        </w:rPr>
        <w:t>rais</w:t>
      </w:r>
      <w:r>
        <w:rPr>
          <w:rFonts w:ascii="Arial" w:hAnsi="Arial" w:cs="Arial"/>
          <w:color w:val="141414"/>
          <w:sz w:val="21"/>
          <w:szCs w:val="21"/>
        </w:rPr>
        <w:t>ons historiques, elle cherche à</w:t>
      </w:r>
      <w:r w:rsidRPr="00C61B6F">
        <w:rPr>
          <w:rFonts w:ascii="Arial" w:hAnsi="Arial" w:cs="Arial"/>
          <w:color w:val="141414"/>
          <w:sz w:val="21"/>
          <w:szCs w:val="21"/>
        </w:rPr>
        <w:t xml:space="preserve"> réactiver une partie de sa </w:t>
      </w:r>
      <w:r w:rsidR="00563618" w:rsidRPr="00C61B6F">
        <w:rPr>
          <w:rFonts w:ascii="Arial" w:hAnsi="Arial" w:cs="Arial"/>
          <w:color w:val="141414"/>
          <w:sz w:val="21"/>
          <w:szCs w:val="21"/>
        </w:rPr>
        <w:t>clientè</w:t>
      </w:r>
      <w:r w:rsidR="00563618">
        <w:rPr>
          <w:rFonts w:ascii="Arial" w:hAnsi="Arial" w:cs="Arial"/>
          <w:color w:val="141414"/>
          <w:sz w:val="21"/>
          <w:szCs w:val="21"/>
        </w:rPr>
        <w:t>le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C61B6F">
        <w:rPr>
          <w:rFonts w:ascii="Arial" w:hAnsi="Arial" w:cs="Arial"/>
          <w:color w:val="141414"/>
          <w:sz w:val="21"/>
          <w:szCs w:val="21"/>
        </w:rPr>
        <w:t>distanciée et souvent multi</w:t>
      </w:r>
      <w:r>
        <w:rPr>
          <w:rFonts w:ascii="Arial" w:hAnsi="Arial" w:cs="Arial"/>
          <w:color w:val="141414"/>
          <w:sz w:val="21"/>
          <w:szCs w:val="21"/>
        </w:rPr>
        <w:t>-</w:t>
      </w:r>
      <w:r w:rsidRPr="00C61B6F">
        <w:rPr>
          <w:rFonts w:ascii="Arial" w:hAnsi="Arial" w:cs="Arial"/>
          <w:color w:val="141414"/>
          <w:sz w:val="21"/>
          <w:szCs w:val="21"/>
        </w:rPr>
        <w:t>bancarisé</w:t>
      </w:r>
      <w:r>
        <w:rPr>
          <w:rFonts w:ascii="Arial" w:hAnsi="Arial" w:cs="Arial"/>
          <w:color w:val="141414"/>
          <w:sz w:val="21"/>
          <w:szCs w:val="21"/>
        </w:rPr>
        <w:t>e</w:t>
      </w:r>
      <w:r w:rsidRPr="00C61B6F">
        <w:rPr>
          <w:rFonts w:ascii="Arial" w:hAnsi="Arial" w:cs="Arial"/>
          <w:color w:val="141414"/>
          <w:sz w:val="21"/>
          <w:szCs w:val="21"/>
        </w:rPr>
        <w:t>.</w:t>
      </w:r>
    </w:p>
    <w:p w:rsidR="00C61B6F" w:rsidRPr="00C61B6F" w:rsidRDefault="00C61B6F" w:rsidP="00C61B6F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>L’agence</w:t>
      </w:r>
      <w:r w:rsidRPr="00C61B6F">
        <w:rPr>
          <w:rFonts w:ascii="Arial" w:hAnsi="Arial" w:cs="Arial"/>
          <w:color w:val="141414"/>
          <w:sz w:val="21"/>
          <w:szCs w:val="21"/>
        </w:rPr>
        <w:t xml:space="preserve"> </w:t>
      </w:r>
      <w:proofErr w:type="spellStart"/>
      <w:r w:rsidRPr="00C61B6F">
        <w:rPr>
          <w:rFonts w:ascii="Arial" w:hAnsi="Arial" w:cs="Arial"/>
          <w:color w:val="141414"/>
          <w:sz w:val="21"/>
          <w:szCs w:val="21"/>
        </w:rPr>
        <w:t>Rond Point</w:t>
      </w:r>
      <w:proofErr w:type="spellEnd"/>
      <w:r w:rsidRPr="00C61B6F">
        <w:rPr>
          <w:rFonts w:ascii="Arial" w:hAnsi="Arial" w:cs="Arial"/>
          <w:color w:val="141414"/>
          <w:sz w:val="21"/>
          <w:szCs w:val="21"/>
        </w:rPr>
        <w:t xml:space="preserve"> est située au centre-ville d'une c:ommune de 10 000 hab</w:t>
      </w:r>
      <w:r>
        <w:rPr>
          <w:rFonts w:ascii="Arial" w:hAnsi="Arial" w:cs="Arial"/>
          <w:color w:val="141414"/>
          <w:sz w:val="21"/>
          <w:szCs w:val="21"/>
        </w:rPr>
        <w:t>i</w:t>
      </w:r>
      <w:r w:rsidRPr="00C61B6F">
        <w:rPr>
          <w:rFonts w:ascii="Arial" w:hAnsi="Arial" w:cs="Arial"/>
          <w:color w:val="141414"/>
          <w:sz w:val="21"/>
          <w:szCs w:val="21"/>
        </w:rPr>
        <w:t>tants. Elle ouvre ses portes du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C61B6F">
        <w:rPr>
          <w:rFonts w:ascii="Arial" w:hAnsi="Arial" w:cs="Arial"/>
          <w:color w:val="141414"/>
          <w:sz w:val="21"/>
          <w:szCs w:val="21"/>
        </w:rPr>
        <w:t>lundi au jeudi de 8h30 â 18h15 et le vendr</w:t>
      </w:r>
      <w:r>
        <w:rPr>
          <w:rFonts w:ascii="Arial" w:hAnsi="Arial" w:cs="Arial"/>
          <w:color w:val="141414"/>
          <w:sz w:val="21"/>
          <w:szCs w:val="21"/>
        </w:rPr>
        <w:t>e</w:t>
      </w:r>
      <w:r w:rsidRPr="00C61B6F">
        <w:rPr>
          <w:rFonts w:ascii="Arial" w:hAnsi="Arial" w:cs="Arial"/>
          <w:color w:val="141414"/>
          <w:sz w:val="21"/>
          <w:szCs w:val="21"/>
        </w:rPr>
        <w:t>di de 8h30 à 13h00. Elle compte 2643 clients dont une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C61B6F">
        <w:rPr>
          <w:rFonts w:ascii="Arial" w:hAnsi="Arial" w:cs="Arial"/>
          <w:color w:val="141414"/>
          <w:sz w:val="21"/>
          <w:szCs w:val="21"/>
        </w:rPr>
        <w:t xml:space="preserve">Importante </w:t>
      </w:r>
      <w:r>
        <w:rPr>
          <w:rFonts w:ascii="Arial" w:hAnsi="Arial" w:cs="Arial"/>
          <w:color w:val="141414"/>
          <w:sz w:val="21"/>
          <w:szCs w:val="21"/>
        </w:rPr>
        <w:t>pro</w:t>
      </w:r>
      <w:r w:rsidRPr="00C61B6F">
        <w:rPr>
          <w:rFonts w:ascii="Arial" w:hAnsi="Arial" w:cs="Arial"/>
          <w:color w:val="141414"/>
          <w:sz w:val="21"/>
          <w:szCs w:val="21"/>
        </w:rPr>
        <w:t>portion d'actifs</w:t>
      </w:r>
      <w:r>
        <w:rPr>
          <w:rFonts w:ascii="Arial" w:hAnsi="Arial" w:cs="Arial"/>
          <w:color w:val="141414"/>
          <w:sz w:val="21"/>
          <w:szCs w:val="21"/>
        </w:rPr>
        <w:t xml:space="preserve"> qui</w:t>
      </w:r>
      <w:r w:rsidRPr="00C61B6F">
        <w:rPr>
          <w:rFonts w:ascii="Arial" w:hAnsi="Arial" w:cs="Arial"/>
          <w:color w:val="141414"/>
          <w:sz w:val="21"/>
          <w:szCs w:val="21"/>
        </w:rPr>
        <w:t xml:space="preserve"> travaille</w:t>
      </w:r>
      <w:r>
        <w:rPr>
          <w:rFonts w:ascii="Arial" w:hAnsi="Arial" w:cs="Arial"/>
          <w:color w:val="141414"/>
          <w:sz w:val="21"/>
          <w:szCs w:val="21"/>
        </w:rPr>
        <w:t>nt</w:t>
      </w:r>
      <w:r w:rsidRPr="00C61B6F">
        <w:rPr>
          <w:rFonts w:ascii="Arial" w:hAnsi="Arial" w:cs="Arial"/>
          <w:color w:val="141414"/>
          <w:sz w:val="21"/>
          <w:szCs w:val="21"/>
        </w:rPr>
        <w:t xml:space="preserve"> dans la capitale régionale située </w:t>
      </w:r>
      <w:r>
        <w:rPr>
          <w:rFonts w:ascii="Arial" w:hAnsi="Arial" w:cs="Arial"/>
          <w:color w:val="141414"/>
          <w:sz w:val="21"/>
          <w:szCs w:val="21"/>
        </w:rPr>
        <w:t>à</w:t>
      </w:r>
      <w:r w:rsidRPr="00C61B6F">
        <w:rPr>
          <w:rFonts w:ascii="Arial" w:hAnsi="Arial" w:cs="Arial"/>
          <w:color w:val="141414"/>
          <w:sz w:val="21"/>
          <w:szCs w:val="21"/>
        </w:rPr>
        <w:t xml:space="preserve"> 40 </w:t>
      </w:r>
      <w:r>
        <w:rPr>
          <w:rFonts w:ascii="Arial" w:hAnsi="Arial" w:cs="Arial"/>
          <w:color w:val="141414"/>
          <w:sz w:val="21"/>
          <w:szCs w:val="21"/>
        </w:rPr>
        <w:t>kilomètres. La prise de rendez-</w:t>
      </w:r>
      <w:r w:rsidRPr="00C61B6F">
        <w:rPr>
          <w:rFonts w:ascii="Arial" w:hAnsi="Arial" w:cs="Arial"/>
          <w:color w:val="141414"/>
          <w:sz w:val="21"/>
          <w:szCs w:val="21"/>
        </w:rPr>
        <w:t>vous par les consei</w:t>
      </w:r>
      <w:r>
        <w:rPr>
          <w:rFonts w:ascii="Arial" w:hAnsi="Arial" w:cs="Arial"/>
          <w:color w:val="141414"/>
          <w:sz w:val="21"/>
          <w:szCs w:val="21"/>
        </w:rPr>
        <w:t>llers</w:t>
      </w:r>
      <w:r w:rsidRPr="00C61B6F">
        <w:rPr>
          <w:rFonts w:ascii="Arial" w:hAnsi="Arial" w:cs="Arial"/>
          <w:color w:val="141414"/>
          <w:sz w:val="21"/>
          <w:szCs w:val="21"/>
        </w:rPr>
        <w:t xml:space="preserve"> est difficile dans ce contexte.</w:t>
      </w:r>
    </w:p>
    <w:p w:rsidR="004B362A" w:rsidRDefault="00C61B6F" w:rsidP="00C61B6F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C61B6F">
        <w:rPr>
          <w:rFonts w:ascii="Arial" w:hAnsi="Arial" w:cs="Arial"/>
          <w:color w:val="141414"/>
          <w:sz w:val="21"/>
          <w:szCs w:val="21"/>
        </w:rPr>
        <w:t>Vous avez été m</w:t>
      </w:r>
      <w:r>
        <w:rPr>
          <w:rFonts w:ascii="Arial" w:hAnsi="Arial" w:cs="Arial"/>
          <w:color w:val="141414"/>
          <w:sz w:val="21"/>
          <w:szCs w:val="21"/>
        </w:rPr>
        <w:t>u</w:t>
      </w:r>
      <w:r w:rsidRPr="00C61B6F">
        <w:rPr>
          <w:rFonts w:ascii="Arial" w:hAnsi="Arial" w:cs="Arial"/>
          <w:color w:val="141414"/>
          <w:sz w:val="21"/>
          <w:szCs w:val="21"/>
        </w:rPr>
        <w:t>té(e) dans cette agence â la suite d'une redistribution des portefeuilles. La direction vous a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C61B6F">
        <w:rPr>
          <w:rFonts w:ascii="Arial" w:hAnsi="Arial" w:cs="Arial"/>
          <w:color w:val="141414"/>
          <w:sz w:val="21"/>
          <w:szCs w:val="21"/>
        </w:rPr>
        <w:t>confié la gestion du portefeuille n</w:t>
      </w:r>
      <w:r>
        <w:rPr>
          <w:rFonts w:ascii="Arial" w:hAnsi="Arial" w:cs="Arial"/>
          <w:color w:val="141414"/>
          <w:sz w:val="21"/>
          <w:szCs w:val="21"/>
        </w:rPr>
        <w:t>°</w:t>
      </w:r>
      <w:r w:rsidRPr="00C61B6F">
        <w:rPr>
          <w:rFonts w:ascii="Arial" w:hAnsi="Arial" w:cs="Arial"/>
          <w:color w:val="141414"/>
          <w:sz w:val="21"/>
          <w:szCs w:val="21"/>
        </w:rPr>
        <w:t>1 composé de 453 clients. Tous les nouveaux clients conquis par l'agence</w:t>
      </w:r>
      <w:r>
        <w:rPr>
          <w:rFonts w:ascii="Arial" w:hAnsi="Arial" w:cs="Arial"/>
          <w:color w:val="141414"/>
          <w:sz w:val="21"/>
          <w:szCs w:val="21"/>
        </w:rPr>
        <w:t xml:space="preserve"> en 2008 y sont rattach</w:t>
      </w:r>
      <w:r w:rsidRPr="00C61B6F">
        <w:rPr>
          <w:rFonts w:ascii="Arial" w:hAnsi="Arial" w:cs="Arial"/>
          <w:color w:val="141414"/>
          <w:sz w:val="21"/>
          <w:szCs w:val="21"/>
        </w:rPr>
        <w:t>és.</w:t>
      </w: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4B362A" w:rsidRDefault="00563618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563618">
        <w:rPr>
          <w:rFonts w:ascii="Arial" w:hAnsi="Arial" w:cs="Arial"/>
          <w:b/>
          <w:bCs/>
          <w:color w:val="141414"/>
          <w:sz w:val="22"/>
          <w:szCs w:val="22"/>
        </w:rPr>
        <w:t xml:space="preserve">PARTIE </w:t>
      </w:r>
      <w:r w:rsidR="000A4CEC">
        <w:rPr>
          <w:rFonts w:ascii="Arial" w:hAnsi="Arial" w:cs="Arial"/>
          <w:b/>
          <w:bCs/>
          <w:color w:val="141414"/>
          <w:sz w:val="22"/>
          <w:szCs w:val="22"/>
        </w:rPr>
        <w:t>I</w:t>
      </w:r>
      <w:r w:rsidRPr="00563618">
        <w:rPr>
          <w:rFonts w:ascii="Arial" w:hAnsi="Arial" w:cs="Arial"/>
          <w:b/>
          <w:bCs/>
          <w:color w:val="141414"/>
          <w:sz w:val="22"/>
          <w:szCs w:val="22"/>
        </w:rPr>
        <w:t>. LA NOUVELLE RELATION BANCAIRE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563618" w:rsidRPr="00563618" w:rsidRDefault="00563618" w:rsidP="00563618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>L'établissement bancaire dans lequel vous travaillez s'est engagé, depuis quelques années, dans une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nouvelle approche de </w:t>
      </w:r>
      <w:r>
        <w:rPr>
          <w:rFonts w:ascii="Arial" w:hAnsi="Arial" w:cs="Arial"/>
          <w:color w:val="141414"/>
          <w:sz w:val="21"/>
          <w:szCs w:val="21"/>
        </w:rPr>
        <w:t>l</w:t>
      </w:r>
      <w:r w:rsidRPr="00563618">
        <w:rPr>
          <w:rFonts w:ascii="Arial" w:hAnsi="Arial" w:cs="Arial"/>
          <w:color w:val="141414"/>
          <w:sz w:val="21"/>
          <w:szCs w:val="21"/>
        </w:rPr>
        <w:t>a relation bancaire</w:t>
      </w:r>
      <w:r>
        <w:rPr>
          <w:rFonts w:ascii="Arial" w:hAnsi="Arial" w:cs="Arial"/>
          <w:color w:val="141414"/>
          <w:sz w:val="21"/>
          <w:szCs w:val="21"/>
        </w:rPr>
        <w:t>,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basée sur la mise en œuvre d'une véritable Gestion de la Relation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563618">
        <w:rPr>
          <w:rFonts w:ascii="Arial" w:hAnsi="Arial" w:cs="Arial"/>
          <w:color w:val="141414"/>
          <w:sz w:val="21"/>
          <w:szCs w:val="21"/>
        </w:rPr>
        <w:t>Client (GRC). Des moyens financiers</w:t>
      </w:r>
      <w:r>
        <w:rPr>
          <w:rFonts w:ascii="Arial" w:hAnsi="Arial" w:cs="Arial"/>
          <w:color w:val="141414"/>
          <w:sz w:val="21"/>
          <w:szCs w:val="21"/>
        </w:rPr>
        <w:t>,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matériels et humains ont été investis dans cette stratégie, cependant</w:t>
      </w:r>
      <w:r>
        <w:rPr>
          <w:rFonts w:ascii="Arial" w:hAnsi="Arial" w:cs="Arial"/>
          <w:color w:val="141414"/>
          <w:sz w:val="21"/>
          <w:szCs w:val="21"/>
        </w:rPr>
        <w:t xml:space="preserve">, 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les résultats ne sont pas </w:t>
      </w:r>
      <w:r>
        <w:rPr>
          <w:rFonts w:ascii="Arial" w:hAnsi="Arial" w:cs="Arial"/>
          <w:color w:val="141414"/>
          <w:sz w:val="21"/>
          <w:szCs w:val="21"/>
        </w:rPr>
        <w:t>c</w:t>
      </w:r>
      <w:r w:rsidRPr="00563618">
        <w:rPr>
          <w:rFonts w:ascii="Arial" w:hAnsi="Arial" w:cs="Arial"/>
          <w:color w:val="141414"/>
          <w:sz w:val="21"/>
          <w:szCs w:val="21"/>
        </w:rPr>
        <w:t>onformes aux attentes de ta direction. En effet</w:t>
      </w:r>
      <w:r>
        <w:rPr>
          <w:rFonts w:ascii="Arial" w:hAnsi="Arial" w:cs="Arial"/>
          <w:color w:val="141414"/>
          <w:sz w:val="21"/>
          <w:szCs w:val="21"/>
        </w:rPr>
        <w:t>,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une ré</w:t>
      </w:r>
      <w:r>
        <w:rPr>
          <w:rFonts w:ascii="Arial" w:hAnsi="Arial" w:cs="Arial"/>
          <w:color w:val="141414"/>
          <w:sz w:val="21"/>
          <w:szCs w:val="21"/>
        </w:rPr>
        <w:t>c</w:t>
      </w:r>
      <w:r w:rsidRPr="00563618">
        <w:rPr>
          <w:rFonts w:ascii="Arial" w:hAnsi="Arial" w:cs="Arial"/>
          <w:color w:val="141414"/>
          <w:sz w:val="21"/>
          <w:szCs w:val="21"/>
        </w:rPr>
        <w:t>ente étude interne a montré</w:t>
      </w:r>
    </w:p>
    <w:p w:rsidR="00563618" w:rsidRPr="00563618" w:rsidRDefault="00563618" w:rsidP="00563618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>que 30% des clients de la banque assurent 90% du PNB et que les clients non rentables consomment 30% - 40 % des efforts marketing. Tous les responsables des agences de la région ont été réunis lors d'un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563618">
        <w:rPr>
          <w:rFonts w:ascii="Arial" w:hAnsi="Arial" w:cs="Arial"/>
          <w:color w:val="141414"/>
          <w:sz w:val="21"/>
          <w:szCs w:val="21"/>
        </w:rPr>
        <w:t>Séminaire pour les s</w:t>
      </w:r>
      <w:r>
        <w:rPr>
          <w:rFonts w:ascii="Arial" w:hAnsi="Arial" w:cs="Arial"/>
          <w:color w:val="141414"/>
          <w:sz w:val="21"/>
          <w:szCs w:val="21"/>
        </w:rPr>
        <w:t>e</w:t>
      </w:r>
      <w:r w:rsidRPr="00563618">
        <w:rPr>
          <w:rFonts w:ascii="Arial" w:hAnsi="Arial" w:cs="Arial"/>
          <w:color w:val="141414"/>
          <w:sz w:val="21"/>
          <w:szCs w:val="21"/>
        </w:rPr>
        <w:t>nsibiliser à l'amélioration de cette démarche (a</w:t>
      </w:r>
      <w:r>
        <w:rPr>
          <w:rFonts w:ascii="Arial" w:hAnsi="Arial" w:cs="Arial"/>
          <w:color w:val="141414"/>
          <w:sz w:val="21"/>
          <w:szCs w:val="21"/>
        </w:rPr>
        <w:t>n</w:t>
      </w:r>
      <w:r w:rsidRPr="00563618">
        <w:rPr>
          <w:rFonts w:ascii="Arial" w:hAnsi="Arial" w:cs="Arial"/>
          <w:color w:val="141414"/>
          <w:sz w:val="21"/>
          <w:szCs w:val="21"/>
        </w:rPr>
        <w:t>nexe 1).</w:t>
      </w:r>
    </w:p>
    <w:p w:rsidR="00563618" w:rsidRPr="00563618" w:rsidRDefault="00563618" w:rsidP="00563618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>Expliquez comment la Gestion de la Relation Client permet de passer d’une approche « produit » à une approche « client ».</w:t>
      </w:r>
    </w:p>
    <w:p w:rsidR="00563618" w:rsidRPr="00563618" w:rsidRDefault="00563618" w:rsidP="00563618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>Citez et justifiez 4 enjeux majeurs de la mise en œuvre d'une démarche de Gestion de la Relation Client pour un établissement bancaire.</w:t>
      </w:r>
    </w:p>
    <w:p w:rsidR="00563618" w:rsidRPr="00563618" w:rsidRDefault="00563618" w:rsidP="00563618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 xml:space="preserve">L'analyse de </w:t>
      </w:r>
      <w:r>
        <w:rPr>
          <w:rFonts w:ascii="Arial" w:hAnsi="Arial" w:cs="Arial"/>
          <w:color w:val="141414"/>
          <w:sz w:val="21"/>
          <w:szCs w:val="21"/>
        </w:rPr>
        <w:t>l’</w:t>
      </w:r>
      <w:r w:rsidRPr="00563618">
        <w:rPr>
          <w:rFonts w:ascii="Arial" w:hAnsi="Arial" w:cs="Arial"/>
          <w:color w:val="141414"/>
          <w:sz w:val="21"/>
          <w:szCs w:val="21"/>
        </w:rPr>
        <w:t>a</w:t>
      </w:r>
      <w:r>
        <w:rPr>
          <w:rFonts w:ascii="Arial" w:hAnsi="Arial" w:cs="Arial"/>
          <w:color w:val="141414"/>
          <w:sz w:val="21"/>
          <w:szCs w:val="21"/>
        </w:rPr>
        <w:t>ct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ivité de </w:t>
      </w:r>
      <w:r>
        <w:rPr>
          <w:rFonts w:ascii="Arial" w:hAnsi="Arial" w:cs="Arial"/>
          <w:color w:val="141414"/>
          <w:sz w:val="21"/>
          <w:szCs w:val="21"/>
        </w:rPr>
        <w:t>l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'agence </w:t>
      </w:r>
      <w:proofErr w:type="spellStart"/>
      <w:r w:rsidRPr="00C61B6F">
        <w:rPr>
          <w:rFonts w:ascii="Arial" w:hAnsi="Arial" w:cs="Arial"/>
          <w:color w:val="141414"/>
          <w:sz w:val="21"/>
          <w:szCs w:val="21"/>
        </w:rPr>
        <w:t>Rond Point</w:t>
      </w:r>
      <w:proofErr w:type="spellEnd"/>
      <w:r w:rsidRPr="00C61B6F">
        <w:rPr>
          <w:rFonts w:ascii="Arial" w:hAnsi="Arial" w:cs="Arial"/>
          <w:color w:val="141414"/>
          <w:sz w:val="21"/>
          <w:szCs w:val="21"/>
        </w:rPr>
        <w:t xml:space="preserve"> </w:t>
      </w:r>
      <w:r w:rsidRPr="00563618">
        <w:rPr>
          <w:rFonts w:ascii="Arial" w:hAnsi="Arial" w:cs="Arial"/>
          <w:color w:val="141414"/>
          <w:sz w:val="21"/>
          <w:szCs w:val="21"/>
        </w:rPr>
        <w:t>i</w:t>
      </w:r>
      <w:r>
        <w:rPr>
          <w:rFonts w:ascii="Arial" w:hAnsi="Arial" w:cs="Arial"/>
          <w:color w:val="141414"/>
          <w:sz w:val="21"/>
          <w:szCs w:val="21"/>
        </w:rPr>
        <w:t>n</w:t>
      </w:r>
      <w:r w:rsidRPr="00563618">
        <w:rPr>
          <w:rFonts w:ascii="Arial" w:hAnsi="Arial" w:cs="Arial"/>
          <w:color w:val="141414"/>
          <w:sz w:val="21"/>
          <w:szCs w:val="21"/>
        </w:rPr>
        <w:t>dique que seuls 50 % des clients ont e</w:t>
      </w:r>
      <w:r>
        <w:rPr>
          <w:rFonts w:ascii="Arial" w:hAnsi="Arial" w:cs="Arial"/>
          <w:color w:val="141414"/>
          <w:sz w:val="21"/>
          <w:szCs w:val="21"/>
        </w:rPr>
        <w:t>u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un contact avec leur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banque au cours de la dernière année alors que </w:t>
      </w:r>
      <w:r>
        <w:rPr>
          <w:rFonts w:ascii="Arial" w:hAnsi="Arial" w:cs="Arial"/>
          <w:color w:val="141414"/>
          <w:sz w:val="21"/>
          <w:szCs w:val="21"/>
        </w:rPr>
        <w:t>l’objectif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fixé par la direction </w:t>
      </w:r>
      <w:r>
        <w:rPr>
          <w:rFonts w:ascii="Arial" w:hAnsi="Arial" w:cs="Arial"/>
          <w:color w:val="141414"/>
          <w:sz w:val="21"/>
          <w:szCs w:val="21"/>
        </w:rPr>
        <w:t>é</w:t>
      </w:r>
      <w:r w:rsidRPr="00563618">
        <w:rPr>
          <w:rFonts w:ascii="Arial" w:hAnsi="Arial" w:cs="Arial"/>
          <w:color w:val="141414"/>
          <w:sz w:val="21"/>
          <w:szCs w:val="21"/>
        </w:rPr>
        <w:t>tait d’atteindre 70 %.</w:t>
      </w:r>
    </w:p>
    <w:p w:rsidR="003F14D1" w:rsidRPr="00563618" w:rsidRDefault="00563618" w:rsidP="00563618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 xml:space="preserve">Proposez trois moyens permettant de développer la fréquence du contact avec la clientèle de l'agence </w:t>
      </w:r>
      <w:proofErr w:type="spellStart"/>
      <w:r w:rsidRPr="00563618">
        <w:rPr>
          <w:rFonts w:ascii="Arial" w:hAnsi="Arial" w:cs="Arial"/>
          <w:color w:val="141414"/>
          <w:sz w:val="21"/>
          <w:szCs w:val="21"/>
        </w:rPr>
        <w:t>Rond Point</w:t>
      </w:r>
      <w:proofErr w:type="spellEnd"/>
      <w:r w:rsidRPr="00563618">
        <w:rPr>
          <w:rFonts w:ascii="Arial" w:hAnsi="Arial" w:cs="Arial"/>
          <w:color w:val="141414"/>
          <w:sz w:val="21"/>
          <w:szCs w:val="21"/>
        </w:rPr>
        <w:t>.</w:t>
      </w:r>
    </w:p>
    <w:p w:rsidR="00563618" w:rsidRPr="003F14D1" w:rsidRDefault="00563618" w:rsidP="00563618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4B362A" w:rsidRDefault="00563618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563618">
        <w:rPr>
          <w:rFonts w:ascii="Arial" w:hAnsi="Arial" w:cs="Arial"/>
          <w:b/>
          <w:bCs/>
          <w:color w:val="141414"/>
          <w:sz w:val="22"/>
          <w:szCs w:val="22"/>
        </w:rPr>
        <w:t xml:space="preserve">PARTIE </w:t>
      </w:r>
      <w:r w:rsidR="000A4CEC">
        <w:rPr>
          <w:rFonts w:ascii="Arial" w:hAnsi="Arial" w:cs="Arial"/>
          <w:b/>
          <w:bCs/>
          <w:color w:val="141414"/>
          <w:sz w:val="22"/>
          <w:szCs w:val="22"/>
        </w:rPr>
        <w:t>II</w:t>
      </w:r>
      <w:r w:rsidRPr="00563618">
        <w:rPr>
          <w:rFonts w:ascii="Arial" w:hAnsi="Arial" w:cs="Arial"/>
          <w:b/>
          <w:bCs/>
          <w:color w:val="141414"/>
          <w:sz w:val="22"/>
          <w:szCs w:val="22"/>
        </w:rPr>
        <w:t>. L'ANALYSE DE L'ACTIVITÊ COMMERCIALE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563618" w:rsidRPr="00563618" w:rsidRDefault="00563618" w:rsidP="000A4CEC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>La direction du ré</w:t>
      </w:r>
      <w:r>
        <w:rPr>
          <w:rFonts w:ascii="Arial" w:hAnsi="Arial" w:cs="Arial"/>
          <w:color w:val="141414"/>
          <w:sz w:val="21"/>
          <w:szCs w:val="21"/>
        </w:rPr>
        <w:t>s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eau a </w:t>
      </w:r>
      <w:r>
        <w:rPr>
          <w:rFonts w:ascii="Arial" w:hAnsi="Arial" w:cs="Arial"/>
          <w:color w:val="141414"/>
          <w:sz w:val="21"/>
          <w:szCs w:val="21"/>
        </w:rPr>
        <w:t>ré</w:t>
      </w:r>
      <w:r w:rsidRPr="00563618">
        <w:rPr>
          <w:rFonts w:ascii="Arial" w:hAnsi="Arial" w:cs="Arial"/>
          <w:color w:val="141414"/>
          <w:sz w:val="21"/>
          <w:szCs w:val="21"/>
        </w:rPr>
        <w:t>cemment mis en p</w:t>
      </w:r>
      <w:r>
        <w:rPr>
          <w:rFonts w:ascii="Arial" w:hAnsi="Arial" w:cs="Arial"/>
          <w:color w:val="141414"/>
          <w:sz w:val="21"/>
          <w:szCs w:val="21"/>
        </w:rPr>
        <w:t>l</w:t>
      </w:r>
      <w:r w:rsidRPr="00563618">
        <w:rPr>
          <w:rFonts w:ascii="Arial" w:hAnsi="Arial" w:cs="Arial"/>
          <w:color w:val="141414"/>
          <w:sz w:val="21"/>
          <w:szCs w:val="21"/>
        </w:rPr>
        <w:t>a</w:t>
      </w:r>
      <w:r>
        <w:rPr>
          <w:rFonts w:ascii="Arial" w:hAnsi="Arial" w:cs="Arial"/>
          <w:color w:val="141414"/>
          <w:sz w:val="21"/>
          <w:szCs w:val="21"/>
        </w:rPr>
        <w:t>c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e un </w:t>
      </w:r>
      <w:r>
        <w:rPr>
          <w:rFonts w:ascii="Arial" w:hAnsi="Arial" w:cs="Arial"/>
          <w:color w:val="141414"/>
          <w:sz w:val="21"/>
          <w:szCs w:val="21"/>
        </w:rPr>
        <w:t>nouveau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système de suivi de l'activité </w:t>
      </w:r>
      <w:r>
        <w:rPr>
          <w:rFonts w:ascii="Arial" w:hAnsi="Arial" w:cs="Arial"/>
          <w:color w:val="141414"/>
          <w:sz w:val="21"/>
          <w:szCs w:val="21"/>
        </w:rPr>
        <w:t>comm</w:t>
      </w:r>
      <w:r w:rsidRPr="00563618">
        <w:rPr>
          <w:rFonts w:ascii="Arial" w:hAnsi="Arial" w:cs="Arial"/>
          <w:color w:val="141414"/>
          <w:sz w:val="21"/>
          <w:szCs w:val="21"/>
        </w:rPr>
        <w:t>erciale des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563618">
        <w:rPr>
          <w:rFonts w:ascii="Arial" w:hAnsi="Arial" w:cs="Arial"/>
          <w:color w:val="141414"/>
          <w:sz w:val="21"/>
          <w:szCs w:val="21"/>
        </w:rPr>
        <w:t>conseil</w:t>
      </w:r>
      <w:r>
        <w:rPr>
          <w:rFonts w:ascii="Arial" w:hAnsi="Arial" w:cs="Arial"/>
          <w:color w:val="141414"/>
          <w:sz w:val="21"/>
          <w:szCs w:val="21"/>
        </w:rPr>
        <w:t>le</w:t>
      </w:r>
      <w:r w:rsidRPr="00563618">
        <w:rPr>
          <w:rFonts w:ascii="Arial" w:hAnsi="Arial" w:cs="Arial"/>
          <w:color w:val="141414"/>
          <w:sz w:val="21"/>
          <w:szCs w:val="21"/>
        </w:rPr>
        <w:t>rs.</w:t>
      </w:r>
    </w:p>
    <w:p w:rsidR="00563618" w:rsidRPr="00563618" w:rsidRDefault="00563618" w:rsidP="000A4CEC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>Dans que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lques jours, vous allez avoir un entretien individuel </w:t>
      </w:r>
      <w:r>
        <w:rPr>
          <w:rFonts w:ascii="Arial" w:hAnsi="Arial" w:cs="Arial"/>
          <w:color w:val="141414"/>
          <w:sz w:val="21"/>
          <w:szCs w:val="21"/>
        </w:rPr>
        <w:t>a</w:t>
      </w:r>
      <w:r w:rsidRPr="00563618">
        <w:rPr>
          <w:rFonts w:ascii="Arial" w:hAnsi="Arial" w:cs="Arial"/>
          <w:color w:val="141414"/>
          <w:sz w:val="21"/>
          <w:szCs w:val="21"/>
        </w:rPr>
        <w:t>vec votre supérieur hiérarchique et ainsi faire</w:t>
      </w:r>
      <w:r>
        <w:rPr>
          <w:rFonts w:ascii="Arial" w:hAnsi="Arial" w:cs="Arial"/>
          <w:color w:val="141414"/>
          <w:sz w:val="21"/>
          <w:szCs w:val="21"/>
        </w:rPr>
        <w:t xml:space="preserve"> l</w:t>
      </w:r>
      <w:r w:rsidRPr="00563618">
        <w:rPr>
          <w:rFonts w:ascii="Arial" w:hAnsi="Arial" w:cs="Arial"/>
          <w:color w:val="141414"/>
          <w:sz w:val="21"/>
          <w:szCs w:val="21"/>
        </w:rPr>
        <w:t>e bilan des quatre premiers mois de votre activité.</w:t>
      </w:r>
    </w:p>
    <w:p w:rsidR="00563618" w:rsidRPr="00563618" w:rsidRDefault="00563618" w:rsidP="000A4CEC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 xml:space="preserve">2.1. Expliquez l'intérêt </w:t>
      </w:r>
      <w:r>
        <w:rPr>
          <w:rFonts w:ascii="Arial" w:hAnsi="Arial" w:cs="Arial"/>
          <w:color w:val="141414"/>
          <w:sz w:val="21"/>
          <w:szCs w:val="21"/>
        </w:rPr>
        <w:t>du tabl</w:t>
      </w:r>
      <w:r w:rsidRPr="00563618">
        <w:rPr>
          <w:rFonts w:ascii="Arial" w:hAnsi="Arial" w:cs="Arial"/>
          <w:color w:val="141414"/>
          <w:sz w:val="21"/>
          <w:szCs w:val="21"/>
        </w:rPr>
        <w:t>eau de su</w:t>
      </w:r>
      <w:r>
        <w:rPr>
          <w:rFonts w:ascii="Arial" w:hAnsi="Arial" w:cs="Arial"/>
          <w:color w:val="141414"/>
          <w:sz w:val="21"/>
          <w:szCs w:val="21"/>
        </w:rPr>
        <w:t>ivi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de l'activité commerciale (annexe 2) pour un(e) conseiller</w:t>
      </w:r>
      <w:r w:rsidR="000A4CEC" w:rsidRPr="00563618">
        <w:rPr>
          <w:rFonts w:ascii="Arial" w:hAnsi="Arial" w:cs="Arial"/>
          <w:color w:val="141414"/>
          <w:sz w:val="21"/>
          <w:szCs w:val="21"/>
        </w:rPr>
        <w:t>(ère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) </w:t>
      </w:r>
      <w:r w:rsidR="000A4CEC">
        <w:rPr>
          <w:rFonts w:ascii="Arial" w:hAnsi="Arial" w:cs="Arial"/>
          <w:color w:val="141414"/>
          <w:sz w:val="21"/>
          <w:szCs w:val="21"/>
        </w:rPr>
        <w:t>de c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lientèle. Vous </w:t>
      </w:r>
      <w:r w:rsidR="000A4CEC" w:rsidRPr="00563618">
        <w:rPr>
          <w:rFonts w:ascii="Arial" w:hAnsi="Arial" w:cs="Arial"/>
          <w:color w:val="141414"/>
          <w:sz w:val="21"/>
          <w:szCs w:val="21"/>
        </w:rPr>
        <w:t>préciserez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en particulier l'utilité </w:t>
      </w:r>
      <w:r w:rsidR="000A4CEC">
        <w:rPr>
          <w:rFonts w:ascii="Arial" w:hAnsi="Arial" w:cs="Arial"/>
          <w:color w:val="141414"/>
          <w:sz w:val="21"/>
          <w:szCs w:val="21"/>
        </w:rPr>
        <w:t>d</w:t>
      </w:r>
      <w:r w:rsidRPr="00563618">
        <w:rPr>
          <w:rFonts w:ascii="Arial" w:hAnsi="Arial" w:cs="Arial"/>
          <w:color w:val="141414"/>
          <w:sz w:val="21"/>
          <w:szCs w:val="21"/>
        </w:rPr>
        <w:t>es Indicateurs (2)</w:t>
      </w:r>
      <w:r w:rsidR="000A4CEC">
        <w:rPr>
          <w:rFonts w:ascii="Arial" w:hAnsi="Arial" w:cs="Arial"/>
          <w:color w:val="141414"/>
          <w:sz w:val="21"/>
          <w:szCs w:val="21"/>
        </w:rPr>
        <w:t>,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(3) et (4) mentionnés dans </w:t>
      </w:r>
      <w:r w:rsidR="000A4CEC">
        <w:rPr>
          <w:rFonts w:ascii="Arial" w:hAnsi="Arial" w:cs="Arial"/>
          <w:color w:val="141414"/>
          <w:sz w:val="21"/>
          <w:szCs w:val="21"/>
        </w:rPr>
        <w:t>c</w:t>
      </w:r>
      <w:r w:rsidRPr="00563618">
        <w:rPr>
          <w:rFonts w:ascii="Arial" w:hAnsi="Arial" w:cs="Arial"/>
          <w:color w:val="141414"/>
          <w:sz w:val="21"/>
          <w:szCs w:val="21"/>
        </w:rPr>
        <w:t>e tableau.</w:t>
      </w:r>
    </w:p>
    <w:p w:rsidR="00563618" w:rsidRPr="00563618" w:rsidRDefault="00563618" w:rsidP="000A4CEC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>2.2. Analysez votre ac</w:t>
      </w:r>
      <w:r w:rsidR="000A4CEC">
        <w:rPr>
          <w:rFonts w:ascii="Arial" w:hAnsi="Arial" w:cs="Arial"/>
          <w:color w:val="141414"/>
          <w:sz w:val="21"/>
          <w:szCs w:val="21"/>
        </w:rPr>
        <w:t>t</w:t>
      </w:r>
      <w:r w:rsidRPr="00563618">
        <w:rPr>
          <w:rFonts w:ascii="Arial" w:hAnsi="Arial" w:cs="Arial"/>
          <w:color w:val="141414"/>
          <w:sz w:val="21"/>
          <w:szCs w:val="21"/>
        </w:rPr>
        <w:t>ivité comm</w:t>
      </w:r>
      <w:r w:rsidR="000A4CEC">
        <w:rPr>
          <w:rFonts w:ascii="Arial" w:hAnsi="Arial" w:cs="Arial"/>
          <w:color w:val="141414"/>
          <w:sz w:val="21"/>
          <w:szCs w:val="21"/>
        </w:rPr>
        <w:t>er</w:t>
      </w:r>
      <w:r w:rsidRPr="00563618">
        <w:rPr>
          <w:rFonts w:ascii="Arial" w:hAnsi="Arial" w:cs="Arial"/>
          <w:color w:val="141414"/>
          <w:sz w:val="21"/>
          <w:szCs w:val="21"/>
        </w:rPr>
        <w:t>c</w:t>
      </w:r>
      <w:r w:rsidR="000A4CEC">
        <w:rPr>
          <w:rFonts w:ascii="Arial" w:hAnsi="Arial" w:cs="Arial"/>
          <w:color w:val="141414"/>
          <w:sz w:val="21"/>
          <w:szCs w:val="21"/>
        </w:rPr>
        <w:t>i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ale en faisant ressortir les principaux </w:t>
      </w:r>
      <w:r w:rsidR="000A4CEC" w:rsidRPr="00563618">
        <w:rPr>
          <w:rFonts w:ascii="Arial" w:hAnsi="Arial" w:cs="Arial"/>
          <w:color w:val="141414"/>
          <w:sz w:val="21"/>
          <w:szCs w:val="21"/>
        </w:rPr>
        <w:t>écarts</w:t>
      </w:r>
      <w:r w:rsidRPr="00563618">
        <w:rPr>
          <w:rFonts w:ascii="Arial" w:hAnsi="Arial" w:cs="Arial"/>
          <w:color w:val="141414"/>
          <w:sz w:val="21"/>
          <w:szCs w:val="21"/>
        </w:rPr>
        <w:t>.</w:t>
      </w:r>
    </w:p>
    <w:p w:rsidR="00C02253" w:rsidRPr="00563618" w:rsidRDefault="00563618" w:rsidP="000A4CEC">
      <w:pPr>
        <w:spacing w:before="240" w:after="240"/>
        <w:rPr>
          <w:rFonts w:ascii="Arial" w:hAnsi="Arial" w:cs="Arial"/>
          <w:color w:val="141414"/>
          <w:sz w:val="21"/>
          <w:szCs w:val="21"/>
        </w:rPr>
      </w:pPr>
      <w:r w:rsidRPr="00563618">
        <w:rPr>
          <w:rFonts w:ascii="Arial" w:hAnsi="Arial" w:cs="Arial"/>
          <w:color w:val="141414"/>
          <w:sz w:val="21"/>
          <w:szCs w:val="21"/>
        </w:rPr>
        <w:t xml:space="preserve">2.3 Proposez des solutions </w:t>
      </w:r>
      <w:r w:rsidR="000A4CEC">
        <w:rPr>
          <w:rFonts w:ascii="Arial" w:hAnsi="Arial" w:cs="Arial"/>
          <w:color w:val="141414"/>
          <w:sz w:val="21"/>
          <w:szCs w:val="21"/>
        </w:rPr>
        <w:t>c</w:t>
      </w:r>
      <w:r w:rsidRPr="00563618">
        <w:rPr>
          <w:rFonts w:ascii="Arial" w:hAnsi="Arial" w:cs="Arial"/>
          <w:color w:val="141414"/>
          <w:sz w:val="21"/>
          <w:szCs w:val="21"/>
        </w:rPr>
        <w:t>oncrè</w:t>
      </w:r>
      <w:r w:rsidR="000A4CEC">
        <w:rPr>
          <w:rFonts w:ascii="Arial" w:hAnsi="Arial" w:cs="Arial"/>
          <w:color w:val="141414"/>
          <w:sz w:val="21"/>
          <w:szCs w:val="21"/>
        </w:rPr>
        <w:t>te</w:t>
      </w:r>
      <w:r w:rsidRPr="00563618">
        <w:rPr>
          <w:rFonts w:ascii="Arial" w:hAnsi="Arial" w:cs="Arial"/>
          <w:color w:val="141414"/>
          <w:sz w:val="21"/>
          <w:szCs w:val="21"/>
        </w:rPr>
        <w:t>s pour amélio</w:t>
      </w:r>
      <w:r w:rsidR="000A4CEC">
        <w:rPr>
          <w:rFonts w:ascii="Arial" w:hAnsi="Arial" w:cs="Arial"/>
          <w:color w:val="141414"/>
          <w:sz w:val="21"/>
          <w:szCs w:val="21"/>
        </w:rPr>
        <w:t>rer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</w:t>
      </w:r>
      <w:r w:rsidR="000A4CEC">
        <w:rPr>
          <w:rFonts w:ascii="Arial" w:hAnsi="Arial" w:cs="Arial"/>
          <w:color w:val="141414"/>
          <w:sz w:val="21"/>
          <w:szCs w:val="21"/>
        </w:rPr>
        <w:t>vos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 </w:t>
      </w:r>
      <w:r w:rsidR="000A4CEC">
        <w:rPr>
          <w:rFonts w:ascii="Arial" w:hAnsi="Arial" w:cs="Arial"/>
          <w:color w:val="141414"/>
          <w:sz w:val="21"/>
          <w:szCs w:val="21"/>
        </w:rPr>
        <w:t>résulta</w:t>
      </w:r>
      <w:r w:rsidRPr="00563618">
        <w:rPr>
          <w:rFonts w:ascii="Arial" w:hAnsi="Arial" w:cs="Arial"/>
          <w:color w:val="141414"/>
          <w:sz w:val="21"/>
          <w:szCs w:val="21"/>
        </w:rPr>
        <w:t xml:space="preserve">ts. </w:t>
      </w:r>
      <w:r w:rsidR="00C02253" w:rsidRPr="00563618">
        <w:rPr>
          <w:rFonts w:ascii="Arial" w:hAnsi="Arial" w:cs="Arial"/>
          <w:color w:val="141414"/>
          <w:sz w:val="21"/>
          <w:szCs w:val="21"/>
        </w:rPr>
        <w:br w:type="page"/>
      </w:r>
    </w:p>
    <w:p w:rsidR="00C02253" w:rsidRDefault="000A4CEC" w:rsidP="00C0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563618">
        <w:rPr>
          <w:rFonts w:ascii="Arial" w:hAnsi="Arial" w:cs="Arial"/>
          <w:b/>
          <w:bCs/>
          <w:color w:val="141414"/>
          <w:sz w:val="22"/>
          <w:szCs w:val="22"/>
        </w:rPr>
        <w:lastRenderedPageBreak/>
        <w:t xml:space="preserve">PARTIE </w:t>
      </w:r>
      <w:r>
        <w:rPr>
          <w:rFonts w:ascii="Arial" w:hAnsi="Arial" w:cs="Arial"/>
          <w:b/>
          <w:bCs/>
          <w:color w:val="141414"/>
          <w:sz w:val="22"/>
          <w:szCs w:val="22"/>
        </w:rPr>
        <w:t>III</w:t>
      </w:r>
      <w:r w:rsidRPr="00563618">
        <w:rPr>
          <w:rFonts w:ascii="Arial" w:hAnsi="Arial" w:cs="Arial"/>
          <w:b/>
          <w:bCs/>
          <w:color w:val="141414"/>
          <w:sz w:val="22"/>
          <w:szCs w:val="22"/>
        </w:rPr>
        <w:t xml:space="preserve">. </w:t>
      </w:r>
      <w:r w:rsidRPr="000A4CEC">
        <w:rPr>
          <w:rFonts w:ascii="Arial" w:hAnsi="Arial" w:cs="Arial"/>
          <w:b/>
          <w:bCs/>
          <w:color w:val="141414"/>
          <w:sz w:val="22"/>
          <w:szCs w:val="22"/>
        </w:rPr>
        <w:t>LE SUIVI DES NOUVEAUX CLIENTS</w:t>
      </w:r>
    </w:p>
    <w:p w:rsidR="004B362A" w:rsidRDefault="004B362A" w:rsidP="00C02253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6E69AF" w:rsidRPr="006E69AF" w:rsidRDefault="006E69AF" w:rsidP="006E69AF">
      <w:pPr>
        <w:autoSpaceDE w:val="0"/>
        <w:autoSpaceDN w:val="0"/>
        <w:adjustRightInd w:val="0"/>
        <w:spacing w:after="240"/>
        <w:rPr>
          <w:rFonts w:ascii="Arial" w:hAnsi="Arial" w:cs="Arial"/>
          <w:color w:val="383838"/>
          <w:sz w:val="20"/>
          <w:szCs w:val="20"/>
        </w:rPr>
      </w:pPr>
      <w:r w:rsidRPr="006E69AF">
        <w:rPr>
          <w:rFonts w:ascii="Arial" w:hAnsi="Arial" w:cs="Arial"/>
          <w:color w:val="383838"/>
          <w:sz w:val="20"/>
          <w:szCs w:val="20"/>
        </w:rPr>
        <w:t xml:space="preserve">A </w:t>
      </w:r>
      <w:r>
        <w:rPr>
          <w:rFonts w:ascii="Arial" w:hAnsi="Arial" w:cs="Arial"/>
          <w:color w:val="383838"/>
          <w:sz w:val="20"/>
          <w:szCs w:val="20"/>
        </w:rPr>
        <w:t>la</w:t>
      </w:r>
      <w:r w:rsidRPr="006E69AF">
        <w:rPr>
          <w:rFonts w:ascii="Arial" w:hAnsi="Arial" w:cs="Arial"/>
          <w:color w:val="383838"/>
          <w:sz w:val="20"/>
          <w:szCs w:val="20"/>
        </w:rPr>
        <w:t xml:space="preserve"> su</w:t>
      </w:r>
      <w:r>
        <w:rPr>
          <w:rFonts w:ascii="Arial" w:hAnsi="Arial" w:cs="Arial"/>
          <w:color w:val="383838"/>
          <w:sz w:val="20"/>
          <w:szCs w:val="20"/>
        </w:rPr>
        <w:t>it</w:t>
      </w:r>
      <w:r w:rsidRPr="006E69AF">
        <w:rPr>
          <w:rFonts w:ascii="Arial" w:hAnsi="Arial" w:cs="Arial"/>
          <w:color w:val="383838"/>
          <w:sz w:val="20"/>
          <w:szCs w:val="20"/>
        </w:rPr>
        <w:t>e de cet entret</w:t>
      </w:r>
      <w:r>
        <w:rPr>
          <w:rFonts w:ascii="Arial" w:hAnsi="Arial" w:cs="Arial"/>
          <w:color w:val="383838"/>
          <w:sz w:val="20"/>
          <w:szCs w:val="20"/>
        </w:rPr>
        <w:t>ien d'évaluation, le responsable</w:t>
      </w:r>
      <w:r w:rsidRPr="006E69AF">
        <w:rPr>
          <w:rFonts w:ascii="Arial" w:hAnsi="Arial" w:cs="Arial"/>
          <w:color w:val="383838"/>
          <w:sz w:val="20"/>
          <w:szCs w:val="20"/>
        </w:rPr>
        <w:t xml:space="preserve"> d'agence vous a fixé </w:t>
      </w:r>
      <w:r>
        <w:rPr>
          <w:rFonts w:ascii="Arial" w:hAnsi="Arial" w:cs="Arial"/>
          <w:color w:val="383838"/>
          <w:sz w:val="20"/>
          <w:szCs w:val="20"/>
        </w:rPr>
        <w:t>comm</w:t>
      </w:r>
      <w:r w:rsidRPr="006E69AF">
        <w:rPr>
          <w:rFonts w:ascii="Arial" w:hAnsi="Arial" w:cs="Arial"/>
          <w:color w:val="383838"/>
          <w:sz w:val="20"/>
          <w:szCs w:val="20"/>
        </w:rPr>
        <w:t>e objectif principal le suivi</w:t>
      </w:r>
      <w:r>
        <w:rPr>
          <w:rFonts w:ascii="Arial" w:hAnsi="Arial" w:cs="Arial"/>
          <w:color w:val="383838"/>
          <w:sz w:val="20"/>
          <w:szCs w:val="20"/>
        </w:rPr>
        <w:t xml:space="preserve"> </w:t>
      </w:r>
      <w:r w:rsidRPr="006E69AF">
        <w:rPr>
          <w:rFonts w:ascii="Arial" w:hAnsi="Arial" w:cs="Arial"/>
          <w:color w:val="383838"/>
          <w:sz w:val="20"/>
          <w:szCs w:val="20"/>
        </w:rPr>
        <w:t>des c</w:t>
      </w:r>
      <w:r>
        <w:rPr>
          <w:rFonts w:ascii="Arial" w:hAnsi="Arial" w:cs="Arial"/>
          <w:color w:val="383838"/>
          <w:sz w:val="20"/>
          <w:szCs w:val="20"/>
        </w:rPr>
        <w:t>l</w:t>
      </w:r>
      <w:r w:rsidRPr="006E69AF">
        <w:rPr>
          <w:rFonts w:ascii="Arial" w:hAnsi="Arial" w:cs="Arial"/>
          <w:color w:val="383838"/>
          <w:sz w:val="20"/>
          <w:szCs w:val="20"/>
        </w:rPr>
        <w:t xml:space="preserve">ients ayant ouvert un compte à </w:t>
      </w:r>
      <w:r>
        <w:rPr>
          <w:rFonts w:ascii="Arial" w:hAnsi="Arial" w:cs="Arial"/>
          <w:color w:val="383838"/>
          <w:sz w:val="20"/>
          <w:szCs w:val="20"/>
        </w:rPr>
        <w:t>l’a</w:t>
      </w:r>
      <w:r w:rsidRPr="006E69AF">
        <w:rPr>
          <w:rFonts w:ascii="Arial" w:hAnsi="Arial" w:cs="Arial"/>
          <w:color w:val="383838"/>
          <w:sz w:val="20"/>
          <w:szCs w:val="20"/>
        </w:rPr>
        <w:t>gence en 2008 (annexe 3),</w:t>
      </w:r>
    </w:p>
    <w:p w:rsidR="006E69AF" w:rsidRPr="006E69AF" w:rsidRDefault="006E69AF" w:rsidP="006E69AF">
      <w:pPr>
        <w:autoSpaceDE w:val="0"/>
        <w:autoSpaceDN w:val="0"/>
        <w:adjustRightInd w:val="0"/>
        <w:spacing w:after="240"/>
        <w:rPr>
          <w:rFonts w:ascii="Arial" w:hAnsi="Arial" w:cs="Arial"/>
          <w:color w:val="383838"/>
          <w:sz w:val="20"/>
          <w:szCs w:val="20"/>
        </w:rPr>
      </w:pPr>
      <w:r w:rsidRPr="006E69AF">
        <w:rPr>
          <w:rFonts w:ascii="Arial" w:hAnsi="Arial" w:cs="Arial"/>
          <w:color w:val="383838"/>
          <w:sz w:val="20"/>
          <w:szCs w:val="20"/>
        </w:rPr>
        <w:t>3.1. Citez deux raisons qui expliquent le traitement spécifique des nouveaux clients.</w:t>
      </w:r>
    </w:p>
    <w:p w:rsidR="00DC2F46" w:rsidRDefault="006E69AF" w:rsidP="006E69AF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6E69AF">
        <w:rPr>
          <w:rFonts w:ascii="Arial" w:hAnsi="Arial" w:cs="Arial"/>
          <w:color w:val="383838"/>
          <w:sz w:val="20"/>
          <w:szCs w:val="20"/>
        </w:rPr>
        <w:t xml:space="preserve">3.2. Sélectionnez, â partir de l'annexe 3 et en justifiant vos choix, </w:t>
      </w:r>
      <w:r>
        <w:rPr>
          <w:rFonts w:ascii="Arial" w:hAnsi="Arial" w:cs="Arial"/>
          <w:color w:val="383838"/>
          <w:sz w:val="20"/>
          <w:szCs w:val="20"/>
        </w:rPr>
        <w:t>trois clients</w:t>
      </w:r>
      <w:r w:rsidRPr="006E69AF">
        <w:rPr>
          <w:rFonts w:ascii="Arial" w:hAnsi="Arial" w:cs="Arial"/>
          <w:color w:val="383838"/>
          <w:sz w:val="20"/>
          <w:szCs w:val="20"/>
        </w:rPr>
        <w:t xml:space="preserve"> qui peuvent présenter un</w:t>
      </w:r>
      <w:r>
        <w:rPr>
          <w:rFonts w:ascii="Arial" w:hAnsi="Arial" w:cs="Arial"/>
          <w:color w:val="383838"/>
          <w:sz w:val="20"/>
          <w:szCs w:val="20"/>
        </w:rPr>
        <w:t xml:space="preserve"> </w:t>
      </w:r>
      <w:r w:rsidRPr="006E69AF">
        <w:rPr>
          <w:rFonts w:ascii="Arial" w:hAnsi="Arial" w:cs="Arial"/>
          <w:color w:val="383838"/>
          <w:sz w:val="20"/>
          <w:szCs w:val="20"/>
        </w:rPr>
        <w:t>risque et trois clients dont le potentiel n'est pas suf</w:t>
      </w:r>
      <w:r>
        <w:rPr>
          <w:rFonts w:ascii="Arial" w:hAnsi="Arial" w:cs="Arial"/>
          <w:color w:val="383838"/>
          <w:sz w:val="20"/>
          <w:szCs w:val="20"/>
        </w:rPr>
        <w:t>fi</w:t>
      </w:r>
      <w:r w:rsidRPr="006E69AF">
        <w:rPr>
          <w:rFonts w:ascii="Arial" w:hAnsi="Arial" w:cs="Arial"/>
          <w:color w:val="383838"/>
          <w:sz w:val="20"/>
          <w:szCs w:val="20"/>
        </w:rPr>
        <w:t>samment exp</w:t>
      </w:r>
      <w:r>
        <w:rPr>
          <w:rFonts w:ascii="Arial" w:hAnsi="Arial" w:cs="Arial"/>
          <w:color w:val="383838"/>
          <w:sz w:val="20"/>
          <w:szCs w:val="20"/>
        </w:rPr>
        <w:t>l</w:t>
      </w:r>
      <w:r w:rsidRPr="006E69AF">
        <w:rPr>
          <w:rFonts w:ascii="Arial" w:hAnsi="Arial" w:cs="Arial"/>
          <w:color w:val="383838"/>
          <w:sz w:val="20"/>
          <w:szCs w:val="20"/>
        </w:rPr>
        <w:t>oité. Proposez une solution à la situation</w:t>
      </w:r>
      <w:r>
        <w:rPr>
          <w:rFonts w:ascii="Arial" w:hAnsi="Arial" w:cs="Arial"/>
          <w:color w:val="383838"/>
          <w:sz w:val="20"/>
          <w:szCs w:val="20"/>
        </w:rPr>
        <w:t xml:space="preserve"> </w:t>
      </w:r>
      <w:r w:rsidRPr="006E69AF">
        <w:rPr>
          <w:rFonts w:ascii="Arial" w:hAnsi="Arial" w:cs="Arial"/>
          <w:color w:val="383838"/>
          <w:sz w:val="20"/>
          <w:szCs w:val="20"/>
        </w:rPr>
        <w:t xml:space="preserve">de chacun de </w:t>
      </w:r>
      <w:r>
        <w:rPr>
          <w:rFonts w:ascii="Arial" w:hAnsi="Arial" w:cs="Arial"/>
          <w:color w:val="383838"/>
          <w:sz w:val="20"/>
          <w:szCs w:val="20"/>
        </w:rPr>
        <w:t>ces</w:t>
      </w:r>
      <w:r w:rsidRPr="006E69AF">
        <w:rPr>
          <w:rFonts w:ascii="Arial" w:hAnsi="Arial" w:cs="Arial"/>
          <w:color w:val="383838"/>
          <w:sz w:val="20"/>
          <w:szCs w:val="20"/>
        </w:rPr>
        <w:t xml:space="preserve"> </w:t>
      </w:r>
      <w:r>
        <w:rPr>
          <w:rFonts w:ascii="Arial" w:hAnsi="Arial" w:cs="Arial"/>
          <w:color w:val="383838"/>
          <w:sz w:val="20"/>
          <w:szCs w:val="20"/>
        </w:rPr>
        <w:t>clients.</w:t>
      </w:r>
      <w:r w:rsidRPr="006E69AF">
        <w:rPr>
          <w:rFonts w:ascii="Arial" w:hAnsi="Arial" w:cs="Arial"/>
          <w:color w:val="383838"/>
          <w:sz w:val="20"/>
          <w:szCs w:val="20"/>
        </w:rPr>
        <w:t xml:space="preserve"> Vous présenterez votre réponse sous la forme d'un tableau.</w:t>
      </w:r>
    </w:p>
    <w:p w:rsidR="006E69AF" w:rsidRDefault="006E69AF">
      <w:pPr>
        <w:rPr>
          <w:rFonts w:ascii="Arial" w:hAnsi="Arial" w:cs="Arial"/>
          <w:b/>
          <w:color w:val="141414"/>
          <w:sz w:val="21"/>
          <w:szCs w:val="21"/>
        </w:rPr>
      </w:pPr>
      <w:r>
        <w:rPr>
          <w:rFonts w:ascii="Arial" w:hAnsi="Arial" w:cs="Arial"/>
          <w:b/>
          <w:color w:val="141414"/>
          <w:sz w:val="21"/>
          <w:szCs w:val="21"/>
        </w:rPr>
        <w:br w:type="page"/>
      </w:r>
    </w:p>
    <w:p w:rsidR="00DC2F46" w:rsidRPr="00DC2F46" w:rsidRDefault="00133FFF" w:rsidP="00DC2F46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  <w:r w:rsidRPr="00133FFF">
        <w:rPr>
          <w:rFonts w:ascii="Arial" w:hAnsi="Arial" w:cs="Arial"/>
          <w:b/>
          <w:color w:val="141414"/>
          <w:sz w:val="21"/>
          <w:szCs w:val="21"/>
        </w:rPr>
        <w:lastRenderedPageBreak/>
        <w:t>Annexe 1 : Extrait d'un discours du Directeur Opérationnel de la BPC</w:t>
      </w:r>
    </w:p>
    <w:p w:rsidR="00133FFF" w:rsidRPr="00133FFF" w:rsidRDefault="00133FFF" w:rsidP="0013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>« 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Comme </w:t>
      </w:r>
      <w:r>
        <w:rPr>
          <w:rFonts w:ascii="Arial" w:hAnsi="Arial" w:cs="Arial"/>
          <w:color w:val="141414"/>
          <w:sz w:val="21"/>
          <w:szCs w:val="21"/>
        </w:rPr>
        <w:t>vous le savez,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il est de plus en plus diffici</w:t>
      </w:r>
      <w:r>
        <w:rPr>
          <w:rFonts w:ascii="Arial" w:hAnsi="Arial" w:cs="Arial"/>
          <w:color w:val="141414"/>
          <w:sz w:val="21"/>
          <w:szCs w:val="21"/>
        </w:rPr>
        <w:t>l</w:t>
      </w:r>
      <w:r w:rsidRPr="00133FFF">
        <w:rPr>
          <w:rFonts w:ascii="Arial" w:hAnsi="Arial" w:cs="Arial"/>
          <w:color w:val="141414"/>
          <w:sz w:val="21"/>
          <w:szCs w:val="21"/>
        </w:rPr>
        <w:t>e de conquérir</w:t>
      </w:r>
      <w:r>
        <w:rPr>
          <w:rFonts w:ascii="Arial" w:hAnsi="Arial" w:cs="Arial"/>
          <w:color w:val="141414"/>
          <w:sz w:val="21"/>
          <w:szCs w:val="21"/>
        </w:rPr>
        <w:t>,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fidéliser et dé</w:t>
      </w:r>
      <w:r>
        <w:rPr>
          <w:rFonts w:ascii="Arial" w:hAnsi="Arial" w:cs="Arial"/>
          <w:color w:val="141414"/>
          <w:sz w:val="21"/>
          <w:szCs w:val="21"/>
        </w:rPr>
        <w:t>v</w:t>
      </w:r>
      <w:r w:rsidRPr="00133FFF">
        <w:rPr>
          <w:rFonts w:ascii="Arial" w:hAnsi="Arial" w:cs="Arial"/>
          <w:color w:val="141414"/>
          <w:sz w:val="21"/>
          <w:szCs w:val="21"/>
        </w:rPr>
        <w:t>elopper les contacts avec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33FFF">
        <w:rPr>
          <w:rFonts w:ascii="Arial" w:hAnsi="Arial" w:cs="Arial"/>
          <w:color w:val="141414"/>
          <w:sz w:val="21"/>
          <w:szCs w:val="21"/>
        </w:rPr>
        <w:t>la clientèle. C'est pourquo</w:t>
      </w:r>
      <w:r>
        <w:rPr>
          <w:rFonts w:ascii="Arial" w:hAnsi="Arial" w:cs="Arial"/>
          <w:color w:val="141414"/>
          <w:sz w:val="21"/>
          <w:szCs w:val="21"/>
        </w:rPr>
        <w:t>i nous avons décidé d'accentuer nos effort</w:t>
      </w:r>
      <w:r w:rsidRPr="00133FFF">
        <w:rPr>
          <w:rFonts w:ascii="Arial" w:hAnsi="Arial" w:cs="Arial"/>
          <w:color w:val="141414"/>
          <w:sz w:val="21"/>
          <w:szCs w:val="21"/>
        </w:rPr>
        <w:t>s da</w:t>
      </w:r>
      <w:r>
        <w:rPr>
          <w:rFonts w:ascii="Arial" w:hAnsi="Arial" w:cs="Arial"/>
          <w:color w:val="141414"/>
          <w:sz w:val="21"/>
          <w:szCs w:val="21"/>
        </w:rPr>
        <w:t>ns l'amélioration de nos relatio</w:t>
      </w:r>
      <w:r w:rsidRPr="00133FFF">
        <w:rPr>
          <w:rFonts w:ascii="Arial" w:hAnsi="Arial" w:cs="Arial"/>
          <w:color w:val="141414"/>
          <w:sz w:val="21"/>
          <w:szCs w:val="21"/>
        </w:rPr>
        <w:t>ns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33FFF">
        <w:rPr>
          <w:rFonts w:ascii="Arial" w:hAnsi="Arial" w:cs="Arial"/>
          <w:color w:val="141414"/>
          <w:sz w:val="21"/>
          <w:szCs w:val="21"/>
        </w:rPr>
        <w:t>avec nos clients.</w:t>
      </w:r>
    </w:p>
    <w:p w:rsidR="00133FFF" w:rsidRPr="00133FFF" w:rsidRDefault="00133FFF" w:rsidP="0013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133FFF">
        <w:rPr>
          <w:rFonts w:ascii="Arial" w:hAnsi="Arial" w:cs="Arial"/>
          <w:color w:val="141414"/>
          <w:sz w:val="21"/>
          <w:szCs w:val="21"/>
        </w:rPr>
        <w:t>La mise en p</w:t>
      </w:r>
      <w:r>
        <w:rPr>
          <w:rFonts w:ascii="Arial" w:hAnsi="Arial" w:cs="Arial"/>
          <w:color w:val="141414"/>
          <w:sz w:val="21"/>
          <w:szCs w:val="21"/>
        </w:rPr>
        <w:t>lace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d</w:t>
      </w:r>
      <w:r>
        <w:rPr>
          <w:rFonts w:ascii="Arial" w:hAnsi="Arial" w:cs="Arial"/>
          <w:color w:val="141414"/>
          <w:sz w:val="21"/>
          <w:szCs w:val="21"/>
        </w:rPr>
        <w:t>’une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d</w:t>
      </w:r>
      <w:r>
        <w:rPr>
          <w:rFonts w:ascii="Arial" w:hAnsi="Arial" w:cs="Arial"/>
          <w:color w:val="141414"/>
          <w:sz w:val="21"/>
          <w:szCs w:val="21"/>
        </w:rPr>
        <w:t>émarche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de Gestion de la Relation Client au sein de notre établissement a été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33FFF">
        <w:rPr>
          <w:rFonts w:ascii="Arial" w:hAnsi="Arial" w:cs="Arial"/>
          <w:color w:val="141414"/>
          <w:sz w:val="21"/>
          <w:szCs w:val="21"/>
        </w:rPr>
        <w:t>conditionnée par de nombreux facte</w:t>
      </w:r>
      <w:r w:rsidR="00F25FBD">
        <w:rPr>
          <w:rFonts w:ascii="Arial" w:hAnsi="Arial" w:cs="Arial"/>
          <w:color w:val="141414"/>
          <w:sz w:val="21"/>
          <w:szCs w:val="21"/>
        </w:rPr>
        <w:t>u</w:t>
      </w:r>
      <w:r w:rsidRPr="00133FFF">
        <w:rPr>
          <w:rFonts w:ascii="Arial" w:hAnsi="Arial" w:cs="Arial"/>
          <w:color w:val="141414"/>
          <w:sz w:val="21"/>
          <w:szCs w:val="21"/>
        </w:rPr>
        <w:t>rs internes et externes. En effet</w:t>
      </w:r>
      <w:r w:rsidR="00F25FBD">
        <w:rPr>
          <w:rFonts w:ascii="Arial" w:hAnsi="Arial" w:cs="Arial"/>
          <w:color w:val="141414"/>
          <w:sz w:val="21"/>
          <w:szCs w:val="21"/>
        </w:rPr>
        <w:t>,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nous </w:t>
      </w:r>
      <w:r w:rsidR="00F25FBD">
        <w:rPr>
          <w:rFonts w:ascii="Arial" w:hAnsi="Arial" w:cs="Arial"/>
          <w:color w:val="141414"/>
          <w:sz w:val="21"/>
          <w:szCs w:val="21"/>
        </w:rPr>
        <w:t xml:space="preserve"> d</w:t>
      </w:r>
      <w:r w:rsidRPr="00133FFF">
        <w:rPr>
          <w:rFonts w:ascii="Arial" w:hAnsi="Arial" w:cs="Arial"/>
          <w:color w:val="141414"/>
          <w:sz w:val="21"/>
          <w:szCs w:val="21"/>
        </w:rPr>
        <w:t>evo</w:t>
      </w:r>
      <w:r w:rsidR="00F25FBD">
        <w:rPr>
          <w:rFonts w:ascii="Arial" w:hAnsi="Arial" w:cs="Arial"/>
          <w:color w:val="141414"/>
          <w:sz w:val="21"/>
          <w:szCs w:val="21"/>
        </w:rPr>
        <w:t>ns faire face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aux nouvelles</w:t>
      </w:r>
      <w:r w:rsidR="00F25FBD">
        <w:rPr>
          <w:rFonts w:ascii="Arial" w:hAnsi="Arial" w:cs="Arial"/>
          <w:color w:val="141414"/>
          <w:sz w:val="21"/>
          <w:szCs w:val="21"/>
        </w:rPr>
        <w:t xml:space="preserve"> </w:t>
      </w:r>
      <w:r w:rsidRPr="00133FFF">
        <w:rPr>
          <w:rFonts w:ascii="Arial" w:hAnsi="Arial" w:cs="Arial"/>
          <w:color w:val="141414"/>
          <w:sz w:val="21"/>
          <w:szCs w:val="21"/>
        </w:rPr>
        <w:t>as</w:t>
      </w:r>
      <w:r w:rsidR="00F25FBD">
        <w:rPr>
          <w:rFonts w:ascii="Arial" w:hAnsi="Arial" w:cs="Arial"/>
          <w:color w:val="141414"/>
          <w:sz w:val="21"/>
          <w:szCs w:val="21"/>
        </w:rPr>
        <w:t>pi</w:t>
      </w:r>
      <w:r w:rsidRPr="00133FFF">
        <w:rPr>
          <w:rFonts w:ascii="Arial" w:hAnsi="Arial" w:cs="Arial"/>
          <w:color w:val="141414"/>
          <w:sz w:val="21"/>
          <w:szCs w:val="21"/>
        </w:rPr>
        <w:t>ra</w:t>
      </w:r>
      <w:r w:rsidR="00F25FBD">
        <w:rPr>
          <w:rFonts w:ascii="Arial" w:hAnsi="Arial" w:cs="Arial"/>
          <w:color w:val="141414"/>
          <w:sz w:val="21"/>
          <w:szCs w:val="21"/>
        </w:rPr>
        <w:t>ti</w:t>
      </w:r>
      <w:r w:rsidRPr="00133FFF">
        <w:rPr>
          <w:rFonts w:ascii="Arial" w:hAnsi="Arial" w:cs="Arial"/>
          <w:color w:val="141414"/>
          <w:sz w:val="21"/>
          <w:szCs w:val="21"/>
        </w:rPr>
        <w:t>ons des co</w:t>
      </w:r>
      <w:r w:rsidR="00F25FBD">
        <w:rPr>
          <w:rFonts w:ascii="Arial" w:hAnsi="Arial" w:cs="Arial"/>
          <w:color w:val="141414"/>
          <w:sz w:val="21"/>
          <w:szCs w:val="21"/>
        </w:rPr>
        <w:t>nsommateurs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d</w:t>
      </w:r>
      <w:r w:rsidR="00F25FBD">
        <w:rPr>
          <w:rFonts w:ascii="Arial" w:hAnsi="Arial" w:cs="Arial"/>
          <w:color w:val="141414"/>
          <w:sz w:val="21"/>
          <w:szCs w:val="21"/>
        </w:rPr>
        <w:t>ev</w:t>
      </w:r>
      <w:r w:rsidRPr="00133FFF">
        <w:rPr>
          <w:rFonts w:ascii="Arial" w:hAnsi="Arial" w:cs="Arial"/>
          <w:color w:val="141414"/>
          <w:sz w:val="21"/>
          <w:szCs w:val="21"/>
        </w:rPr>
        <w:t>enus plus e</w:t>
      </w:r>
      <w:r w:rsidR="00F25FBD">
        <w:rPr>
          <w:rFonts w:ascii="Arial" w:hAnsi="Arial" w:cs="Arial"/>
          <w:color w:val="141414"/>
          <w:sz w:val="21"/>
          <w:szCs w:val="21"/>
        </w:rPr>
        <w:t>xige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ants et au </w:t>
      </w:r>
      <w:r w:rsidR="00F25FBD">
        <w:rPr>
          <w:rFonts w:ascii="Arial" w:hAnsi="Arial" w:cs="Arial"/>
          <w:color w:val="141414"/>
          <w:sz w:val="21"/>
          <w:szCs w:val="21"/>
        </w:rPr>
        <w:t>j</w:t>
      </w:r>
      <w:r w:rsidRPr="00133FFF">
        <w:rPr>
          <w:rFonts w:ascii="Arial" w:hAnsi="Arial" w:cs="Arial"/>
          <w:color w:val="141414"/>
          <w:sz w:val="21"/>
          <w:szCs w:val="21"/>
        </w:rPr>
        <w:t>eu concurrentiel intense du secteur bancaire.</w:t>
      </w:r>
    </w:p>
    <w:p w:rsidR="00133FFF" w:rsidRPr="00133FFF" w:rsidRDefault="00F25FBD" w:rsidP="0013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>[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...</w:t>
      </w:r>
      <w:r>
        <w:rPr>
          <w:rFonts w:ascii="Arial" w:hAnsi="Arial" w:cs="Arial"/>
          <w:color w:val="141414"/>
          <w:sz w:val="21"/>
          <w:szCs w:val="21"/>
        </w:rPr>
        <w:t>]</w:t>
      </w:r>
    </w:p>
    <w:p w:rsidR="00133FFF" w:rsidRPr="00133FFF" w:rsidRDefault="00133FFF" w:rsidP="0013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133FFF">
        <w:rPr>
          <w:rFonts w:ascii="Arial" w:hAnsi="Arial" w:cs="Arial"/>
          <w:color w:val="141414"/>
          <w:sz w:val="21"/>
          <w:szCs w:val="21"/>
        </w:rPr>
        <w:t>Cela s'est traduit, entre autres, par l'approch</w:t>
      </w:r>
      <w:r w:rsidR="00F25FBD">
        <w:rPr>
          <w:rFonts w:ascii="Arial" w:hAnsi="Arial" w:cs="Arial"/>
          <w:color w:val="141414"/>
          <w:sz w:val="21"/>
          <w:szCs w:val="21"/>
        </w:rPr>
        <w:t>e mul</w:t>
      </w:r>
      <w:r w:rsidR="00F25FBD" w:rsidRPr="00133FFF">
        <w:rPr>
          <w:rFonts w:ascii="Arial" w:hAnsi="Arial" w:cs="Arial"/>
          <w:color w:val="141414"/>
          <w:sz w:val="21"/>
          <w:szCs w:val="21"/>
        </w:rPr>
        <w:t>t</w:t>
      </w:r>
      <w:r w:rsidR="00F25FBD">
        <w:rPr>
          <w:rFonts w:ascii="Arial" w:hAnsi="Arial" w:cs="Arial"/>
          <w:color w:val="141414"/>
          <w:sz w:val="21"/>
          <w:szCs w:val="21"/>
        </w:rPr>
        <w:t xml:space="preserve">icanal </w:t>
      </w:r>
      <w:r w:rsidRPr="00133FFF">
        <w:rPr>
          <w:rFonts w:ascii="Arial" w:hAnsi="Arial" w:cs="Arial"/>
          <w:color w:val="141414"/>
          <w:sz w:val="21"/>
          <w:szCs w:val="21"/>
        </w:rPr>
        <w:t>du réseau de distribution et la mise en pla</w:t>
      </w:r>
      <w:r w:rsidR="00F25FBD">
        <w:rPr>
          <w:rFonts w:ascii="Arial" w:hAnsi="Arial" w:cs="Arial"/>
          <w:color w:val="141414"/>
          <w:sz w:val="21"/>
          <w:szCs w:val="21"/>
        </w:rPr>
        <w:t>c</w:t>
      </w:r>
      <w:r w:rsidRPr="00133FFF">
        <w:rPr>
          <w:rFonts w:ascii="Arial" w:hAnsi="Arial" w:cs="Arial"/>
          <w:color w:val="141414"/>
          <w:sz w:val="21"/>
          <w:szCs w:val="21"/>
        </w:rPr>
        <w:t>e de la</w:t>
      </w:r>
      <w:r w:rsidR="00F25FBD">
        <w:rPr>
          <w:rFonts w:ascii="Arial" w:hAnsi="Arial" w:cs="Arial"/>
          <w:color w:val="141414"/>
          <w:sz w:val="21"/>
          <w:szCs w:val="21"/>
        </w:rPr>
        <w:t xml:space="preserve"> </w:t>
      </w:r>
      <w:r w:rsidRPr="00133FFF">
        <w:rPr>
          <w:rFonts w:ascii="Arial" w:hAnsi="Arial" w:cs="Arial"/>
          <w:color w:val="141414"/>
          <w:sz w:val="21"/>
          <w:szCs w:val="21"/>
        </w:rPr>
        <w:t>G</w:t>
      </w:r>
      <w:r w:rsidR="00F25FBD">
        <w:rPr>
          <w:rFonts w:ascii="Arial" w:hAnsi="Arial" w:cs="Arial"/>
          <w:color w:val="141414"/>
          <w:sz w:val="21"/>
          <w:szCs w:val="21"/>
        </w:rPr>
        <w:t>e</w:t>
      </w:r>
      <w:r w:rsidRPr="00133FFF">
        <w:rPr>
          <w:rFonts w:ascii="Arial" w:hAnsi="Arial" w:cs="Arial"/>
          <w:color w:val="141414"/>
          <w:sz w:val="21"/>
          <w:szCs w:val="21"/>
        </w:rPr>
        <w:t>stion Evénementielle de la Relation Client.</w:t>
      </w:r>
    </w:p>
    <w:p w:rsidR="00133FFF" w:rsidRPr="00133FFF" w:rsidRDefault="00133FFF" w:rsidP="0013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133FFF">
        <w:rPr>
          <w:rFonts w:ascii="Arial" w:hAnsi="Arial" w:cs="Arial"/>
          <w:color w:val="141414"/>
          <w:sz w:val="21"/>
          <w:szCs w:val="21"/>
        </w:rPr>
        <w:t xml:space="preserve">Plus qu'un projet se limitant à une mobilisation </w:t>
      </w:r>
      <w:r w:rsidR="00F25FBD">
        <w:rPr>
          <w:rFonts w:ascii="Arial" w:hAnsi="Arial" w:cs="Arial"/>
          <w:color w:val="141414"/>
          <w:sz w:val="21"/>
          <w:szCs w:val="21"/>
        </w:rPr>
        <w:t xml:space="preserve">à </w:t>
      </w:r>
      <w:r w:rsidRPr="00133FFF">
        <w:rPr>
          <w:rFonts w:ascii="Arial" w:hAnsi="Arial" w:cs="Arial"/>
          <w:color w:val="141414"/>
          <w:sz w:val="21"/>
          <w:szCs w:val="21"/>
        </w:rPr>
        <w:t>court t</w:t>
      </w:r>
      <w:r w:rsidR="00F25FBD">
        <w:rPr>
          <w:rFonts w:ascii="Arial" w:hAnsi="Arial" w:cs="Arial"/>
          <w:color w:val="141414"/>
          <w:sz w:val="21"/>
          <w:szCs w:val="21"/>
        </w:rPr>
        <w:t>er</w:t>
      </w:r>
      <w:r w:rsidRPr="00133FFF">
        <w:rPr>
          <w:rFonts w:ascii="Arial" w:hAnsi="Arial" w:cs="Arial"/>
          <w:color w:val="141414"/>
          <w:sz w:val="21"/>
          <w:szCs w:val="21"/>
        </w:rPr>
        <w:t>me, la G</w:t>
      </w:r>
      <w:r w:rsidR="00F25FBD">
        <w:rPr>
          <w:rFonts w:ascii="Arial" w:hAnsi="Arial" w:cs="Arial"/>
          <w:color w:val="141414"/>
          <w:sz w:val="21"/>
          <w:szCs w:val="21"/>
        </w:rPr>
        <w:t>es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tion de </w:t>
      </w:r>
      <w:r w:rsidR="00F25FBD">
        <w:rPr>
          <w:rFonts w:ascii="Arial" w:hAnsi="Arial" w:cs="Arial"/>
          <w:color w:val="141414"/>
          <w:sz w:val="21"/>
          <w:szCs w:val="21"/>
        </w:rPr>
        <w:t>la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Relation Client est une</w:t>
      </w:r>
      <w:r w:rsidR="00F25FBD">
        <w:rPr>
          <w:rFonts w:ascii="Arial" w:hAnsi="Arial" w:cs="Arial"/>
          <w:color w:val="141414"/>
          <w:sz w:val="21"/>
          <w:szCs w:val="21"/>
        </w:rPr>
        <w:t xml:space="preserve"> </w:t>
      </w:r>
      <w:r w:rsidRPr="00133FFF">
        <w:rPr>
          <w:rFonts w:ascii="Arial" w:hAnsi="Arial" w:cs="Arial"/>
          <w:color w:val="141414"/>
          <w:sz w:val="21"/>
          <w:szCs w:val="21"/>
        </w:rPr>
        <w:t>st</w:t>
      </w:r>
      <w:r w:rsidR="00F25FBD">
        <w:rPr>
          <w:rFonts w:ascii="Arial" w:hAnsi="Arial" w:cs="Arial"/>
          <w:color w:val="141414"/>
          <w:sz w:val="21"/>
          <w:szCs w:val="21"/>
        </w:rPr>
        <w:t>r</w:t>
      </w:r>
      <w:r w:rsidRPr="00133FFF">
        <w:rPr>
          <w:rFonts w:ascii="Arial" w:hAnsi="Arial" w:cs="Arial"/>
          <w:color w:val="141414"/>
          <w:sz w:val="21"/>
          <w:szCs w:val="21"/>
        </w:rPr>
        <w:t>atégi</w:t>
      </w:r>
      <w:r w:rsidR="00F25FBD">
        <w:rPr>
          <w:rFonts w:ascii="Arial" w:hAnsi="Arial" w:cs="Arial"/>
          <w:color w:val="141414"/>
          <w:sz w:val="21"/>
          <w:szCs w:val="21"/>
        </w:rPr>
        <w:t>e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qu'il est obligatoire d'abo</w:t>
      </w:r>
      <w:r w:rsidR="00F25FBD">
        <w:rPr>
          <w:rFonts w:ascii="Arial" w:hAnsi="Arial" w:cs="Arial"/>
          <w:color w:val="141414"/>
          <w:sz w:val="21"/>
          <w:szCs w:val="21"/>
        </w:rPr>
        <w:t>r</w:t>
      </w:r>
      <w:r w:rsidRPr="00133FFF">
        <w:rPr>
          <w:rFonts w:ascii="Arial" w:hAnsi="Arial" w:cs="Arial"/>
          <w:color w:val="141414"/>
          <w:sz w:val="21"/>
          <w:szCs w:val="21"/>
        </w:rPr>
        <w:t>der par étape. Les enjeux doivent être clairement identifiés. ( ... )</w:t>
      </w:r>
    </w:p>
    <w:p w:rsidR="00133FFF" w:rsidRPr="00133FFF" w:rsidRDefault="00F25FBD" w:rsidP="0013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>
        <w:rPr>
          <w:rFonts w:ascii="Arial" w:hAnsi="Arial" w:cs="Arial"/>
          <w:color w:val="141414"/>
          <w:sz w:val="21"/>
          <w:szCs w:val="21"/>
        </w:rPr>
        <w:t>Les st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ratégies orientées c</w:t>
      </w:r>
      <w:r>
        <w:rPr>
          <w:rFonts w:ascii="Arial" w:hAnsi="Arial" w:cs="Arial"/>
          <w:color w:val="141414"/>
          <w:sz w:val="21"/>
          <w:szCs w:val="21"/>
        </w:rPr>
        <w:t>l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ients constituent un </w:t>
      </w:r>
      <w:r>
        <w:rPr>
          <w:rFonts w:ascii="Arial" w:hAnsi="Arial" w:cs="Arial"/>
          <w:color w:val="141414"/>
          <w:sz w:val="21"/>
          <w:szCs w:val="21"/>
        </w:rPr>
        <w:t>l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evier qui </w:t>
      </w:r>
      <w:r>
        <w:rPr>
          <w:rFonts w:ascii="Arial" w:hAnsi="Arial" w:cs="Arial"/>
          <w:color w:val="141414"/>
          <w:sz w:val="21"/>
          <w:szCs w:val="21"/>
        </w:rPr>
        <w:t>doit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 être accompagné </w:t>
      </w:r>
      <w:r>
        <w:rPr>
          <w:rFonts w:ascii="Arial" w:hAnsi="Arial" w:cs="Arial"/>
          <w:color w:val="141414"/>
          <w:sz w:val="21"/>
          <w:szCs w:val="21"/>
        </w:rPr>
        <w:t>d’une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 refonte</w:t>
      </w:r>
      <w:r>
        <w:rPr>
          <w:rFonts w:ascii="Arial" w:hAnsi="Arial" w:cs="Arial"/>
          <w:color w:val="141414"/>
          <w:sz w:val="21"/>
          <w:szCs w:val="21"/>
        </w:rPr>
        <w:t xml:space="preserve"> organisationnelle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. El</w:t>
      </w:r>
      <w:r>
        <w:rPr>
          <w:rFonts w:ascii="Arial" w:hAnsi="Arial" w:cs="Arial"/>
          <w:color w:val="141414"/>
          <w:sz w:val="21"/>
          <w:szCs w:val="21"/>
        </w:rPr>
        <w:t>le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s </w:t>
      </w:r>
      <w:r>
        <w:rPr>
          <w:rFonts w:ascii="Arial" w:hAnsi="Arial" w:cs="Arial"/>
          <w:color w:val="141414"/>
          <w:sz w:val="21"/>
          <w:szCs w:val="21"/>
        </w:rPr>
        <w:t>i</w:t>
      </w:r>
      <w:r w:rsidRPr="00133FFF">
        <w:rPr>
          <w:rFonts w:ascii="Arial" w:hAnsi="Arial" w:cs="Arial"/>
          <w:color w:val="141414"/>
          <w:sz w:val="21"/>
          <w:szCs w:val="21"/>
        </w:rPr>
        <w:t>mpactent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 les services des banques et </w:t>
      </w:r>
      <w:r>
        <w:rPr>
          <w:rFonts w:ascii="Arial" w:hAnsi="Arial" w:cs="Arial"/>
          <w:color w:val="141414"/>
          <w:sz w:val="21"/>
          <w:szCs w:val="21"/>
        </w:rPr>
        <w:t>l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eurs méthodes de travail. Ma</w:t>
      </w:r>
      <w:r>
        <w:rPr>
          <w:rFonts w:ascii="Arial" w:hAnsi="Arial" w:cs="Arial"/>
          <w:color w:val="141414"/>
          <w:sz w:val="21"/>
          <w:szCs w:val="21"/>
        </w:rPr>
        <w:t>rket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ing,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distribution, management des ressources humaines, informatique ... sont autant de services </w:t>
      </w:r>
      <w:r>
        <w:rPr>
          <w:rFonts w:ascii="Arial" w:hAnsi="Arial" w:cs="Arial"/>
          <w:color w:val="141414"/>
          <w:sz w:val="21"/>
          <w:szCs w:val="21"/>
        </w:rPr>
        <w:t>q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ui vont être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m</w:t>
      </w:r>
      <w:r>
        <w:rPr>
          <w:rFonts w:ascii="Arial" w:hAnsi="Arial" w:cs="Arial"/>
          <w:color w:val="141414"/>
          <w:sz w:val="21"/>
          <w:szCs w:val="21"/>
        </w:rPr>
        <w:t>odifié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s pour mettre en place ces stratégies orientées clients. Nous pouvons même all</w:t>
      </w:r>
      <w:r>
        <w:rPr>
          <w:rFonts w:ascii="Arial" w:hAnsi="Arial" w:cs="Arial"/>
          <w:color w:val="141414"/>
          <w:sz w:val="21"/>
          <w:szCs w:val="21"/>
        </w:rPr>
        <w:t>e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r plus l</w:t>
      </w:r>
      <w:r>
        <w:rPr>
          <w:rFonts w:ascii="Arial" w:hAnsi="Arial" w:cs="Arial"/>
          <w:color w:val="141414"/>
          <w:sz w:val="21"/>
          <w:szCs w:val="21"/>
        </w:rPr>
        <w:t>o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in puisqu'il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s'agit véritablement d'une évolution des </w:t>
      </w:r>
      <w:r w:rsidRPr="00133FFF">
        <w:rPr>
          <w:rFonts w:ascii="Arial" w:hAnsi="Arial" w:cs="Arial"/>
          <w:color w:val="141414"/>
          <w:sz w:val="21"/>
          <w:szCs w:val="21"/>
        </w:rPr>
        <w:t>mentalités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 du personnel : ne plus penser </w:t>
      </w:r>
      <w:r>
        <w:rPr>
          <w:rFonts w:ascii="Arial" w:hAnsi="Arial" w:cs="Arial"/>
          <w:color w:val="141414"/>
          <w:sz w:val="21"/>
          <w:szCs w:val="21"/>
        </w:rPr>
        <w:t>« 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produit</w:t>
      </w:r>
      <w:r>
        <w:rPr>
          <w:rFonts w:ascii="Arial" w:hAnsi="Arial" w:cs="Arial"/>
          <w:color w:val="141414"/>
          <w:sz w:val="21"/>
          <w:szCs w:val="21"/>
        </w:rPr>
        <w:t> »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 xml:space="preserve"> mais </w:t>
      </w:r>
      <w:r>
        <w:rPr>
          <w:rFonts w:ascii="Arial" w:hAnsi="Arial" w:cs="Arial"/>
          <w:color w:val="141414"/>
          <w:sz w:val="21"/>
          <w:szCs w:val="21"/>
        </w:rPr>
        <w:t>« </w:t>
      </w:r>
      <w:r w:rsidR="00133FFF" w:rsidRPr="00133FFF">
        <w:rPr>
          <w:rFonts w:ascii="Arial" w:hAnsi="Arial" w:cs="Arial"/>
          <w:color w:val="141414"/>
          <w:sz w:val="21"/>
          <w:szCs w:val="21"/>
        </w:rPr>
        <w:t>client</w:t>
      </w:r>
      <w:r>
        <w:rPr>
          <w:rFonts w:ascii="Arial" w:hAnsi="Arial" w:cs="Arial"/>
          <w:color w:val="141414"/>
          <w:sz w:val="21"/>
          <w:szCs w:val="21"/>
        </w:rPr>
        <w:t> ».</w:t>
      </w:r>
    </w:p>
    <w:p w:rsidR="00133FFF" w:rsidRPr="00133FFF" w:rsidRDefault="00133FFF" w:rsidP="0013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133FFF">
        <w:rPr>
          <w:rFonts w:ascii="Arial" w:hAnsi="Arial" w:cs="Arial"/>
          <w:color w:val="141414"/>
          <w:sz w:val="21"/>
          <w:szCs w:val="21"/>
        </w:rPr>
        <w:t>La force de vente des établissements banca</w:t>
      </w:r>
      <w:r w:rsidR="00F25FBD">
        <w:rPr>
          <w:rFonts w:ascii="Arial" w:hAnsi="Arial" w:cs="Arial"/>
          <w:color w:val="141414"/>
          <w:sz w:val="21"/>
          <w:szCs w:val="21"/>
        </w:rPr>
        <w:t>i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res est la plus </w:t>
      </w:r>
      <w:r w:rsidR="00F25FBD">
        <w:rPr>
          <w:rFonts w:ascii="Arial" w:hAnsi="Arial" w:cs="Arial"/>
          <w:color w:val="141414"/>
          <w:sz w:val="21"/>
          <w:szCs w:val="21"/>
        </w:rPr>
        <w:t>c</w:t>
      </w:r>
      <w:r w:rsidRPr="00133FFF">
        <w:rPr>
          <w:rFonts w:ascii="Arial" w:hAnsi="Arial" w:cs="Arial"/>
          <w:color w:val="141414"/>
          <w:sz w:val="21"/>
          <w:szCs w:val="21"/>
        </w:rPr>
        <w:t>once</w:t>
      </w:r>
      <w:r w:rsidR="00F25FBD">
        <w:rPr>
          <w:rFonts w:ascii="Arial" w:hAnsi="Arial" w:cs="Arial"/>
          <w:color w:val="141414"/>
          <w:sz w:val="21"/>
          <w:szCs w:val="21"/>
        </w:rPr>
        <w:t>rn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ée, tout le problème réside </w:t>
      </w:r>
      <w:r w:rsidR="00F25FBD">
        <w:rPr>
          <w:rFonts w:ascii="Arial" w:hAnsi="Arial" w:cs="Arial"/>
          <w:color w:val="141414"/>
          <w:sz w:val="21"/>
          <w:szCs w:val="21"/>
        </w:rPr>
        <w:t>à f</w:t>
      </w:r>
      <w:r w:rsidRPr="00133FFF">
        <w:rPr>
          <w:rFonts w:ascii="Arial" w:hAnsi="Arial" w:cs="Arial"/>
          <w:color w:val="141414"/>
          <w:sz w:val="21"/>
          <w:szCs w:val="21"/>
        </w:rPr>
        <w:t>aire</w:t>
      </w:r>
      <w:r w:rsidR="00F25FBD">
        <w:rPr>
          <w:rFonts w:ascii="Arial" w:hAnsi="Arial" w:cs="Arial"/>
          <w:color w:val="141414"/>
          <w:sz w:val="21"/>
          <w:szCs w:val="21"/>
        </w:rPr>
        <w:t xml:space="preserve"> c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omprendre et accepter </w:t>
      </w:r>
      <w:r w:rsidR="00F25FBD">
        <w:rPr>
          <w:rFonts w:ascii="Arial" w:hAnsi="Arial" w:cs="Arial"/>
          <w:color w:val="141414"/>
          <w:sz w:val="21"/>
          <w:szCs w:val="21"/>
        </w:rPr>
        <w:t>c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ette nouvelle orientation </w:t>
      </w:r>
      <w:r w:rsidR="00F25FBD">
        <w:rPr>
          <w:rFonts w:ascii="Arial" w:hAnsi="Arial" w:cs="Arial"/>
          <w:color w:val="141414"/>
          <w:sz w:val="21"/>
          <w:szCs w:val="21"/>
        </w:rPr>
        <w:t>à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</w:t>
      </w:r>
      <w:r w:rsidR="00F25FBD">
        <w:rPr>
          <w:rFonts w:ascii="Arial" w:hAnsi="Arial" w:cs="Arial"/>
          <w:color w:val="141414"/>
          <w:sz w:val="21"/>
          <w:szCs w:val="21"/>
        </w:rPr>
        <w:t>l’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ensemble des salariés. </w:t>
      </w:r>
      <w:r w:rsidR="00F25FBD">
        <w:rPr>
          <w:rFonts w:ascii="Arial" w:hAnsi="Arial" w:cs="Arial"/>
          <w:color w:val="141414"/>
          <w:sz w:val="21"/>
          <w:szCs w:val="21"/>
        </w:rPr>
        <w:t>[</w:t>
      </w:r>
      <w:r w:rsidR="00F25FBD" w:rsidRPr="00133FFF">
        <w:rPr>
          <w:rFonts w:ascii="Arial" w:hAnsi="Arial" w:cs="Arial"/>
          <w:color w:val="141414"/>
          <w:sz w:val="21"/>
          <w:szCs w:val="21"/>
        </w:rPr>
        <w:t>...</w:t>
      </w:r>
      <w:r w:rsidR="00F25FBD">
        <w:rPr>
          <w:rFonts w:ascii="Arial" w:hAnsi="Arial" w:cs="Arial"/>
          <w:color w:val="141414"/>
          <w:sz w:val="21"/>
          <w:szCs w:val="21"/>
        </w:rPr>
        <w:t>]</w:t>
      </w:r>
    </w:p>
    <w:p w:rsidR="00DC2F46" w:rsidRDefault="00133FFF" w:rsidP="00133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133FFF">
        <w:rPr>
          <w:rFonts w:ascii="Arial" w:hAnsi="Arial" w:cs="Arial"/>
          <w:color w:val="141414"/>
          <w:sz w:val="21"/>
          <w:szCs w:val="21"/>
        </w:rPr>
        <w:t xml:space="preserve">C'est pourquoi </w:t>
      </w:r>
      <w:r w:rsidR="00F25FBD">
        <w:rPr>
          <w:rFonts w:ascii="Arial" w:hAnsi="Arial" w:cs="Arial"/>
          <w:color w:val="141414"/>
          <w:sz w:val="21"/>
          <w:szCs w:val="21"/>
        </w:rPr>
        <w:t>je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 vous demande de vei</w:t>
      </w:r>
      <w:r w:rsidR="00F25FBD">
        <w:rPr>
          <w:rFonts w:ascii="Arial" w:hAnsi="Arial" w:cs="Arial"/>
          <w:color w:val="141414"/>
          <w:sz w:val="21"/>
          <w:szCs w:val="21"/>
        </w:rPr>
        <w:t>ll</w:t>
      </w:r>
      <w:r w:rsidRPr="00133FFF">
        <w:rPr>
          <w:rFonts w:ascii="Arial" w:hAnsi="Arial" w:cs="Arial"/>
          <w:color w:val="141414"/>
          <w:sz w:val="21"/>
          <w:szCs w:val="21"/>
        </w:rPr>
        <w:t xml:space="preserve">er â l'implication de tous dans la </w:t>
      </w:r>
      <w:r w:rsidR="00F25FBD">
        <w:rPr>
          <w:rFonts w:ascii="Arial" w:hAnsi="Arial" w:cs="Arial"/>
          <w:color w:val="141414"/>
          <w:sz w:val="21"/>
          <w:szCs w:val="21"/>
        </w:rPr>
        <w:t>stratégie que nous avons choisie.</w:t>
      </w:r>
    </w:p>
    <w:p w:rsidR="00DC2F46" w:rsidRDefault="00DC2F46" w:rsidP="00DC2F46"/>
    <w:p w:rsidR="00DC2F46" w:rsidRPr="00F25FBD" w:rsidRDefault="00F25FBD" w:rsidP="00F25FBD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  <w:r w:rsidRPr="00F25FBD">
        <w:rPr>
          <w:rFonts w:ascii="Arial" w:hAnsi="Arial" w:cs="Arial"/>
          <w:b/>
          <w:color w:val="141414"/>
          <w:sz w:val="21"/>
          <w:szCs w:val="21"/>
        </w:rPr>
        <w:t>Annexe 2. L'analyse de l'activlt6</w:t>
      </w:r>
    </w:p>
    <w:p w:rsidR="00DC2F46" w:rsidRDefault="00F25FBD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F25FBD">
        <w:rPr>
          <w:rFonts w:ascii="Arial" w:hAnsi="Arial" w:cs="Arial"/>
          <w:b/>
          <w:color w:val="141414"/>
          <w:sz w:val="21"/>
          <w:szCs w:val="21"/>
        </w:rPr>
        <w:t>Tableau d</w:t>
      </w:r>
      <w:r>
        <w:rPr>
          <w:rFonts w:ascii="Arial" w:hAnsi="Arial" w:cs="Arial"/>
          <w:b/>
          <w:color w:val="141414"/>
          <w:sz w:val="21"/>
          <w:szCs w:val="21"/>
        </w:rPr>
        <w:t>e</w:t>
      </w:r>
      <w:r w:rsidRPr="00F25FBD">
        <w:rPr>
          <w:rFonts w:ascii="Arial" w:hAnsi="Arial" w:cs="Arial"/>
          <w:b/>
          <w:color w:val="141414"/>
          <w:sz w:val="21"/>
          <w:szCs w:val="21"/>
        </w:rPr>
        <w:t xml:space="preserve"> suivi de l'act</w:t>
      </w:r>
      <w:r>
        <w:rPr>
          <w:rFonts w:ascii="Arial" w:hAnsi="Arial" w:cs="Arial"/>
          <w:b/>
          <w:color w:val="141414"/>
          <w:sz w:val="21"/>
          <w:szCs w:val="21"/>
        </w:rPr>
        <w:t>ivité</w:t>
      </w:r>
      <w:r w:rsidRPr="00F25FBD">
        <w:rPr>
          <w:rFonts w:ascii="Arial" w:hAnsi="Arial" w:cs="Arial"/>
          <w:b/>
          <w:color w:val="141414"/>
          <w:sz w:val="21"/>
          <w:szCs w:val="21"/>
        </w:rPr>
        <w:t xml:space="preserve"> commerciale- Portefeuille 1</w:t>
      </w:r>
    </w:p>
    <w:tbl>
      <w:tblPr>
        <w:tblStyle w:val="Grilledutableau"/>
        <w:tblW w:w="11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22"/>
        <w:gridCol w:w="1063"/>
        <w:gridCol w:w="1134"/>
        <w:gridCol w:w="709"/>
        <w:gridCol w:w="1134"/>
        <w:gridCol w:w="1275"/>
        <w:gridCol w:w="1418"/>
        <w:gridCol w:w="1134"/>
        <w:gridCol w:w="1134"/>
        <w:gridCol w:w="1361"/>
      </w:tblGrid>
      <w:tr w:rsidR="005554EB" w:rsidRPr="005554EB" w:rsidTr="00700B8B">
        <w:trPr>
          <w:trHeight w:val="283"/>
        </w:trPr>
        <w:tc>
          <w:tcPr>
            <w:tcW w:w="922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141414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05F61" wp14:editId="4CB7DCC9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17145</wp:posOffset>
                      </wp:positionV>
                      <wp:extent cx="590550" cy="323850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.35pt" to="39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" strokecolor="black [3040]"/>
                  </w:pict>
                </mc:Fallback>
              </mc:AlternateContent>
            </w: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Indicateurs</w:t>
            </w:r>
          </w:p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</w:p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</w:p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Période</w:t>
            </w:r>
          </w:p>
        </w:tc>
        <w:tc>
          <w:tcPr>
            <w:tcW w:w="1063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Nombre rendez-vous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RV provoquée</w:t>
            </w:r>
          </w:p>
        </w:tc>
        <w:tc>
          <w:tcPr>
            <w:tcW w:w="709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RV subie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Dont hors portefeuille (1)</w:t>
            </w:r>
          </w:p>
        </w:tc>
        <w:tc>
          <w:tcPr>
            <w:tcW w:w="1275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Taux de RV provoqués (2)</w:t>
            </w:r>
          </w:p>
        </w:tc>
        <w:tc>
          <w:tcPr>
            <w:tcW w:w="1418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proofErr w:type="spellStart"/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Nbre</w:t>
            </w:r>
            <w:proofErr w:type="spellEnd"/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 xml:space="preserve"> de RV aboutissant à une vente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Nombre d’ouverture produits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Taux de concrétisation (3)</w:t>
            </w:r>
          </w:p>
        </w:tc>
        <w:tc>
          <w:tcPr>
            <w:tcW w:w="1361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 w:rsidRPr="005554EB">
              <w:rPr>
                <w:rFonts w:ascii="Arial" w:hAnsi="Arial" w:cs="Arial"/>
                <w:color w:val="141414"/>
                <w:sz w:val="13"/>
                <w:szCs w:val="13"/>
              </w:rPr>
              <w:t>Productivité (4)</w:t>
            </w:r>
          </w:p>
        </w:tc>
      </w:tr>
      <w:tr w:rsidR="005554EB" w:rsidRPr="005554EB" w:rsidTr="00700B8B">
        <w:trPr>
          <w:trHeight w:val="283"/>
        </w:trPr>
        <w:tc>
          <w:tcPr>
            <w:tcW w:w="922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Janvier 2009</w:t>
            </w:r>
          </w:p>
        </w:tc>
        <w:tc>
          <w:tcPr>
            <w:tcW w:w="1063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56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17</w:t>
            </w:r>
          </w:p>
        </w:tc>
        <w:tc>
          <w:tcPr>
            <w:tcW w:w="709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39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18</w:t>
            </w:r>
          </w:p>
        </w:tc>
        <w:tc>
          <w:tcPr>
            <w:tcW w:w="1275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30,36 %</w:t>
            </w:r>
          </w:p>
        </w:tc>
        <w:tc>
          <w:tcPr>
            <w:tcW w:w="1418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22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28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39,3 %</w:t>
            </w:r>
          </w:p>
        </w:tc>
        <w:tc>
          <w:tcPr>
            <w:tcW w:w="1361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1,3</w:t>
            </w:r>
          </w:p>
        </w:tc>
      </w:tr>
      <w:tr w:rsidR="005554EB" w:rsidRPr="005554EB" w:rsidTr="00700B8B">
        <w:trPr>
          <w:trHeight w:val="283"/>
        </w:trPr>
        <w:tc>
          <w:tcPr>
            <w:tcW w:w="922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Février 2009</w:t>
            </w:r>
          </w:p>
        </w:tc>
        <w:tc>
          <w:tcPr>
            <w:tcW w:w="1063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50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13</w:t>
            </w:r>
          </w:p>
        </w:tc>
        <w:tc>
          <w:tcPr>
            <w:tcW w:w="709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37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21</w:t>
            </w:r>
          </w:p>
        </w:tc>
        <w:tc>
          <w:tcPr>
            <w:tcW w:w="1275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26 %</w:t>
            </w:r>
          </w:p>
        </w:tc>
        <w:tc>
          <w:tcPr>
            <w:tcW w:w="1418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17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21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34,0 %</w:t>
            </w:r>
          </w:p>
        </w:tc>
        <w:tc>
          <w:tcPr>
            <w:tcW w:w="1361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1,2</w:t>
            </w:r>
          </w:p>
        </w:tc>
      </w:tr>
      <w:tr w:rsidR="005554EB" w:rsidRPr="005554EB" w:rsidTr="00700B8B">
        <w:trPr>
          <w:trHeight w:val="283"/>
        </w:trPr>
        <w:tc>
          <w:tcPr>
            <w:tcW w:w="922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Mars 2009</w:t>
            </w:r>
          </w:p>
        </w:tc>
        <w:tc>
          <w:tcPr>
            <w:tcW w:w="1063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66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37</w:t>
            </w:r>
          </w:p>
        </w:tc>
        <w:tc>
          <w:tcPr>
            <w:tcW w:w="709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29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16</w:t>
            </w:r>
          </w:p>
        </w:tc>
        <w:tc>
          <w:tcPr>
            <w:tcW w:w="1275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56,06 %</w:t>
            </w:r>
          </w:p>
        </w:tc>
        <w:tc>
          <w:tcPr>
            <w:tcW w:w="1418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29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44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43,9 %</w:t>
            </w:r>
          </w:p>
        </w:tc>
        <w:tc>
          <w:tcPr>
            <w:tcW w:w="1361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1,5</w:t>
            </w:r>
          </w:p>
        </w:tc>
      </w:tr>
      <w:tr w:rsidR="005554EB" w:rsidRPr="005554EB" w:rsidTr="00700B8B">
        <w:trPr>
          <w:trHeight w:val="283"/>
        </w:trPr>
        <w:tc>
          <w:tcPr>
            <w:tcW w:w="922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Avril 2009</w:t>
            </w:r>
          </w:p>
        </w:tc>
        <w:tc>
          <w:tcPr>
            <w:tcW w:w="1063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64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36</w:t>
            </w:r>
          </w:p>
        </w:tc>
        <w:tc>
          <w:tcPr>
            <w:tcW w:w="709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28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15</w:t>
            </w:r>
          </w:p>
        </w:tc>
        <w:tc>
          <w:tcPr>
            <w:tcW w:w="1275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56,25 %</w:t>
            </w:r>
          </w:p>
        </w:tc>
        <w:tc>
          <w:tcPr>
            <w:tcW w:w="1418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30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53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46,9 %</w:t>
            </w:r>
          </w:p>
        </w:tc>
        <w:tc>
          <w:tcPr>
            <w:tcW w:w="1361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1,77</w:t>
            </w:r>
          </w:p>
        </w:tc>
      </w:tr>
      <w:tr w:rsidR="005554EB" w:rsidRPr="005554EB" w:rsidTr="00700B8B">
        <w:trPr>
          <w:trHeight w:val="283"/>
        </w:trPr>
        <w:tc>
          <w:tcPr>
            <w:tcW w:w="922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Cumul année</w:t>
            </w:r>
          </w:p>
        </w:tc>
        <w:tc>
          <w:tcPr>
            <w:tcW w:w="1063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236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103</w:t>
            </w:r>
          </w:p>
        </w:tc>
        <w:tc>
          <w:tcPr>
            <w:tcW w:w="709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133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70</w:t>
            </w:r>
          </w:p>
        </w:tc>
        <w:tc>
          <w:tcPr>
            <w:tcW w:w="1275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98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146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</w:p>
        </w:tc>
        <w:tc>
          <w:tcPr>
            <w:tcW w:w="1361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</w:p>
        </w:tc>
      </w:tr>
      <w:tr w:rsidR="005554EB" w:rsidRPr="005554EB" w:rsidTr="00700B8B">
        <w:trPr>
          <w:trHeight w:val="283"/>
        </w:trPr>
        <w:tc>
          <w:tcPr>
            <w:tcW w:w="922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Moyenne mensuelle</w:t>
            </w:r>
          </w:p>
        </w:tc>
        <w:tc>
          <w:tcPr>
            <w:tcW w:w="1063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59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25,75</w:t>
            </w:r>
          </w:p>
        </w:tc>
        <w:tc>
          <w:tcPr>
            <w:tcW w:w="709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33,25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17,5</w:t>
            </w:r>
          </w:p>
        </w:tc>
        <w:tc>
          <w:tcPr>
            <w:tcW w:w="1275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43,64 %</w:t>
            </w:r>
          </w:p>
        </w:tc>
        <w:tc>
          <w:tcPr>
            <w:tcW w:w="1418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24,5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36,5</w:t>
            </w: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41,5 %</w:t>
            </w:r>
          </w:p>
        </w:tc>
        <w:tc>
          <w:tcPr>
            <w:tcW w:w="1361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1,49</w:t>
            </w:r>
          </w:p>
        </w:tc>
      </w:tr>
      <w:tr w:rsidR="005554EB" w:rsidRPr="005554EB" w:rsidTr="00700B8B">
        <w:trPr>
          <w:trHeight w:val="283"/>
        </w:trPr>
        <w:tc>
          <w:tcPr>
            <w:tcW w:w="922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Norme</w:t>
            </w:r>
          </w:p>
        </w:tc>
        <w:tc>
          <w:tcPr>
            <w:tcW w:w="1063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78</w:t>
            </w: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Max 20 %</w:t>
            </w:r>
          </w:p>
        </w:tc>
        <w:tc>
          <w:tcPr>
            <w:tcW w:w="1275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70 %</w:t>
            </w:r>
          </w:p>
        </w:tc>
        <w:tc>
          <w:tcPr>
            <w:tcW w:w="1418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:rsidR="005554EB" w:rsidRPr="005554EB" w:rsidRDefault="005554E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50 %</w:t>
            </w:r>
          </w:p>
        </w:tc>
        <w:tc>
          <w:tcPr>
            <w:tcW w:w="1361" w:type="dxa"/>
            <w:vAlign w:val="center"/>
          </w:tcPr>
          <w:p w:rsidR="005554EB" w:rsidRPr="005554EB" w:rsidRDefault="00700B8B" w:rsidP="0055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13"/>
                <w:szCs w:val="13"/>
              </w:rPr>
            </w:pPr>
            <w:r>
              <w:rPr>
                <w:rFonts w:ascii="Arial" w:hAnsi="Arial" w:cs="Arial"/>
                <w:color w:val="141414"/>
                <w:sz w:val="13"/>
                <w:szCs w:val="13"/>
              </w:rPr>
              <w:t>1,5</w:t>
            </w:r>
          </w:p>
        </w:tc>
      </w:tr>
    </w:tbl>
    <w:p w:rsidR="00DC2F46" w:rsidRDefault="00DC2F46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Pr="00700B8B" w:rsidRDefault="00700B8B" w:rsidP="00700B8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sz w:val="14"/>
          <w:szCs w:val="14"/>
        </w:rPr>
      </w:pPr>
      <w:r w:rsidRPr="00700B8B">
        <w:rPr>
          <w:sz w:val="14"/>
          <w:szCs w:val="14"/>
        </w:rPr>
        <w:t>Nombre de rendez-vous honorés avec des clients de votre portefeuille</w:t>
      </w:r>
    </w:p>
    <w:p w:rsidR="00700B8B" w:rsidRPr="00700B8B" w:rsidRDefault="00700B8B" w:rsidP="00700B8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sz w:val="14"/>
          <w:szCs w:val="14"/>
        </w:rPr>
      </w:pPr>
      <w:r w:rsidRPr="00700B8B">
        <w:rPr>
          <w:sz w:val="14"/>
          <w:szCs w:val="14"/>
        </w:rPr>
        <w:t>Taux de RV provoqués = (nombre de RV provoqués / nombre total de RV) x100</w:t>
      </w:r>
    </w:p>
    <w:p w:rsidR="00700B8B" w:rsidRPr="00700B8B" w:rsidRDefault="00700B8B" w:rsidP="00700B8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sz w:val="14"/>
          <w:szCs w:val="14"/>
        </w:rPr>
      </w:pPr>
      <w:r w:rsidRPr="00700B8B">
        <w:rPr>
          <w:sz w:val="14"/>
          <w:szCs w:val="14"/>
        </w:rPr>
        <w:t>Taux de concrétisation = (nombre de RV aboutissant à une vente / nombre total de RV) x 100</w:t>
      </w:r>
    </w:p>
    <w:p w:rsidR="00700B8B" w:rsidRPr="00700B8B" w:rsidRDefault="00700B8B" w:rsidP="00700B8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sz w:val="14"/>
          <w:szCs w:val="14"/>
        </w:rPr>
      </w:pPr>
      <w:r w:rsidRPr="00700B8B">
        <w:rPr>
          <w:sz w:val="14"/>
          <w:szCs w:val="14"/>
        </w:rPr>
        <w:t>Productivité = nombre moyen de produits vendus par rendez-vous ayant aboutie à une vente.</w:t>
      </w: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Pr="00700B8B" w:rsidRDefault="00700B8B" w:rsidP="00700B8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700B8B">
        <w:rPr>
          <w:rFonts w:ascii="Arial" w:hAnsi="Arial" w:cs="Arial"/>
          <w:b/>
          <w:color w:val="141414"/>
          <w:sz w:val="21"/>
          <w:szCs w:val="21"/>
        </w:rPr>
        <w:t>L</w:t>
      </w:r>
      <w:r>
        <w:rPr>
          <w:rFonts w:ascii="Arial" w:hAnsi="Arial" w:cs="Arial"/>
          <w:b/>
          <w:color w:val="141414"/>
          <w:sz w:val="21"/>
          <w:szCs w:val="21"/>
        </w:rPr>
        <w:t>e</w:t>
      </w:r>
      <w:r w:rsidRPr="00700B8B">
        <w:rPr>
          <w:rFonts w:ascii="Arial" w:hAnsi="Arial" w:cs="Arial"/>
          <w:b/>
          <w:color w:val="141414"/>
          <w:sz w:val="21"/>
          <w:szCs w:val="21"/>
        </w:rPr>
        <w:t>s principale</w:t>
      </w:r>
      <w:r>
        <w:rPr>
          <w:rFonts w:ascii="Arial" w:hAnsi="Arial" w:cs="Arial"/>
          <w:b/>
          <w:color w:val="141414"/>
          <w:sz w:val="21"/>
          <w:szCs w:val="21"/>
        </w:rPr>
        <w:t>s</w:t>
      </w:r>
      <w:r w:rsidRPr="00700B8B">
        <w:rPr>
          <w:rFonts w:ascii="Arial" w:hAnsi="Arial" w:cs="Arial"/>
          <w:b/>
          <w:color w:val="141414"/>
          <w:sz w:val="21"/>
          <w:szCs w:val="21"/>
        </w:rPr>
        <w:t xml:space="preserve"> causes des rendez-vous </w:t>
      </w:r>
      <w:r>
        <w:rPr>
          <w:rFonts w:ascii="Arial" w:hAnsi="Arial" w:cs="Arial"/>
          <w:b/>
          <w:color w:val="141414"/>
          <w:sz w:val="21"/>
          <w:szCs w:val="21"/>
        </w:rPr>
        <w:t>s</w:t>
      </w:r>
      <w:r w:rsidRPr="00700B8B">
        <w:rPr>
          <w:rFonts w:ascii="Arial" w:hAnsi="Arial" w:cs="Arial"/>
          <w:b/>
          <w:color w:val="141414"/>
          <w:sz w:val="21"/>
          <w:szCs w:val="21"/>
        </w:rPr>
        <w:t>ubis</w:t>
      </w: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0B8B" w:rsidRPr="00700B8B" w:rsidTr="00700B8B">
        <w:tc>
          <w:tcPr>
            <w:tcW w:w="4606" w:type="dxa"/>
          </w:tcPr>
          <w:p w:rsidR="00700B8B" w:rsidRPr="00700B8B" w:rsidRDefault="00700B8B" w:rsidP="00DC2F4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Raison</w:t>
            </w:r>
          </w:p>
        </w:tc>
        <w:tc>
          <w:tcPr>
            <w:tcW w:w="4606" w:type="dxa"/>
          </w:tcPr>
          <w:p w:rsidR="00700B8B" w:rsidRPr="00700B8B" w:rsidRDefault="00700B8B" w:rsidP="00700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Fréquence</w:t>
            </w:r>
          </w:p>
        </w:tc>
      </w:tr>
      <w:tr w:rsidR="00700B8B" w:rsidRPr="00700B8B" w:rsidTr="00700B8B">
        <w:tc>
          <w:tcPr>
            <w:tcW w:w="4606" w:type="dxa"/>
          </w:tcPr>
          <w:p w:rsidR="00700B8B" w:rsidRPr="00700B8B" w:rsidRDefault="00700B8B" w:rsidP="00DC2F4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Demande d’explications sur opérations</w:t>
            </w:r>
          </w:p>
        </w:tc>
        <w:tc>
          <w:tcPr>
            <w:tcW w:w="4606" w:type="dxa"/>
          </w:tcPr>
          <w:p w:rsidR="00700B8B" w:rsidRPr="00700B8B" w:rsidRDefault="00700B8B" w:rsidP="00700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31 %</w:t>
            </w:r>
          </w:p>
        </w:tc>
      </w:tr>
      <w:tr w:rsidR="00700B8B" w:rsidRPr="00700B8B" w:rsidTr="00700B8B">
        <w:tc>
          <w:tcPr>
            <w:tcW w:w="4606" w:type="dxa"/>
          </w:tcPr>
          <w:p w:rsidR="00700B8B" w:rsidRPr="00700B8B" w:rsidRDefault="00700B8B" w:rsidP="00DC2F4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Réclamations tarifaires</w:t>
            </w:r>
          </w:p>
        </w:tc>
        <w:tc>
          <w:tcPr>
            <w:tcW w:w="4606" w:type="dxa"/>
          </w:tcPr>
          <w:p w:rsidR="00700B8B" w:rsidRPr="00700B8B" w:rsidRDefault="00700B8B" w:rsidP="00700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26 %</w:t>
            </w:r>
          </w:p>
        </w:tc>
      </w:tr>
      <w:tr w:rsidR="00700B8B" w:rsidRPr="00700B8B" w:rsidTr="00700B8B">
        <w:tc>
          <w:tcPr>
            <w:tcW w:w="4606" w:type="dxa"/>
          </w:tcPr>
          <w:p w:rsidR="00700B8B" w:rsidRPr="00700B8B" w:rsidRDefault="00700B8B" w:rsidP="00DC2F4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Suivi dossier en cours (ouverture, prêt, etc.)</w:t>
            </w:r>
          </w:p>
        </w:tc>
        <w:tc>
          <w:tcPr>
            <w:tcW w:w="4606" w:type="dxa"/>
          </w:tcPr>
          <w:p w:rsidR="00700B8B" w:rsidRPr="00700B8B" w:rsidRDefault="00700B8B" w:rsidP="00700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14 %</w:t>
            </w:r>
          </w:p>
        </w:tc>
      </w:tr>
      <w:tr w:rsidR="00700B8B" w:rsidRPr="00700B8B" w:rsidTr="00700B8B">
        <w:tc>
          <w:tcPr>
            <w:tcW w:w="4606" w:type="dxa"/>
          </w:tcPr>
          <w:p w:rsidR="00700B8B" w:rsidRPr="00700B8B" w:rsidRDefault="00700B8B" w:rsidP="00DC2F4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Prospect spontané</w:t>
            </w:r>
          </w:p>
        </w:tc>
        <w:tc>
          <w:tcPr>
            <w:tcW w:w="4606" w:type="dxa"/>
          </w:tcPr>
          <w:p w:rsidR="00700B8B" w:rsidRPr="00700B8B" w:rsidRDefault="00700B8B" w:rsidP="00700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13 %</w:t>
            </w:r>
          </w:p>
        </w:tc>
      </w:tr>
      <w:tr w:rsidR="00700B8B" w:rsidRPr="00700B8B" w:rsidTr="00700B8B">
        <w:tc>
          <w:tcPr>
            <w:tcW w:w="4606" w:type="dxa"/>
          </w:tcPr>
          <w:p w:rsidR="00700B8B" w:rsidRPr="00700B8B" w:rsidRDefault="00700B8B" w:rsidP="00DC2F4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Opération courante</w:t>
            </w:r>
          </w:p>
        </w:tc>
        <w:tc>
          <w:tcPr>
            <w:tcW w:w="4606" w:type="dxa"/>
          </w:tcPr>
          <w:p w:rsidR="00700B8B" w:rsidRPr="00700B8B" w:rsidRDefault="00700B8B" w:rsidP="00700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10 %</w:t>
            </w:r>
          </w:p>
        </w:tc>
      </w:tr>
      <w:tr w:rsidR="00700B8B" w:rsidRPr="00700B8B" w:rsidTr="00700B8B">
        <w:tc>
          <w:tcPr>
            <w:tcW w:w="4606" w:type="dxa"/>
          </w:tcPr>
          <w:p w:rsidR="00700B8B" w:rsidRPr="00700B8B" w:rsidRDefault="00700B8B" w:rsidP="00DC2F4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Autre (ordre de bourse, etc.)</w:t>
            </w:r>
          </w:p>
        </w:tc>
        <w:tc>
          <w:tcPr>
            <w:tcW w:w="4606" w:type="dxa"/>
          </w:tcPr>
          <w:p w:rsidR="00700B8B" w:rsidRPr="00700B8B" w:rsidRDefault="00700B8B" w:rsidP="00700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700B8B">
              <w:rPr>
                <w:rFonts w:ascii="Arial" w:hAnsi="Arial" w:cs="Arial"/>
                <w:color w:val="141414"/>
                <w:sz w:val="20"/>
                <w:szCs w:val="21"/>
              </w:rPr>
              <w:t>6 %</w:t>
            </w:r>
          </w:p>
        </w:tc>
      </w:tr>
    </w:tbl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700B8B" w:rsidRDefault="00700B8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E726FB" w:rsidRDefault="00E726FB" w:rsidP="00E726FB">
      <w:pPr>
        <w:autoSpaceDE w:val="0"/>
        <w:autoSpaceDN w:val="0"/>
        <w:adjustRightInd w:val="0"/>
        <w:rPr>
          <w:rFonts w:ascii="Arial" w:hAnsi="Arial" w:cs="Arial"/>
          <w:b/>
          <w:bCs/>
          <w:color w:val="101010"/>
          <w:sz w:val="26"/>
          <w:szCs w:val="26"/>
        </w:rPr>
      </w:pPr>
      <w:r>
        <w:rPr>
          <w:rFonts w:ascii="Arial" w:hAnsi="Arial" w:cs="Arial"/>
          <w:b/>
          <w:bCs/>
          <w:color w:val="101010"/>
          <w:sz w:val="26"/>
          <w:szCs w:val="26"/>
        </w:rPr>
        <w:t>Annexe 3</w:t>
      </w:r>
    </w:p>
    <w:p w:rsidR="00E726FB" w:rsidRDefault="00280020" w:rsidP="00E726F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280020">
        <w:rPr>
          <w:rFonts w:ascii="Arial" w:hAnsi="Arial" w:cs="Arial"/>
          <w:b/>
          <w:color w:val="141414"/>
          <w:sz w:val="21"/>
          <w:szCs w:val="21"/>
        </w:rPr>
        <w:t>Extra</w:t>
      </w:r>
      <w:r>
        <w:rPr>
          <w:rFonts w:ascii="Arial" w:hAnsi="Arial" w:cs="Arial"/>
          <w:b/>
          <w:color w:val="141414"/>
          <w:sz w:val="21"/>
          <w:szCs w:val="21"/>
        </w:rPr>
        <w:t>i</w:t>
      </w:r>
      <w:r w:rsidRPr="00280020">
        <w:rPr>
          <w:rFonts w:ascii="Arial" w:hAnsi="Arial" w:cs="Arial"/>
          <w:b/>
          <w:color w:val="141414"/>
          <w:sz w:val="21"/>
          <w:szCs w:val="21"/>
        </w:rPr>
        <w:t>t de la ba</w:t>
      </w:r>
      <w:r>
        <w:rPr>
          <w:rFonts w:ascii="Arial" w:hAnsi="Arial" w:cs="Arial"/>
          <w:b/>
          <w:color w:val="141414"/>
          <w:sz w:val="21"/>
          <w:szCs w:val="21"/>
        </w:rPr>
        <w:t>s</w:t>
      </w:r>
      <w:r w:rsidRPr="00280020">
        <w:rPr>
          <w:rFonts w:ascii="Arial" w:hAnsi="Arial" w:cs="Arial"/>
          <w:b/>
          <w:color w:val="141414"/>
          <w:sz w:val="21"/>
          <w:szCs w:val="21"/>
        </w:rPr>
        <w:t>e de données de votre agen</w:t>
      </w:r>
      <w:r>
        <w:rPr>
          <w:rFonts w:ascii="Arial" w:hAnsi="Arial" w:cs="Arial"/>
          <w:b/>
          <w:color w:val="141414"/>
          <w:sz w:val="21"/>
          <w:szCs w:val="21"/>
        </w:rPr>
        <w:t>ce</w:t>
      </w:r>
      <w:r w:rsidRPr="00280020">
        <w:rPr>
          <w:rFonts w:ascii="Arial" w:hAnsi="Arial" w:cs="Arial"/>
          <w:b/>
          <w:color w:val="141414"/>
          <w:sz w:val="21"/>
          <w:szCs w:val="21"/>
        </w:rPr>
        <w:t xml:space="preserve"> au 30</w:t>
      </w:r>
      <w:r>
        <w:rPr>
          <w:rFonts w:ascii="Arial" w:hAnsi="Arial" w:cs="Arial"/>
          <w:b/>
          <w:color w:val="141414"/>
          <w:sz w:val="21"/>
          <w:szCs w:val="21"/>
        </w:rPr>
        <w:t>/</w:t>
      </w:r>
      <w:r w:rsidRPr="00280020">
        <w:rPr>
          <w:rFonts w:ascii="Arial" w:hAnsi="Arial" w:cs="Arial"/>
          <w:b/>
          <w:color w:val="141414"/>
          <w:sz w:val="21"/>
          <w:szCs w:val="21"/>
        </w:rPr>
        <w:t>04</w:t>
      </w:r>
      <w:r>
        <w:rPr>
          <w:rFonts w:ascii="Arial" w:hAnsi="Arial" w:cs="Arial"/>
          <w:b/>
          <w:color w:val="141414"/>
          <w:sz w:val="21"/>
          <w:szCs w:val="21"/>
        </w:rPr>
        <w:t>/</w:t>
      </w:r>
      <w:r w:rsidRPr="00280020">
        <w:rPr>
          <w:rFonts w:ascii="Arial" w:hAnsi="Arial" w:cs="Arial"/>
          <w:b/>
          <w:color w:val="141414"/>
          <w:sz w:val="21"/>
          <w:szCs w:val="21"/>
        </w:rPr>
        <w:t>2009</w:t>
      </w:r>
    </w:p>
    <w:p w:rsidR="00280020" w:rsidRDefault="00280020" w:rsidP="00E726F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</w:p>
    <w:p w:rsidR="00280020" w:rsidRDefault="00280020" w:rsidP="00E726F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  <w:r>
        <w:rPr>
          <w:rFonts w:ascii="Arial" w:hAnsi="Arial" w:cs="Arial"/>
          <w:color w:val="49494D"/>
          <w:sz w:val="21"/>
          <w:szCs w:val="21"/>
        </w:rPr>
        <w:t>PORTEFEUIL</w:t>
      </w:r>
      <w:r>
        <w:rPr>
          <w:rFonts w:ascii="Arial" w:hAnsi="Arial" w:cs="Arial"/>
          <w:color w:val="49494D"/>
          <w:sz w:val="21"/>
          <w:szCs w:val="21"/>
        </w:rPr>
        <w:t xml:space="preserve">LE </w:t>
      </w:r>
      <w:r>
        <w:rPr>
          <w:rFonts w:ascii="Arial" w:hAnsi="Arial" w:cs="Arial"/>
          <w:color w:val="3A3A3E"/>
          <w:sz w:val="21"/>
          <w:szCs w:val="21"/>
        </w:rPr>
        <w:t xml:space="preserve">N°1 </w:t>
      </w:r>
      <w:r>
        <w:rPr>
          <w:rFonts w:ascii="Arial" w:hAnsi="Arial" w:cs="Arial"/>
          <w:color w:val="49494D"/>
          <w:sz w:val="21"/>
          <w:szCs w:val="21"/>
        </w:rPr>
        <w:t>-</w:t>
      </w:r>
      <w:r>
        <w:rPr>
          <w:rFonts w:ascii="Arial" w:hAnsi="Arial" w:cs="Arial"/>
          <w:color w:val="49494D"/>
          <w:sz w:val="21"/>
          <w:szCs w:val="21"/>
        </w:rPr>
        <w:t xml:space="preserve"> </w:t>
      </w:r>
      <w:r>
        <w:rPr>
          <w:rFonts w:ascii="Arial" w:hAnsi="Arial" w:cs="Arial"/>
          <w:color w:val="49494D"/>
          <w:sz w:val="21"/>
          <w:szCs w:val="21"/>
        </w:rPr>
        <w:t>les</w:t>
      </w:r>
      <w:r>
        <w:rPr>
          <w:rFonts w:ascii="Arial" w:hAnsi="Arial" w:cs="Arial"/>
          <w:color w:val="49494D"/>
          <w:sz w:val="21"/>
          <w:szCs w:val="21"/>
        </w:rPr>
        <w:t xml:space="preserve"> </w:t>
      </w:r>
      <w:r>
        <w:rPr>
          <w:rFonts w:ascii="Arial" w:hAnsi="Arial" w:cs="Arial"/>
          <w:color w:val="3A3A3E"/>
          <w:sz w:val="21"/>
          <w:szCs w:val="21"/>
        </w:rPr>
        <w:t xml:space="preserve">comptes ouverts </w:t>
      </w:r>
      <w:r>
        <w:rPr>
          <w:rFonts w:ascii="Arial" w:hAnsi="Arial" w:cs="Arial"/>
          <w:color w:val="49494D"/>
          <w:sz w:val="21"/>
          <w:szCs w:val="21"/>
        </w:rPr>
        <w:t xml:space="preserve">en </w:t>
      </w:r>
      <w:r>
        <w:rPr>
          <w:rFonts w:ascii="Arial" w:hAnsi="Arial" w:cs="Arial"/>
          <w:color w:val="3A3A3E"/>
          <w:sz w:val="21"/>
          <w:szCs w:val="21"/>
        </w:rPr>
        <w:t>2008</w:t>
      </w:r>
    </w:p>
    <w:p w:rsidR="00280020" w:rsidRDefault="00280020" w:rsidP="00E726F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41414"/>
          <w:sz w:val="21"/>
          <w:szCs w:val="21"/>
        </w:rPr>
      </w:pPr>
    </w:p>
    <w:tbl>
      <w:tblPr>
        <w:tblW w:w="1103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832"/>
        <w:gridCol w:w="1324"/>
        <w:gridCol w:w="1086"/>
        <w:gridCol w:w="1458"/>
        <w:gridCol w:w="1235"/>
        <w:gridCol w:w="1372"/>
        <w:gridCol w:w="1539"/>
        <w:gridCol w:w="1172"/>
      </w:tblGrid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Cartes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Domiciliation salaire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Forfait de services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Epargne à vue (en €)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Assurances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Epargne financière (en €)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Crédit(s)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Solde CAV Fin de mois (en €)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8630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12 648,52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80020" w:rsidRDefault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</w:t>
            </w:r>
          </w:p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MRH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996,36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7289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3 156,22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MRH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2 863,11   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844,54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11 365,84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6 587,98   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Immobilier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1 145,98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126,34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280020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r w:rsidR="009A23BC">
              <w:rPr>
                <w:rFonts w:ascii="Calibri" w:hAnsi="Calibri"/>
                <w:color w:val="000000"/>
                <w:sz w:val="22"/>
                <w:szCs w:val="22"/>
              </w:rPr>
              <w:t>197,22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8237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1 932,67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80020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</w:t>
            </w:r>
          </w:p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MRH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Réserve d'argent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588,41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1+1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8 041,25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Personnel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1 907,12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14 326,88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22 568,75   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Réserve d'argent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28002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1 238,33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6669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1 237,40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GAV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852,56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7269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1+1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7 742,31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1 369,52   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Personnel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743,02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3975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24 369,55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20 900,00   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- 268,44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2998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10 242,65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Réserve d'argent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3 572,78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>
              <w:rPr>
                <w:rFonts w:ascii="Arial" w:hAnsi="Arial" w:cs="Arial"/>
                <w:color w:val="141414"/>
                <w:sz w:val="21"/>
                <w:szCs w:val="21"/>
              </w:rPr>
              <w:t xml:space="preserve">      659,78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80020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</w:t>
            </w:r>
          </w:p>
          <w:p w:rsidR="00280020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MRH</w:t>
            </w:r>
          </w:p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GAV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- 130,69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4459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Non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>
              <w:rPr>
                <w:rFonts w:ascii="Arial" w:hAnsi="Arial" w:cs="Arial"/>
                <w:color w:val="141414"/>
                <w:sz w:val="21"/>
                <w:szCs w:val="21"/>
              </w:rPr>
              <w:t xml:space="preserve">        63,50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Immobilier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r w:rsidR="0028002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6,11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3139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>
              <w:rPr>
                <w:rFonts w:ascii="Arial" w:hAnsi="Arial" w:cs="Arial"/>
                <w:color w:val="141414"/>
                <w:sz w:val="21"/>
                <w:szCs w:val="21"/>
              </w:rPr>
              <w:t xml:space="preserve">   3 125,45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80020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</w:t>
            </w:r>
          </w:p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MRH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Immobilier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701,32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>
              <w:rPr>
                <w:rFonts w:ascii="Arial" w:hAnsi="Arial" w:cs="Arial"/>
                <w:color w:val="141414"/>
                <w:sz w:val="21"/>
                <w:szCs w:val="21"/>
              </w:rPr>
              <w:t xml:space="preserve">   5 326,33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4 213,69   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Personnel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462,75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1+1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>
              <w:rPr>
                <w:rFonts w:ascii="Arial" w:hAnsi="Arial" w:cs="Arial"/>
                <w:color w:val="141414"/>
                <w:sz w:val="21"/>
                <w:szCs w:val="21"/>
              </w:rPr>
              <w:t xml:space="preserve">      356,21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2 683,57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>
              <w:rPr>
                <w:rFonts w:ascii="Arial" w:hAnsi="Arial" w:cs="Arial"/>
                <w:color w:val="141414"/>
                <w:sz w:val="21"/>
                <w:szCs w:val="21"/>
              </w:rPr>
              <w:t xml:space="preserve">      620,54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MRH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9A23BC">
              <w:rPr>
                <w:rFonts w:ascii="Calibri" w:hAnsi="Calibri"/>
                <w:color w:val="000000"/>
                <w:sz w:val="22"/>
                <w:szCs w:val="22"/>
              </w:rPr>
              <w:t>mmobilier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- 62,95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>
              <w:rPr>
                <w:rFonts w:ascii="Arial" w:hAnsi="Arial" w:cs="Arial"/>
                <w:color w:val="141414"/>
                <w:sz w:val="21"/>
                <w:szCs w:val="21"/>
              </w:rPr>
              <w:t xml:space="preserve">   1 235,58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- 174,05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237,42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Personnel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356,55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3129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4 765,20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2 125,68   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684,21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3 872,22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1 235,22   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Personnel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9A23BC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- 80,43</w:t>
            </w:r>
          </w:p>
        </w:tc>
      </w:tr>
      <w:tr w:rsidR="00280020" w:rsidTr="00280020">
        <w:trPr>
          <w:trHeight w:val="17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4089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37,55   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 MRH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9A23BC" w:rsidRDefault="009A23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Réserve d'argent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A23BC" w:rsidRDefault="00280020" w:rsidP="002800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r w:rsidR="009A23BC">
              <w:rPr>
                <w:rFonts w:ascii="Calibri" w:hAnsi="Calibri"/>
                <w:color w:val="000000"/>
                <w:sz w:val="22"/>
                <w:szCs w:val="22"/>
              </w:rPr>
              <w:t xml:space="preserve">291,91   </w:t>
            </w:r>
          </w:p>
        </w:tc>
      </w:tr>
    </w:tbl>
    <w:p w:rsidR="00E726FB" w:rsidRDefault="00E726FB" w:rsidP="00DC2F46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bookmarkStart w:id="0" w:name="_GoBack"/>
      <w:bookmarkEnd w:id="0"/>
    </w:p>
    <w:sectPr w:rsidR="00E726F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33" w:rsidRDefault="00FF3A33">
      <w:r>
        <w:separator/>
      </w:r>
    </w:p>
  </w:endnote>
  <w:endnote w:type="continuationSeparator" w:id="0">
    <w:p w:rsidR="00FF3A33" w:rsidRDefault="00FF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5FBD" w:rsidRDefault="00F25F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86"/>
      <w:gridCol w:w="2552"/>
      <w:gridCol w:w="1874"/>
    </w:tblGrid>
    <w:tr w:rsidR="00F25FBD" w:rsidTr="00F25FBD">
      <w:tc>
        <w:tcPr>
          <w:tcW w:w="9212" w:type="dxa"/>
          <w:gridSpan w:val="3"/>
        </w:tcPr>
        <w:p w:rsidR="00F25FBD" w:rsidRDefault="00F25FBD" w:rsidP="00620E93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BANQUE</w:t>
          </w:r>
        </w:p>
      </w:tc>
    </w:tr>
    <w:tr w:rsidR="00F25FBD" w:rsidTr="00893229">
      <w:trPr>
        <w:trHeight w:val="227"/>
      </w:trPr>
      <w:tc>
        <w:tcPr>
          <w:tcW w:w="4786" w:type="dxa"/>
          <w:vAlign w:val="center"/>
        </w:tcPr>
        <w:p w:rsidR="00F25FBD" w:rsidRDefault="00F25FBD" w:rsidP="00893229">
          <w:pPr>
            <w:jc w:val="center"/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Gestion de clientèle et communication professionnelle</w:t>
          </w:r>
        </w:p>
      </w:tc>
      <w:tc>
        <w:tcPr>
          <w:tcW w:w="2552" w:type="dxa"/>
          <w:vAlign w:val="center"/>
        </w:tcPr>
        <w:p w:rsidR="00F25FBD" w:rsidRPr="00893229" w:rsidRDefault="00F25FBD" w:rsidP="00847E81">
          <w:pPr>
            <w:jc w:val="center"/>
            <w:rPr>
              <w:sz w:val="16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09</w:t>
          </w: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-BQE4BA</w:t>
          </w:r>
        </w:p>
      </w:tc>
      <w:tc>
        <w:tcPr>
          <w:tcW w:w="1874" w:type="dxa"/>
          <w:vAlign w:val="center"/>
        </w:tcPr>
        <w:p w:rsidR="00F25FBD" w:rsidRPr="00893229" w:rsidRDefault="00F25FBD" w:rsidP="00C61B6F">
          <w:pPr>
            <w:jc w:val="center"/>
            <w:rPr>
              <w:sz w:val="16"/>
            </w:rPr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SESSION 20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09</w:t>
          </w:r>
        </w:p>
      </w:tc>
    </w:tr>
  </w:tbl>
  <w:p w:rsidR="00F25FBD" w:rsidRDefault="00F25FBD">
    <w:pPr>
      <w:pStyle w:val="Pieddepage"/>
      <w:ind w:right="360"/>
      <w:rPr>
        <w:sz w:val="20"/>
      </w:rPr>
    </w:pPr>
  </w:p>
  <w:p w:rsidR="00F25FBD" w:rsidRDefault="00F25FBD">
    <w:pPr>
      <w:pStyle w:val="Pieddepage"/>
      <w:ind w:right="360"/>
      <w:rPr>
        <w:sz w:val="20"/>
      </w:rPr>
    </w:pPr>
    <w:r w:rsidRPr="00620E93">
      <w:rPr>
        <w:sz w:val="18"/>
      </w:rPr>
      <w:t>© Comptazine BTS Banque 20</w:t>
    </w:r>
    <w:r>
      <w:rPr>
        <w:sz w:val="18"/>
      </w:rPr>
      <w:t>09</w:t>
    </w:r>
    <w:r w:rsidRPr="00620E93">
      <w:rPr>
        <w:sz w:val="18"/>
      </w:rPr>
      <w:t xml:space="preserve"> – EPREUVE </w:t>
    </w:r>
    <w:r>
      <w:rPr>
        <w:sz w:val="18"/>
      </w:rPr>
      <w:t>4</w:t>
    </w:r>
    <w:r w:rsidRPr="00620E93">
      <w:rPr>
        <w:sz w:val="18"/>
      </w:rPr>
      <w:t xml:space="preserve"> - </w:t>
    </w:r>
    <w:r w:rsidRPr="002056A5">
      <w:rPr>
        <w:sz w:val="18"/>
      </w:rPr>
      <w:t>Gestion de clientèle et Communication</w:t>
    </w:r>
    <w:r w:rsidRPr="002056A5">
      <w:t xml:space="preserve"> </w:t>
    </w:r>
    <w:r w:rsidRPr="002056A5">
      <w:rPr>
        <w:sz w:val="18"/>
      </w:rPr>
      <w:t>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280020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280020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33" w:rsidRDefault="00FF3A33">
      <w:r>
        <w:separator/>
      </w:r>
    </w:p>
  </w:footnote>
  <w:footnote w:type="continuationSeparator" w:id="0">
    <w:p w:rsidR="00FF3A33" w:rsidRDefault="00FF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F07F4B" wp14:editId="41503CEF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1.5pt;height:19.5pt;visibility:visible;mso-wrap-style:square" o:bullet="t">
        <v:imagedata r:id="rId1" o:title=""/>
      </v:shape>
    </w:pict>
  </w:numPicBullet>
  <w:abstractNum w:abstractNumId="0">
    <w:nsid w:val="07753818"/>
    <w:multiLevelType w:val="multilevel"/>
    <w:tmpl w:val="140A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7E0281"/>
    <w:multiLevelType w:val="hybridMultilevel"/>
    <w:tmpl w:val="6722DED0"/>
    <w:lvl w:ilvl="0" w:tplc="13200BEA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6175A"/>
    <w:multiLevelType w:val="hybridMultilevel"/>
    <w:tmpl w:val="FE0CB23C"/>
    <w:lvl w:ilvl="0" w:tplc="62E08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28CB"/>
    <w:multiLevelType w:val="hybridMultilevel"/>
    <w:tmpl w:val="65FE3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72644"/>
    <w:multiLevelType w:val="hybridMultilevel"/>
    <w:tmpl w:val="BAF6EEC0"/>
    <w:lvl w:ilvl="0" w:tplc="018E0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3E89"/>
    <w:multiLevelType w:val="hybridMultilevel"/>
    <w:tmpl w:val="BAE0B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F66B3"/>
    <w:multiLevelType w:val="multilevel"/>
    <w:tmpl w:val="B0CA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1616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161616"/>
      </w:rPr>
    </w:lvl>
  </w:abstractNum>
  <w:abstractNum w:abstractNumId="7">
    <w:nsid w:val="2C9C2863"/>
    <w:multiLevelType w:val="hybridMultilevel"/>
    <w:tmpl w:val="3DDA4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E3BCC"/>
    <w:multiLevelType w:val="multilevel"/>
    <w:tmpl w:val="0D7A6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2D46F23"/>
    <w:multiLevelType w:val="hybridMultilevel"/>
    <w:tmpl w:val="14B4A240"/>
    <w:lvl w:ilvl="0" w:tplc="B22E438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D4047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C3E3D"/>
    <w:multiLevelType w:val="multilevel"/>
    <w:tmpl w:val="6F6E6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7764E1E"/>
    <w:multiLevelType w:val="hybridMultilevel"/>
    <w:tmpl w:val="3A80B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A544C7F"/>
    <w:multiLevelType w:val="hybridMultilevel"/>
    <w:tmpl w:val="B2E0C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67B2C"/>
    <w:multiLevelType w:val="multilevel"/>
    <w:tmpl w:val="54CCA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F6400ED"/>
    <w:multiLevelType w:val="hybridMultilevel"/>
    <w:tmpl w:val="53AEA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21568"/>
    <w:multiLevelType w:val="hybridMultilevel"/>
    <w:tmpl w:val="EADEF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C7882"/>
    <w:multiLevelType w:val="hybridMultilevel"/>
    <w:tmpl w:val="D1927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E642A"/>
    <w:multiLevelType w:val="hybridMultilevel"/>
    <w:tmpl w:val="36583E54"/>
    <w:lvl w:ilvl="0" w:tplc="4B22D9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B5BF2"/>
    <w:multiLevelType w:val="hybridMultilevel"/>
    <w:tmpl w:val="D0CA8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8"/>
  </w:num>
  <w:num w:numId="9">
    <w:abstractNumId w:val="3"/>
  </w:num>
  <w:num w:numId="10">
    <w:abstractNumId w:val="16"/>
  </w:num>
  <w:num w:numId="11">
    <w:abstractNumId w:val="17"/>
  </w:num>
  <w:num w:numId="12">
    <w:abstractNumId w:val="15"/>
  </w:num>
  <w:num w:numId="13">
    <w:abstractNumId w:val="0"/>
  </w:num>
  <w:num w:numId="14">
    <w:abstractNumId w:val="20"/>
  </w:num>
  <w:num w:numId="15">
    <w:abstractNumId w:val="8"/>
  </w:num>
  <w:num w:numId="16">
    <w:abstractNumId w:val="14"/>
  </w:num>
  <w:num w:numId="17">
    <w:abstractNumId w:val="6"/>
  </w:num>
  <w:num w:numId="18">
    <w:abstractNumId w:val="7"/>
  </w:num>
  <w:num w:numId="19">
    <w:abstractNumId w:val="19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474F"/>
    <w:rsid w:val="00075DB6"/>
    <w:rsid w:val="000A4CEC"/>
    <w:rsid w:val="000C15D4"/>
    <w:rsid w:val="001268F8"/>
    <w:rsid w:val="00133FFF"/>
    <w:rsid w:val="001618CA"/>
    <w:rsid w:val="002056A5"/>
    <w:rsid w:val="00233A44"/>
    <w:rsid w:val="00280020"/>
    <w:rsid w:val="002B00CE"/>
    <w:rsid w:val="002E646B"/>
    <w:rsid w:val="003D07F5"/>
    <w:rsid w:val="003D0C63"/>
    <w:rsid w:val="003F14D1"/>
    <w:rsid w:val="00466F89"/>
    <w:rsid w:val="0049403B"/>
    <w:rsid w:val="004B362A"/>
    <w:rsid w:val="00507D61"/>
    <w:rsid w:val="005554EB"/>
    <w:rsid w:val="00563618"/>
    <w:rsid w:val="0057442B"/>
    <w:rsid w:val="00620E93"/>
    <w:rsid w:val="006E69AF"/>
    <w:rsid w:val="00700B8B"/>
    <w:rsid w:val="00704E17"/>
    <w:rsid w:val="00752C4A"/>
    <w:rsid w:val="007747A2"/>
    <w:rsid w:val="007825F9"/>
    <w:rsid w:val="007A3C90"/>
    <w:rsid w:val="007D74DF"/>
    <w:rsid w:val="00800AEE"/>
    <w:rsid w:val="00844DCA"/>
    <w:rsid w:val="00847E81"/>
    <w:rsid w:val="0085535F"/>
    <w:rsid w:val="00876B33"/>
    <w:rsid w:val="00893229"/>
    <w:rsid w:val="009730F3"/>
    <w:rsid w:val="009A23BC"/>
    <w:rsid w:val="00B0772C"/>
    <w:rsid w:val="00B753B4"/>
    <w:rsid w:val="00BF7ABB"/>
    <w:rsid w:val="00C02253"/>
    <w:rsid w:val="00C049BD"/>
    <w:rsid w:val="00C61B6F"/>
    <w:rsid w:val="00C7079A"/>
    <w:rsid w:val="00C75734"/>
    <w:rsid w:val="00CF042D"/>
    <w:rsid w:val="00D61A67"/>
    <w:rsid w:val="00DC2F46"/>
    <w:rsid w:val="00DC662D"/>
    <w:rsid w:val="00DF0AE4"/>
    <w:rsid w:val="00DF79E3"/>
    <w:rsid w:val="00E26442"/>
    <w:rsid w:val="00E665AC"/>
    <w:rsid w:val="00E726FB"/>
    <w:rsid w:val="00E761CE"/>
    <w:rsid w:val="00F25FBD"/>
    <w:rsid w:val="00F5348A"/>
    <w:rsid w:val="00F54A67"/>
    <w:rsid w:val="00FC56C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A6A9-C8EF-4FF8-97DF-3807BCB5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1380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8956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17</cp:revision>
  <cp:lastPrinted>2012-09-11T17:45:00Z</cp:lastPrinted>
  <dcterms:created xsi:type="dcterms:W3CDTF">2012-09-11T17:45:00Z</dcterms:created>
  <dcterms:modified xsi:type="dcterms:W3CDTF">2012-11-29T17:15:00Z</dcterms:modified>
</cp:coreProperties>
</file>