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A0B" w:rsidRPr="006560EB" w:rsidRDefault="00981B26" w:rsidP="006560EB">
      <w:pPr>
        <w:jc w:val="left"/>
        <w:rPr>
          <w:b/>
          <w:sz w:val="20"/>
          <w:szCs w:val="20"/>
        </w:rPr>
      </w:pPr>
      <w:bookmarkStart w:id="0" w:name="_GoBack"/>
      <w:bookmarkEnd w:id="0"/>
      <w:r>
        <w:rPr>
          <w:noProof/>
          <w:bdr w:val="single" w:sz="4" w:space="0" w:color="auto"/>
          <w:lang w:eastAsia="zh-CN"/>
        </w:rPr>
        <w:pict>
          <v:group id="_x0000_s1026" style="position:absolute;margin-left:-15.55pt;margin-top:3.8pt;width:148.5pt;height:59.25pt;z-index:1" coordorigin="1155,1170" coordsize="2970,1185">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27" type="#_x0000_t11" style="position:absolute;left:1276;top:1315;width:2625;height:885"/>
            <v:shapetype id="_x0000_t202" coordsize="21600,21600" o:spt="202" path="m,l,21600r21600,l21600,xe">
              <v:stroke joinstyle="miter"/>
              <v:path gradientshapeok="t" o:connecttype="rect"/>
            </v:shapetype>
            <v:shape id="_x0000_s1028" type="#_x0000_t202" style="position:absolute;left:1666;top:1435;width:2070;height:525" filled="f" stroked="f">
              <v:textbox style="mso-next-textbox:#_x0000_s1028">
                <w:txbxContent>
                  <w:p w:rsidR="00554A0B" w:rsidRDefault="006560EB" w:rsidP="006560EB">
                    <w:pPr>
                      <w:rPr>
                        <w:b/>
                        <w:bCs/>
                        <w:sz w:val="40"/>
                      </w:rPr>
                    </w:pPr>
                    <w:r>
                      <w:rPr>
                        <w:b/>
                        <w:bCs/>
                        <w:sz w:val="40"/>
                      </w:rPr>
                      <w:t xml:space="preserve">   </w:t>
                    </w:r>
                    <w:r w:rsidR="00554A0B">
                      <w:rPr>
                        <w:b/>
                        <w:bCs/>
                        <w:sz w:val="40"/>
                      </w:rPr>
                      <w:t>DCG</w:t>
                    </w:r>
                  </w:p>
                  <w:p w:rsidR="006560EB" w:rsidRDefault="006560EB">
                    <w:pPr>
                      <w:jc w:val="center"/>
                    </w:pPr>
                  </w:p>
                </w:txbxContent>
              </v:textbox>
            </v:shape>
            <v:shape id="_x0000_s1029" type="#_x0000_t202" style="position:absolute;left:1155;top:1170;width:510;height:525" filled="f" stroked="f">
              <v:textbox style="mso-next-textbox:#_x0000_s1029">
                <w:txbxContent>
                  <w:p w:rsidR="00554A0B" w:rsidRDefault="00554A0B">
                    <w:pPr>
                      <w:rPr>
                        <w:sz w:val="32"/>
                      </w:rPr>
                    </w:pPr>
                    <w:r>
                      <w:rPr>
                        <w:sz w:val="32"/>
                      </w:rPr>
                      <w:t>●</w:t>
                    </w:r>
                  </w:p>
                </w:txbxContent>
              </v:textbox>
            </v:shape>
            <v:shape id="_x0000_s1030" type="#_x0000_t202" style="position:absolute;left:3600;top:1170;width:525;height:555" filled="f" stroked="f">
              <v:textbox style="mso-next-textbox:#_x0000_s1030">
                <w:txbxContent>
                  <w:p w:rsidR="00554A0B" w:rsidRDefault="00554A0B">
                    <w:pPr>
                      <w:rPr>
                        <w:sz w:val="32"/>
                      </w:rPr>
                    </w:pPr>
                    <w:r>
                      <w:rPr>
                        <w:sz w:val="32"/>
                      </w:rPr>
                      <w:t>●</w:t>
                    </w:r>
                  </w:p>
                </w:txbxContent>
              </v:textbox>
            </v:shape>
            <v:shape id="_x0000_s1031" type="#_x0000_t202" style="position:absolute;left:3600;top:1830;width:480;height:510" filled="f" stroked="f">
              <v:textbox style="mso-next-textbox:#_x0000_s1031">
                <w:txbxContent>
                  <w:p w:rsidR="00554A0B" w:rsidRDefault="00554A0B">
                    <w:pPr>
                      <w:rPr>
                        <w:sz w:val="32"/>
                      </w:rPr>
                    </w:pPr>
                    <w:r>
                      <w:rPr>
                        <w:sz w:val="32"/>
                      </w:rPr>
                      <w:t>●</w:t>
                    </w:r>
                  </w:p>
                </w:txbxContent>
              </v:textbox>
            </v:shape>
            <v:shape id="_x0000_s1032" type="#_x0000_t202" style="position:absolute;left:1170;top:1845;width:495;height:510" filled="f" stroked="f">
              <v:textbox style="mso-next-textbox:#_x0000_s1032">
                <w:txbxContent>
                  <w:p w:rsidR="00554A0B" w:rsidRDefault="00554A0B">
                    <w:pPr>
                      <w:rPr>
                        <w:sz w:val="32"/>
                      </w:rPr>
                    </w:pPr>
                    <w:r>
                      <w:rPr>
                        <w:sz w:val="32"/>
                      </w:rPr>
                      <w:t>●</w:t>
                    </w:r>
                  </w:p>
                </w:txbxContent>
              </v:textbox>
            </v:shape>
            <w10:wrap anchorx="page"/>
          </v:group>
        </w:pict>
      </w:r>
      <w:r w:rsidR="006560EB">
        <w:rPr>
          <w:sz w:val="20"/>
          <w:szCs w:val="20"/>
        </w:rPr>
        <w:t xml:space="preserve">                </w:t>
      </w:r>
      <w:r w:rsidR="006560EB" w:rsidRPr="006560EB">
        <w:rPr>
          <w:b/>
          <w:sz w:val="20"/>
          <w:szCs w:val="20"/>
        </w:rPr>
        <w:t>1110011</w:t>
      </w:r>
    </w:p>
    <w:p w:rsidR="00554A0B" w:rsidRDefault="00554A0B">
      <w:pPr>
        <w:pStyle w:val="Titre1"/>
      </w:pPr>
    </w:p>
    <w:p w:rsidR="00554A0B" w:rsidRDefault="00554A0B">
      <w:pPr>
        <w:pStyle w:val="Titre1"/>
      </w:pPr>
    </w:p>
    <w:p w:rsidR="00554A0B" w:rsidRDefault="006560EB">
      <w:pPr>
        <w:jc w:val="center"/>
        <w:rPr>
          <w:sz w:val="28"/>
          <w:szCs w:val="28"/>
        </w:rPr>
      </w:pPr>
      <w:r>
        <w:rPr>
          <w:sz w:val="28"/>
          <w:szCs w:val="28"/>
        </w:rPr>
        <w:t xml:space="preserve"> </w:t>
      </w:r>
    </w:p>
    <w:p w:rsidR="00554A0B" w:rsidRDefault="00554A0B">
      <w:pPr>
        <w:pStyle w:val="Titre1"/>
        <w:rPr>
          <w:sz w:val="48"/>
          <w:szCs w:val="48"/>
        </w:rPr>
      </w:pPr>
    </w:p>
    <w:p w:rsidR="00554A0B" w:rsidRDefault="00554A0B">
      <w:pPr>
        <w:pStyle w:val="Titre"/>
        <w:rPr>
          <w:b/>
          <w:bCs/>
          <w:caps/>
          <w:sz w:val="24"/>
        </w:rPr>
      </w:pPr>
      <w:r>
        <w:rPr>
          <w:b/>
          <w:bCs/>
          <w:caps/>
          <w:sz w:val="24"/>
        </w:rPr>
        <w:t xml:space="preserve">SESSION </w:t>
      </w:r>
      <w:r w:rsidR="00831BC7">
        <w:rPr>
          <w:b/>
          <w:bCs/>
          <w:caps/>
          <w:sz w:val="24"/>
        </w:rPr>
        <w:t>2011</w:t>
      </w:r>
    </w:p>
    <w:p w:rsidR="00554A0B" w:rsidRDefault="00554A0B">
      <w:pPr>
        <w:jc w:val="center"/>
        <w:rPr>
          <w:sz w:val="22"/>
        </w:rPr>
      </w:pPr>
    </w:p>
    <w:p w:rsidR="00554A0B" w:rsidRDefault="00554A0B">
      <w:pPr>
        <w:spacing w:line="259" w:lineRule="auto"/>
        <w:jc w:val="center"/>
        <w:rPr>
          <w:b/>
          <w:sz w:val="22"/>
        </w:rPr>
      </w:pPr>
    </w:p>
    <w:p w:rsidR="00554A0B" w:rsidRDefault="00554A0B" w:rsidP="00501B15">
      <w:pPr>
        <w:pStyle w:val="Titre3"/>
      </w:pPr>
      <w:r>
        <w:t>UE11 - CONTRÔLE DE GESTION</w:t>
      </w:r>
    </w:p>
    <w:p w:rsidR="00554A0B" w:rsidRDefault="00554A0B">
      <w:pPr>
        <w:pBdr>
          <w:bottom w:val="single" w:sz="6" w:space="1" w:color="auto"/>
        </w:pBdr>
        <w:tabs>
          <w:tab w:val="left" w:pos="8340"/>
        </w:tabs>
        <w:spacing w:before="60"/>
        <w:jc w:val="center"/>
        <w:rPr>
          <w:sz w:val="22"/>
        </w:rPr>
      </w:pPr>
    </w:p>
    <w:p w:rsidR="00554A0B" w:rsidRDefault="00554A0B">
      <w:pPr>
        <w:pBdr>
          <w:bottom w:val="single" w:sz="6" w:space="1" w:color="auto"/>
        </w:pBdr>
        <w:tabs>
          <w:tab w:val="left" w:pos="8340"/>
        </w:tabs>
        <w:spacing w:before="60"/>
        <w:jc w:val="center"/>
        <w:rPr>
          <w:sz w:val="22"/>
        </w:rPr>
      </w:pPr>
      <w:r>
        <w:rPr>
          <w:sz w:val="22"/>
        </w:rPr>
        <w:t>Durée de l’épreuve : 4 heures     -     coefficient : 1,5</w:t>
      </w:r>
    </w:p>
    <w:p w:rsidR="00554A0B" w:rsidRDefault="00554A0B">
      <w:pPr>
        <w:pStyle w:val="Titre"/>
        <w:ind w:firstLine="284"/>
        <w:jc w:val="both"/>
        <w:rPr>
          <w:b/>
          <w:bCs/>
          <w:sz w:val="10"/>
          <w:szCs w:val="10"/>
        </w:rPr>
      </w:pPr>
    </w:p>
    <w:p w:rsidR="00D77362" w:rsidRDefault="00D77362">
      <w:pPr>
        <w:pStyle w:val="Titre"/>
        <w:jc w:val="both"/>
        <w:rPr>
          <w:sz w:val="22"/>
          <w:szCs w:val="22"/>
        </w:rPr>
      </w:pPr>
    </w:p>
    <w:p w:rsidR="00554A0B" w:rsidRDefault="00554A0B">
      <w:pPr>
        <w:pStyle w:val="Titre"/>
        <w:jc w:val="both"/>
        <w:rPr>
          <w:sz w:val="22"/>
          <w:szCs w:val="22"/>
        </w:rPr>
      </w:pPr>
      <w:r>
        <w:rPr>
          <w:sz w:val="22"/>
          <w:szCs w:val="22"/>
        </w:rPr>
        <w:t>Matériel autorisé :</w:t>
      </w:r>
    </w:p>
    <w:p w:rsidR="00554A0B" w:rsidRDefault="00554A0B">
      <w:pPr>
        <w:pStyle w:val="Titre"/>
        <w:jc w:val="both"/>
        <w:rPr>
          <w:b/>
          <w:bCs/>
          <w:sz w:val="22"/>
          <w:szCs w:val="22"/>
        </w:rPr>
      </w:pPr>
      <w:r>
        <w:rPr>
          <w:sz w:val="22"/>
          <w:szCs w:val="22"/>
        </w:rPr>
        <w:t>Une calculatrice de poche</w:t>
      </w:r>
      <w:r>
        <w:rPr>
          <w:b/>
          <w:bCs/>
          <w:sz w:val="22"/>
          <w:szCs w:val="22"/>
        </w:rPr>
        <w:t xml:space="preserve"> à fonctionnement autonome sans imprimante et sans aucun moyen de transmission, à l’exclusion de tout autre élément matériel ou documentaire (circulaire n° 99-186 du 16/11/99 ; BOEN n° 42).</w:t>
      </w:r>
    </w:p>
    <w:p w:rsidR="00554A0B" w:rsidRDefault="00554A0B">
      <w:pPr>
        <w:pStyle w:val="Titre"/>
        <w:jc w:val="both"/>
        <w:rPr>
          <w:b/>
          <w:bCs/>
          <w:sz w:val="10"/>
          <w:szCs w:val="10"/>
        </w:rPr>
      </w:pPr>
    </w:p>
    <w:p w:rsidR="00554A0B" w:rsidRDefault="00554A0B">
      <w:pPr>
        <w:pStyle w:val="Titre"/>
        <w:jc w:val="both"/>
        <w:rPr>
          <w:sz w:val="22"/>
          <w:szCs w:val="22"/>
        </w:rPr>
      </w:pPr>
      <w:r>
        <w:rPr>
          <w:sz w:val="22"/>
          <w:szCs w:val="22"/>
        </w:rPr>
        <w:t>Document remis au candidat :</w:t>
      </w:r>
    </w:p>
    <w:p w:rsidR="00554A0B" w:rsidRDefault="00554A0B">
      <w:pPr>
        <w:pStyle w:val="Titre"/>
        <w:jc w:val="both"/>
        <w:rPr>
          <w:b/>
          <w:bCs/>
          <w:sz w:val="22"/>
          <w:szCs w:val="22"/>
        </w:rPr>
      </w:pPr>
      <w:r>
        <w:rPr>
          <w:b/>
          <w:bCs/>
          <w:sz w:val="22"/>
          <w:szCs w:val="22"/>
        </w:rPr>
        <w:t>Le sujet comporte 7 pages numérotées de 1</w:t>
      </w:r>
      <w:r w:rsidR="00A02EE1">
        <w:rPr>
          <w:b/>
          <w:bCs/>
          <w:sz w:val="22"/>
          <w:szCs w:val="22"/>
        </w:rPr>
        <w:t>/7</w:t>
      </w:r>
      <w:r>
        <w:rPr>
          <w:b/>
          <w:bCs/>
          <w:sz w:val="22"/>
          <w:szCs w:val="22"/>
        </w:rPr>
        <w:t xml:space="preserve"> à 7</w:t>
      </w:r>
      <w:r w:rsidR="00A02EE1">
        <w:rPr>
          <w:b/>
          <w:bCs/>
          <w:sz w:val="22"/>
          <w:szCs w:val="22"/>
        </w:rPr>
        <w:t>/7</w:t>
      </w:r>
      <w:r>
        <w:rPr>
          <w:b/>
          <w:bCs/>
          <w:sz w:val="22"/>
          <w:szCs w:val="22"/>
        </w:rPr>
        <w:t>.</w:t>
      </w:r>
    </w:p>
    <w:p w:rsidR="00554A0B" w:rsidRDefault="00554A0B">
      <w:pPr>
        <w:pStyle w:val="Titre"/>
        <w:jc w:val="both"/>
        <w:rPr>
          <w:b/>
          <w:bCs/>
          <w:sz w:val="10"/>
          <w:szCs w:val="10"/>
        </w:rPr>
      </w:pPr>
    </w:p>
    <w:p w:rsidR="00554A0B" w:rsidRDefault="00554A0B">
      <w:pPr>
        <w:pStyle w:val="Titre"/>
        <w:pBdr>
          <w:bottom w:val="single" w:sz="4" w:space="1" w:color="auto"/>
        </w:pBdr>
        <w:jc w:val="both"/>
        <w:rPr>
          <w:sz w:val="22"/>
          <w:szCs w:val="22"/>
        </w:rPr>
      </w:pPr>
      <w:r>
        <w:rPr>
          <w:sz w:val="22"/>
          <w:szCs w:val="22"/>
        </w:rPr>
        <w:t>Il vous est demandé de vérifier que le sujet est complet dès sa mise à votre disposition.</w:t>
      </w:r>
    </w:p>
    <w:p w:rsidR="000725F9" w:rsidRDefault="000725F9">
      <w:pPr>
        <w:pStyle w:val="Titre"/>
        <w:pBdr>
          <w:bottom w:val="single" w:sz="4" w:space="1" w:color="auto"/>
        </w:pBdr>
        <w:jc w:val="both"/>
        <w:rPr>
          <w:sz w:val="22"/>
          <w:szCs w:val="22"/>
        </w:rPr>
      </w:pPr>
    </w:p>
    <w:p w:rsidR="00554A0B" w:rsidRDefault="00554A0B">
      <w:pPr>
        <w:pStyle w:val="Sous-titre"/>
        <w:spacing w:before="0"/>
        <w:rPr>
          <w:rFonts w:ascii="Times New Roman" w:hAnsi="Times New Roman" w:cs="Times New Roman"/>
          <w:i/>
          <w:iCs/>
          <w:spacing w:val="0"/>
        </w:rPr>
      </w:pPr>
      <w:r w:rsidRPr="000725F9">
        <w:rPr>
          <w:rFonts w:ascii="Times New Roman" w:hAnsi="Times New Roman" w:cs="Times New Roman"/>
          <w:i/>
          <w:iCs/>
          <w:spacing w:val="0"/>
        </w:rPr>
        <w:t>Le sujet se présente sous la forme de 4 dossiers indépendants</w:t>
      </w:r>
    </w:p>
    <w:p w:rsidR="000725F9" w:rsidRPr="000725F9" w:rsidRDefault="000725F9">
      <w:pPr>
        <w:pStyle w:val="Sous-titre"/>
        <w:spacing w:before="0"/>
        <w:rPr>
          <w:rFonts w:ascii="Times New Roman" w:hAnsi="Times New Roman" w:cs="Times New Roman"/>
          <w:i/>
          <w:iCs/>
          <w:spacing w:val="0"/>
        </w:rPr>
      </w:pPr>
    </w:p>
    <w:p w:rsidR="00554A0B" w:rsidRPr="000725F9" w:rsidRDefault="00554A0B">
      <w:pPr>
        <w:shd w:val="clear" w:color="auto" w:fill="FFFFFF"/>
        <w:tabs>
          <w:tab w:val="left" w:pos="9308"/>
        </w:tabs>
        <w:ind w:left="29"/>
        <w:rPr>
          <w:bCs/>
          <w:color w:val="000000"/>
          <w:sz w:val="22"/>
        </w:rPr>
      </w:pPr>
      <w:r w:rsidRPr="000725F9">
        <w:rPr>
          <w:b/>
          <w:bCs/>
          <w:color w:val="000000"/>
          <w:sz w:val="22"/>
        </w:rPr>
        <w:t>Page de garde……………………………………………………………………………………………</w:t>
      </w:r>
      <w:r w:rsidR="00D31415">
        <w:rPr>
          <w:b/>
          <w:bCs/>
          <w:color w:val="000000"/>
          <w:sz w:val="22"/>
        </w:rPr>
        <w:t>..</w:t>
      </w:r>
      <w:r w:rsidRPr="000725F9">
        <w:rPr>
          <w:bCs/>
          <w:color w:val="000000"/>
          <w:sz w:val="22"/>
        </w:rPr>
        <w:t>page 1</w:t>
      </w:r>
    </w:p>
    <w:p w:rsidR="00554A0B" w:rsidRPr="000725F9" w:rsidRDefault="00554A0B">
      <w:pPr>
        <w:shd w:val="clear" w:color="auto" w:fill="FFFFFF"/>
        <w:tabs>
          <w:tab w:val="left" w:pos="9308"/>
        </w:tabs>
        <w:ind w:left="29"/>
        <w:rPr>
          <w:b/>
          <w:bCs/>
          <w:color w:val="000000"/>
          <w:sz w:val="22"/>
        </w:rPr>
      </w:pPr>
      <w:r w:rsidRPr="000725F9">
        <w:rPr>
          <w:b/>
          <w:bCs/>
          <w:color w:val="000000"/>
          <w:sz w:val="22"/>
        </w:rPr>
        <w:t>Présentation du sujet...............................................................................................................................</w:t>
      </w:r>
      <w:r w:rsidR="006232CF" w:rsidRPr="000725F9">
        <w:rPr>
          <w:b/>
          <w:bCs/>
          <w:color w:val="000000"/>
          <w:sz w:val="22"/>
        </w:rPr>
        <w:t>...</w:t>
      </w:r>
      <w:r w:rsidRPr="000725F9">
        <w:rPr>
          <w:bCs/>
          <w:color w:val="000000"/>
          <w:sz w:val="22"/>
        </w:rPr>
        <w:t>page 2</w:t>
      </w:r>
    </w:p>
    <w:p w:rsidR="00554A0B" w:rsidRPr="000725F9" w:rsidRDefault="00554A0B">
      <w:pPr>
        <w:shd w:val="clear" w:color="auto" w:fill="FFFFFF"/>
        <w:tabs>
          <w:tab w:val="left" w:pos="5387"/>
          <w:tab w:val="left" w:pos="9310"/>
          <w:tab w:val="left" w:pos="9356"/>
          <w:tab w:val="left" w:pos="9923"/>
        </w:tabs>
        <w:ind w:left="32"/>
        <w:rPr>
          <w:b/>
          <w:bCs/>
          <w:color w:val="000000"/>
          <w:sz w:val="22"/>
        </w:rPr>
      </w:pPr>
      <w:r w:rsidRPr="000725F9">
        <w:rPr>
          <w:b/>
          <w:bCs/>
          <w:color w:val="000000"/>
          <w:sz w:val="22"/>
        </w:rPr>
        <w:t xml:space="preserve">DOSSIER 1 </w:t>
      </w:r>
      <w:r w:rsidR="006560EB" w:rsidRPr="000725F9">
        <w:rPr>
          <w:b/>
          <w:bCs/>
          <w:color w:val="000000"/>
          <w:sz w:val="22"/>
        </w:rPr>
        <w:t>-</w:t>
      </w:r>
      <w:r w:rsidRPr="000725F9">
        <w:rPr>
          <w:b/>
          <w:bCs/>
          <w:color w:val="000000"/>
          <w:sz w:val="22"/>
        </w:rPr>
        <w:t xml:space="preserve"> </w:t>
      </w:r>
      <w:r w:rsidRPr="000725F9">
        <w:rPr>
          <w:b/>
          <w:color w:val="000000"/>
          <w:sz w:val="22"/>
        </w:rPr>
        <w:t>Budgétisation et contrôle budgétaire</w:t>
      </w:r>
      <w:r w:rsidRPr="000725F9">
        <w:rPr>
          <w:color w:val="000000"/>
          <w:sz w:val="22"/>
        </w:rPr>
        <w:t>……</w:t>
      </w:r>
      <w:r w:rsidR="002B1A22" w:rsidRPr="000725F9">
        <w:rPr>
          <w:color w:val="000000"/>
          <w:sz w:val="22"/>
        </w:rPr>
        <w:t xml:space="preserve"> </w:t>
      </w:r>
      <w:r w:rsidR="00FC72BE" w:rsidRPr="000725F9">
        <w:rPr>
          <w:color w:val="000000"/>
          <w:sz w:val="22"/>
        </w:rPr>
        <w:t>(9</w:t>
      </w:r>
      <w:r w:rsidRPr="000725F9">
        <w:rPr>
          <w:color w:val="000000"/>
          <w:sz w:val="22"/>
        </w:rPr>
        <w:t xml:space="preserve"> points)………....…………………………page 2</w:t>
      </w:r>
      <w:r w:rsidR="00D31415">
        <w:rPr>
          <w:color w:val="000000"/>
          <w:sz w:val="22"/>
        </w:rPr>
        <w:t xml:space="preserve"> et 3</w:t>
      </w:r>
    </w:p>
    <w:p w:rsidR="00554A0B" w:rsidRPr="000725F9" w:rsidRDefault="00554A0B">
      <w:pPr>
        <w:shd w:val="clear" w:color="auto" w:fill="FFFFFF"/>
        <w:tabs>
          <w:tab w:val="left" w:pos="5387"/>
          <w:tab w:val="left" w:pos="9310"/>
          <w:tab w:val="left" w:pos="9356"/>
          <w:tab w:val="left" w:pos="9923"/>
        </w:tabs>
        <w:ind w:left="32"/>
        <w:rPr>
          <w:b/>
          <w:bCs/>
          <w:color w:val="000000"/>
          <w:sz w:val="22"/>
        </w:rPr>
      </w:pPr>
      <w:r w:rsidRPr="000725F9">
        <w:rPr>
          <w:b/>
          <w:bCs/>
          <w:color w:val="000000"/>
          <w:sz w:val="22"/>
        </w:rPr>
        <w:t xml:space="preserve">DOSSIER 2 </w:t>
      </w:r>
      <w:r w:rsidR="006560EB" w:rsidRPr="000725F9">
        <w:rPr>
          <w:b/>
          <w:bCs/>
          <w:color w:val="000000"/>
          <w:sz w:val="22"/>
        </w:rPr>
        <w:t>-</w:t>
      </w:r>
      <w:r w:rsidRPr="000725F9">
        <w:rPr>
          <w:b/>
          <w:bCs/>
          <w:color w:val="000000"/>
          <w:sz w:val="22"/>
        </w:rPr>
        <w:t xml:space="preserve"> Investissement et ordonnancement</w:t>
      </w:r>
      <w:r w:rsidRPr="000725F9">
        <w:rPr>
          <w:bCs/>
          <w:color w:val="000000"/>
          <w:sz w:val="22"/>
        </w:rPr>
        <w:t>……</w:t>
      </w:r>
      <w:r w:rsidR="006232CF" w:rsidRPr="000725F9">
        <w:rPr>
          <w:bCs/>
          <w:color w:val="000000"/>
          <w:sz w:val="22"/>
        </w:rPr>
        <w:t>.</w:t>
      </w:r>
      <w:r w:rsidRPr="000725F9">
        <w:rPr>
          <w:bCs/>
          <w:color w:val="000000"/>
          <w:sz w:val="22"/>
        </w:rPr>
        <w:t>..</w:t>
      </w:r>
      <w:r w:rsidR="002B1A22" w:rsidRPr="000725F9">
        <w:rPr>
          <w:bCs/>
          <w:color w:val="000000"/>
          <w:sz w:val="22"/>
        </w:rPr>
        <w:t xml:space="preserve"> </w:t>
      </w:r>
      <w:r w:rsidRPr="000725F9">
        <w:rPr>
          <w:bCs/>
          <w:color w:val="000000"/>
          <w:sz w:val="22"/>
        </w:rPr>
        <w:t>(4 points)</w:t>
      </w:r>
      <w:r w:rsidRPr="000725F9">
        <w:rPr>
          <w:color w:val="000000"/>
          <w:sz w:val="22"/>
        </w:rPr>
        <w:t>.................………………………</w:t>
      </w:r>
      <w:r w:rsidR="00D31415">
        <w:rPr>
          <w:color w:val="000000"/>
          <w:sz w:val="22"/>
        </w:rPr>
        <w:t>...</w:t>
      </w:r>
      <w:r w:rsidRPr="000725F9">
        <w:rPr>
          <w:color w:val="000000"/>
          <w:sz w:val="22"/>
        </w:rPr>
        <w:t>page</w:t>
      </w:r>
      <w:r w:rsidR="00FC72BE" w:rsidRPr="000725F9">
        <w:rPr>
          <w:color w:val="000000"/>
          <w:sz w:val="22"/>
        </w:rPr>
        <w:t xml:space="preserve"> </w:t>
      </w:r>
      <w:r w:rsidRPr="000725F9">
        <w:rPr>
          <w:bCs/>
          <w:color w:val="000000"/>
          <w:sz w:val="22"/>
        </w:rPr>
        <w:t>3</w:t>
      </w:r>
    </w:p>
    <w:p w:rsidR="00554A0B" w:rsidRPr="000725F9" w:rsidRDefault="00554A0B">
      <w:pPr>
        <w:shd w:val="clear" w:color="auto" w:fill="FFFFFF"/>
        <w:tabs>
          <w:tab w:val="left" w:pos="5387"/>
          <w:tab w:val="left" w:pos="9310"/>
          <w:tab w:val="left" w:pos="9356"/>
          <w:tab w:val="left" w:pos="9923"/>
        </w:tabs>
        <w:ind w:left="32"/>
        <w:rPr>
          <w:b/>
          <w:bCs/>
          <w:color w:val="000000"/>
          <w:sz w:val="22"/>
        </w:rPr>
      </w:pPr>
      <w:r w:rsidRPr="000725F9">
        <w:rPr>
          <w:b/>
          <w:bCs/>
          <w:color w:val="000000"/>
          <w:sz w:val="22"/>
        </w:rPr>
        <w:t xml:space="preserve">DOSSIER 3 </w:t>
      </w:r>
      <w:r w:rsidR="006560EB" w:rsidRPr="000725F9">
        <w:rPr>
          <w:b/>
          <w:bCs/>
          <w:color w:val="000000"/>
          <w:sz w:val="22"/>
        </w:rPr>
        <w:t>-</w:t>
      </w:r>
      <w:r w:rsidRPr="000725F9">
        <w:rPr>
          <w:b/>
          <w:bCs/>
          <w:color w:val="000000"/>
          <w:sz w:val="22"/>
        </w:rPr>
        <w:t xml:space="preserve"> Gestion de la masse salariale</w:t>
      </w:r>
      <w:r w:rsidRPr="000725F9">
        <w:rPr>
          <w:bCs/>
          <w:color w:val="000000"/>
          <w:sz w:val="22"/>
        </w:rPr>
        <w:t>…………</w:t>
      </w:r>
      <w:r w:rsidR="006232CF" w:rsidRPr="000725F9">
        <w:rPr>
          <w:bCs/>
          <w:color w:val="000000"/>
          <w:sz w:val="22"/>
        </w:rPr>
        <w:t>…</w:t>
      </w:r>
      <w:r w:rsidRPr="000725F9">
        <w:rPr>
          <w:bCs/>
          <w:color w:val="000000"/>
          <w:sz w:val="22"/>
        </w:rPr>
        <w:t>.</w:t>
      </w:r>
      <w:r w:rsidRPr="000725F9">
        <w:rPr>
          <w:color w:val="000000"/>
          <w:sz w:val="22"/>
        </w:rPr>
        <w:t xml:space="preserve">.(4 </w:t>
      </w:r>
      <w:r w:rsidR="00D31415">
        <w:rPr>
          <w:color w:val="000000"/>
          <w:sz w:val="22"/>
        </w:rPr>
        <w:t>points)…...……………………………</w:t>
      </w:r>
      <w:r w:rsidR="00E569EE">
        <w:rPr>
          <w:color w:val="000000"/>
          <w:sz w:val="22"/>
        </w:rPr>
        <w:t>…</w:t>
      </w:r>
      <w:r w:rsidR="00D31415">
        <w:rPr>
          <w:color w:val="000000"/>
          <w:sz w:val="22"/>
        </w:rPr>
        <w:t>.</w:t>
      </w:r>
      <w:r w:rsidRPr="000725F9">
        <w:rPr>
          <w:color w:val="000000"/>
          <w:sz w:val="22"/>
        </w:rPr>
        <w:t>page</w:t>
      </w:r>
      <w:r w:rsidR="00FC72BE" w:rsidRPr="000725F9">
        <w:rPr>
          <w:color w:val="000000"/>
          <w:sz w:val="22"/>
        </w:rPr>
        <w:t xml:space="preserve"> </w:t>
      </w:r>
      <w:r w:rsidRPr="000725F9">
        <w:rPr>
          <w:bCs/>
          <w:color w:val="000000"/>
          <w:sz w:val="22"/>
        </w:rPr>
        <w:t>4</w:t>
      </w:r>
    </w:p>
    <w:p w:rsidR="00554A0B" w:rsidRDefault="00554A0B" w:rsidP="00501B15">
      <w:pPr>
        <w:shd w:val="clear" w:color="auto" w:fill="FFFFFF"/>
        <w:tabs>
          <w:tab w:val="left" w:pos="5387"/>
          <w:tab w:val="left" w:pos="9310"/>
          <w:tab w:val="left" w:pos="9356"/>
          <w:tab w:val="left" w:pos="9923"/>
        </w:tabs>
        <w:ind w:left="32"/>
        <w:rPr>
          <w:bCs/>
          <w:color w:val="000000"/>
          <w:sz w:val="22"/>
        </w:rPr>
      </w:pPr>
      <w:r w:rsidRPr="000725F9">
        <w:rPr>
          <w:b/>
          <w:bCs/>
          <w:color w:val="000000"/>
          <w:sz w:val="22"/>
        </w:rPr>
        <w:t xml:space="preserve">DOSSIER 4 </w:t>
      </w:r>
      <w:r w:rsidR="006560EB" w:rsidRPr="000725F9">
        <w:rPr>
          <w:b/>
          <w:bCs/>
          <w:color w:val="000000"/>
          <w:sz w:val="22"/>
        </w:rPr>
        <w:t>-</w:t>
      </w:r>
      <w:r w:rsidRPr="000725F9">
        <w:rPr>
          <w:b/>
          <w:bCs/>
          <w:color w:val="000000"/>
          <w:sz w:val="22"/>
        </w:rPr>
        <w:t xml:space="preserve"> </w:t>
      </w:r>
      <w:r w:rsidR="00FC72BE" w:rsidRPr="000725F9">
        <w:rPr>
          <w:b/>
          <w:color w:val="000000"/>
          <w:sz w:val="22"/>
        </w:rPr>
        <w:t>Gestion de stocks</w:t>
      </w:r>
      <w:r w:rsidR="00FC72BE" w:rsidRPr="000725F9">
        <w:rPr>
          <w:color w:val="000000"/>
          <w:sz w:val="22"/>
        </w:rPr>
        <w:t>………………………</w:t>
      </w:r>
      <w:r w:rsidR="006232CF" w:rsidRPr="000725F9">
        <w:rPr>
          <w:color w:val="000000"/>
          <w:sz w:val="22"/>
        </w:rPr>
        <w:t>..</w:t>
      </w:r>
      <w:r w:rsidR="00FC72BE" w:rsidRPr="000725F9">
        <w:rPr>
          <w:color w:val="000000"/>
          <w:sz w:val="22"/>
        </w:rPr>
        <w:t>.</w:t>
      </w:r>
      <w:r w:rsidR="006232CF" w:rsidRPr="000725F9">
        <w:rPr>
          <w:color w:val="000000"/>
          <w:sz w:val="22"/>
        </w:rPr>
        <w:t>..</w:t>
      </w:r>
      <w:r w:rsidR="00FC72BE" w:rsidRPr="000725F9">
        <w:rPr>
          <w:color w:val="000000"/>
          <w:sz w:val="22"/>
        </w:rPr>
        <w:t>(3</w:t>
      </w:r>
      <w:r w:rsidRPr="000725F9">
        <w:rPr>
          <w:color w:val="000000"/>
          <w:sz w:val="22"/>
        </w:rPr>
        <w:t xml:space="preserve"> points)……………………………………page</w:t>
      </w:r>
      <w:r w:rsidR="00FC72BE" w:rsidRPr="000725F9">
        <w:rPr>
          <w:color w:val="000000"/>
          <w:sz w:val="22"/>
        </w:rPr>
        <w:t xml:space="preserve"> </w:t>
      </w:r>
      <w:r w:rsidRPr="000725F9">
        <w:rPr>
          <w:bCs/>
          <w:color w:val="000000"/>
          <w:sz w:val="22"/>
        </w:rPr>
        <w:t>4</w:t>
      </w:r>
    </w:p>
    <w:p w:rsidR="00D32247" w:rsidRPr="000725F9" w:rsidRDefault="00D32247" w:rsidP="00501B15">
      <w:pPr>
        <w:shd w:val="clear" w:color="auto" w:fill="FFFFFF"/>
        <w:tabs>
          <w:tab w:val="left" w:pos="5387"/>
          <w:tab w:val="left" w:pos="9310"/>
          <w:tab w:val="left" w:pos="9356"/>
          <w:tab w:val="left" w:pos="9923"/>
        </w:tabs>
        <w:ind w:left="32"/>
        <w:rPr>
          <w:b/>
          <w:bCs/>
          <w:color w:val="000000"/>
          <w:sz w:val="22"/>
        </w:rPr>
      </w:pPr>
    </w:p>
    <w:p w:rsidR="00554A0B" w:rsidRDefault="00554A0B">
      <w:pPr>
        <w:shd w:val="clear" w:color="auto" w:fill="FFFFFF"/>
        <w:jc w:val="center"/>
        <w:rPr>
          <w:b/>
          <w:bCs/>
          <w:color w:val="000000"/>
          <w:spacing w:val="-7"/>
          <w:sz w:val="22"/>
        </w:rPr>
      </w:pPr>
      <w:r>
        <w:rPr>
          <w:b/>
          <w:bCs/>
          <w:color w:val="000000"/>
          <w:spacing w:val="-7"/>
          <w:sz w:val="22"/>
        </w:rPr>
        <w:t>________________________________________________________________________________________________</w:t>
      </w:r>
    </w:p>
    <w:p w:rsidR="00554A0B" w:rsidRPr="000725F9" w:rsidRDefault="00554A0B">
      <w:pPr>
        <w:shd w:val="clear" w:color="auto" w:fill="FFFFFF"/>
        <w:jc w:val="center"/>
        <w:rPr>
          <w:b/>
          <w:i/>
          <w:iCs/>
          <w:color w:val="000000"/>
          <w:sz w:val="22"/>
        </w:rPr>
      </w:pPr>
      <w:r w:rsidRPr="000725F9">
        <w:rPr>
          <w:b/>
          <w:i/>
          <w:iCs/>
          <w:color w:val="000000"/>
          <w:sz w:val="22"/>
        </w:rPr>
        <w:t>Le sujet comporte les annexes suivantes</w:t>
      </w:r>
    </w:p>
    <w:p w:rsidR="00554A0B" w:rsidRPr="00D32247" w:rsidRDefault="00554A0B">
      <w:pPr>
        <w:pStyle w:val="Titre6"/>
        <w:rPr>
          <w:spacing w:val="0"/>
        </w:rPr>
      </w:pPr>
      <w:r w:rsidRPr="00D32247">
        <w:rPr>
          <w:spacing w:val="0"/>
        </w:rPr>
        <w:t>DOSSIER 1</w:t>
      </w:r>
    </w:p>
    <w:p w:rsidR="00554A0B" w:rsidRPr="00D32247" w:rsidRDefault="00554A0B" w:rsidP="00501B15">
      <w:pPr>
        <w:tabs>
          <w:tab w:val="left" w:pos="284"/>
          <w:tab w:val="left" w:pos="709"/>
          <w:tab w:val="left" w:pos="9310"/>
          <w:tab w:val="left" w:pos="9356"/>
        </w:tabs>
        <w:jc w:val="left"/>
        <w:rPr>
          <w:sz w:val="22"/>
        </w:rPr>
      </w:pPr>
      <w:r w:rsidRPr="00D32247">
        <w:rPr>
          <w:sz w:val="22"/>
        </w:rPr>
        <w:tab/>
        <w:t>Annexe 1 </w:t>
      </w:r>
      <w:r w:rsidR="00D32247">
        <w:rPr>
          <w:sz w:val="22"/>
        </w:rPr>
        <w:t>-</w:t>
      </w:r>
      <w:r w:rsidRPr="00D32247">
        <w:rPr>
          <w:sz w:val="22"/>
        </w:rPr>
        <w:t xml:space="preserve"> </w:t>
      </w:r>
      <w:r w:rsidR="00FF3487" w:rsidRPr="00D32247">
        <w:rPr>
          <w:sz w:val="22"/>
        </w:rPr>
        <w:t xml:space="preserve">Entretien avec Monsieur Bernard, contrôleur de gestion </w:t>
      </w:r>
      <w:r w:rsidRPr="00D32247">
        <w:rPr>
          <w:sz w:val="22"/>
        </w:rPr>
        <w:t>……………</w:t>
      </w:r>
      <w:r w:rsidR="00FF3487">
        <w:rPr>
          <w:sz w:val="22"/>
        </w:rPr>
        <w:t>……………………</w:t>
      </w:r>
      <w:r w:rsidR="00802138">
        <w:rPr>
          <w:sz w:val="22"/>
        </w:rPr>
        <w:t>..</w:t>
      </w:r>
      <w:r w:rsidRPr="00D32247">
        <w:rPr>
          <w:sz w:val="22"/>
        </w:rPr>
        <w:t>page 5</w:t>
      </w:r>
    </w:p>
    <w:p w:rsidR="00554A0B" w:rsidRPr="00D32247" w:rsidRDefault="00554A0B" w:rsidP="00FF3487">
      <w:pPr>
        <w:tabs>
          <w:tab w:val="left" w:pos="284"/>
          <w:tab w:val="left" w:pos="709"/>
          <w:tab w:val="left" w:leader="dot" w:pos="9310"/>
          <w:tab w:val="left" w:pos="9356"/>
        </w:tabs>
        <w:jc w:val="left"/>
        <w:rPr>
          <w:sz w:val="22"/>
        </w:rPr>
      </w:pPr>
      <w:r w:rsidRPr="00D32247">
        <w:rPr>
          <w:sz w:val="22"/>
        </w:rPr>
        <w:tab/>
      </w:r>
      <w:r w:rsidR="00FF3487">
        <w:rPr>
          <w:sz w:val="22"/>
        </w:rPr>
        <w:t xml:space="preserve">Annexe </w:t>
      </w:r>
      <w:r w:rsidRPr="00D32247">
        <w:rPr>
          <w:sz w:val="22"/>
        </w:rPr>
        <w:t>2 </w:t>
      </w:r>
      <w:r w:rsidR="00D32247">
        <w:rPr>
          <w:sz w:val="22"/>
        </w:rPr>
        <w:t>-</w:t>
      </w:r>
      <w:r w:rsidRPr="00D32247">
        <w:rPr>
          <w:sz w:val="22"/>
        </w:rPr>
        <w:t xml:space="preserve"> </w:t>
      </w:r>
      <w:r w:rsidR="00FF3487" w:rsidRPr="00D32247">
        <w:rPr>
          <w:sz w:val="22"/>
        </w:rPr>
        <w:t>Données réelles et préétablies des collec</w:t>
      </w:r>
      <w:r w:rsidR="00E569EE">
        <w:rPr>
          <w:sz w:val="22"/>
        </w:rPr>
        <w:t xml:space="preserve">tions 1, 2 et 3 pour l’exercice </w:t>
      </w:r>
      <w:r w:rsidR="00485DF7">
        <w:rPr>
          <w:sz w:val="22"/>
        </w:rPr>
        <w:t>20</w:t>
      </w:r>
      <w:r w:rsidR="00FF3487" w:rsidRPr="00D32247">
        <w:rPr>
          <w:sz w:val="22"/>
        </w:rPr>
        <w:t>10</w:t>
      </w:r>
      <w:r w:rsidR="00E569EE">
        <w:rPr>
          <w:sz w:val="22"/>
        </w:rPr>
        <w:t>…</w:t>
      </w:r>
      <w:r w:rsidR="00485DF7">
        <w:rPr>
          <w:sz w:val="22"/>
        </w:rPr>
        <w:t>…</w:t>
      </w:r>
      <w:r w:rsidR="00E569EE">
        <w:rPr>
          <w:sz w:val="22"/>
        </w:rPr>
        <w:t>…………</w:t>
      </w:r>
      <w:r w:rsidRPr="00D32247">
        <w:rPr>
          <w:sz w:val="22"/>
        </w:rPr>
        <w:t>page 5</w:t>
      </w:r>
    </w:p>
    <w:p w:rsidR="00554A0B" w:rsidRPr="00D32247" w:rsidRDefault="00554A0B">
      <w:pPr>
        <w:tabs>
          <w:tab w:val="left" w:pos="284"/>
          <w:tab w:val="left" w:pos="9356"/>
        </w:tabs>
        <w:rPr>
          <w:b/>
          <w:bCs/>
          <w:sz w:val="16"/>
        </w:rPr>
      </w:pPr>
    </w:p>
    <w:p w:rsidR="00554A0B" w:rsidRPr="00D32247" w:rsidRDefault="00554A0B">
      <w:pPr>
        <w:pStyle w:val="Titre7"/>
        <w:rPr>
          <w:spacing w:val="0"/>
        </w:rPr>
      </w:pPr>
      <w:r w:rsidRPr="00D32247">
        <w:rPr>
          <w:spacing w:val="0"/>
        </w:rPr>
        <w:t>DOSSIER 2</w:t>
      </w:r>
    </w:p>
    <w:p w:rsidR="00554A0B" w:rsidRPr="00D32247" w:rsidRDefault="00554A0B">
      <w:pPr>
        <w:tabs>
          <w:tab w:val="left" w:pos="284"/>
          <w:tab w:val="left" w:pos="709"/>
          <w:tab w:val="left" w:leader="dot" w:pos="9310"/>
          <w:tab w:val="left" w:pos="9356"/>
        </w:tabs>
        <w:rPr>
          <w:sz w:val="22"/>
        </w:rPr>
      </w:pPr>
      <w:r w:rsidRPr="00D32247">
        <w:rPr>
          <w:sz w:val="22"/>
        </w:rPr>
        <w:tab/>
        <w:t>Annexe 3</w:t>
      </w:r>
      <w:r w:rsidR="00D32247">
        <w:rPr>
          <w:sz w:val="22"/>
        </w:rPr>
        <w:t xml:space="preserve"> -</w:t>
      </w:r>
      <w:r w:rsidRPr="00D32247">
        <w:rPr>
          <w:sz w:val="22"/>
        </w:rPr>
        <w:t xml:space="preserve"> Planning d’aménagement de la chaîne de réalisation..</w:t>
      </w:r>
      <w:r w:rsidR="00802138">
        <w:rPr>
          <w:sz w:val="22"/>
        </w:rPr>
        <w:t>……………………………………..</w:t>
      </w:r>
      <w:r w:rsidRPr="00D32247">
        <w:rPr>
          <w:sz w:val="22"/>
        </w:rPr>
        <w:t>page 6</w:t>
      </w:r>
    </w:p>
    <w:p w:rsidR="00554A0B" w:rsidRPr="00D32247" w:rsidRDefault="00554A0B">
      <w:pPr>
        <w:tabs>
          <w:tab w:val="left" w:pos="284"/>
          <w:tab w:val="left" w:pos="709"/>
          <w:tab w:val="left" w:leader="dot" w:pos="9310"/>
          <w:tab w:val="left" w:pos="9356"/>
        </w:tabs>
        <w:rPr>
          <w:sz w:val="22"/>
        </w:rPr>
      </w:pPr>
      <w:r w:rsidRPr="00D32247">
        <w:rPr>
          <w:sz w:val="22"/>
        </w:rPr>
        <w:tab/>
        <w:t>Annexe 4 </w:t>
      </w:r>
      <w:r w:rsidR="00D32247">
        <w:rPr>
          <w:sz w:val="22"/>
        </w:rPr>
        <w:t>-</w:t>
      </w:r>
      <w:r w:rsidRPr="00D32247">
        <w:rPr>
          <w:sz w:val="22"/>
        </w:rPr>
        <w:t xml:space="preserve"> Accélération du projet d’investissement au moindre coût</w:t>
      </w:r>
      <w:r w:rsidR="00802138">
        <w:rPr>
          <w:sz w:val="22"/>
        </w:rPr>
        <w:t>………………………………….</w:t>
      </w:r>
      <w:r w:rsidRPr="00D32247">
        <w:rPr>
          <w:sz w:val="22"/>
        </w:rPr>
        <w:t>page 6</w:t>
      </w:r>
    </w:p>
    <w:p w:rsidR="00554A0B" w:rsidRPr="00D32247" w:rsidRDefault="00554A0B">
      <w:pPr>
        <w:tabs>
          <w:tab w:val="left" w:pos="284"/>
          <w:tab w:val="left" w:pos="709"/>
          <w:tab w:val="left" w:leader="dot" w:pos="9310"/>
          <w:tab w:val="left" w:pos="9356"/>
        </w:tabs>
        <w:rPr>
          <w:sz w:val="22"/>
        </w:rPr>
      </w:pPr>
    </w:p>
    <w:p w:rsidR="00554A0B" w:rsidRPr="00D32247" w:rsidRDefault="00554A0B" w:rsidP="00501B15">
      <w:pPr>
        <w:pStyle w:val="Titre7"/>
        <w:rPr>
          <w:spacing w:val="0"/>
        </w:rPr>
      </w:pPr>
      <w:r w:rsidRPr="00D32247">
        <w:rPr>
          <w:spacing w:val="0"/>
        </w:rPr>
        <w:t>DOSSIER 3</w:t>
      </w:r>
    </w:p>
    <w:p w:rsidR="00554A0B" w:rsidRPr="00D32247" w:rsidRDefault="00554A0B">
      <w:pPr>
        <w:tabs>
          <w:tab w:val="left" w:pos="284"/>
          <w:tab w:val="left" w:pos="709"/>
          <w:tab w:val="left" w:leader="dot" w:pos="9310"/>
          <w:tab w:val="left" w:pos="9356"/>
        </w:tabs>
        <w:rPr>
          <w:sz w:val="16"/>
        </w:rPr>
      </w:pPr>
      <w:r w:rsidRPr="00D32247">
        <w:rPr>
          <w:sz w:val="22"/>
        </w:rPr>
        <w:tab/>
        <w:t>Annexe 5 </w:t>
      </w:r>
      <w:r w:rsidR="00D32247">
        <w:rPr>
          <w:sz w:val="22"/>
        </w:rPr>
        <w:t>-</w:t>
      </w:r>
      <w:r w:rsidRPr="00D32247">
        <w:rPr>
          <w:sz w:val="22"/>
        </w:rPr>
        <w:t xml:space="preserve"> Analyse de la masse salariale de l’exercice </w:t>
      </w:r>
      <w:r w:rsidR="00831BC7" w:rsidRPr="00D32247">
        <w:rPr>
          <w:sz w:val="22"/>
        </w:rPr>
        <w:t>2010</w:t>
      </w:r>
      <w:r w:rsidR="00802138">
        <w:rPr>
          <w:sz w:val="22"/>
        </w:rPr>
        <w:t>…………………………………………..</w:t>
      </w:r>
      <w:r w:rsidRPr="00D32247">
        <w:rPr>
          <w:sz w:val="22"/>
        </w:rPr>
        <w:t>page 6</w:t>
      </w:r>
      <w:r w:rsidR="00802138">
        <w:rPr>
          <w:sz w:val="22"/>
        </w:rPr>
        <w:t xml:space="preserve"> </w:t>
      </w:r>
    </w:p>
    <w:p w:rsidR="00554A0B" w:rsidRPr="00D32247" w:rsidRDefault="00554A0B">
      <w:pPr>
        <w:tabs>
          <w:tab w:val="left" w:pos="284"/>
          <w:tab w:val="left" w:pos="709"/>
          <w:tab w:val="left" w:leader="dot" w:pos="9310"/>
          <w:tab w:val="left" w:pos="9356"/>
        </w:tabs>
        <w:rPr>
          <w:sz w:val="16"/>
        </w:rPr>
      </w:pPr>
      <w:r w:rsidRPr="00D32247">
        <w:rPr>
          <w:sz w:val="22"/>
        </w:rPr>
        <w:tab/>
        <w:t>Annexe 6 </w:t>
      </w:r>
      <w:r w:rsidR="00D32247">
        <w:rPr>
          <w:sz w:val="22"/>
        </w:rPr>
        <w:t>-</w:t>
      </w:r>
      <w:r w:rsidRPr="00D32247">
        <w:rPr>
          <w:sz w:val="22"/>
        </w:rPr>
        <w:t xml:space="preserve"> Prévision de la masse salariale de </w:t>
      </w:r>
      <w:r w:rsidR="00831BC7" w:rsidRPr="00D32247">
        <w:rPr>
          <w:sz w:val="22"/>
        </w:rPr>
        <w:t>2011</w:t>
      </w:r>
      <w:r w:rsidR="00802138">
        <w:rPr>
          <w:sz w:val="22"/>
        </w:rPr>
        <w:t>………………………………………….…………</w:t>
      </w:r>
      <w:r w:rsidRPr="00D32247">
        <w:rPr>
          <w:sz w:val="22"/>
        </w:rPr>
        <w:t>page 7</w:t>
      </w:r>
    </w:p>
    <w:p w:rsidR="00554A0B" w:rsidRPr="00D32247" w:rsidRDefault="00554A0B" w:rsidP="00B24E2B">
      <w:pPr>
        <w:tabs>
          <w:tab w:val="left" w:pos="1520"/>
        </w:tabs>
        <w:rPr>
          <w:sz w:val="22"/>
        </w:rPr>
      </w:pPr>
      <w:r w:rsidRPr="00D32247">
        <w:rPr>
          <w:sz w:val="22"/>
        </w:rPr>
        <w:tab/>
      </w:r>
    </w:p>
    <w:p w:rsidR="00554A0B" w:rsidRPr="00D32247" w:rsidRDefault="00554A0B" w:rsidP="00501B15">
      <w:pPr>
        <w:pStyle w:val="Titre7"/>
        <w:rPr>
          <w:spacing w:val="0"/>
        </w:rPr>
      </w:pPr>
      <w:r w:rsidRPr="00D32247">
        <w:rPr>
          <w:spacing w:val="0"/>
        </w:rPr>
        <w:t>DOSSIER 4</w:t>
      </w:r>
    </w:p>
    <w:p w:rsidR="00554A0B" w:rsidRPr="00D32247" w:rsidRDefault="00554A0B">
      <w:pPr>
        <w:tabs>
          <w:tab w:val="left" w:pos="284"/>
          <w:tab w:val="left" w:pos="709"/>
          <w:tab w:val="left" w:leader="dot" w:pos="9310"/>
          <w:tab w:val="left" w:pos="9356"/>
        </w:tabs>
      </w:pPr>
      <w:r w:rsidRPr="00D32247">
        <w:rPr>
          <w:sz w:val="22"/>
        </w:rPr>
        <w:tab/>
        <w:t>Annexe 7 </w:t>
      </w:r>
      <w:r w:rsidR="00D32247">
        <w:rPr>
          <w:sz w:val="22"/>
        </w:rPr>
        <w:t>-</w:t>
      </w:r>
      <w:r w:rsidRPr="00D32247">
        <w:rPr>
          <w:sz w:val="22"/>
        </w:rPr>
        <w:t xml:space="preserve"> Informations relatives à la gestion du stock de la collection 15</w:t>
      </w:r>
      <w:r w:rsidR="00802138">
        <w:rPr>
          <w:sz w:val="22"/>
        </w:rPr>
        <w:t>…………………………….</w:t>
      </w:r>
      <w:r w:rsidRPr="00D32247">
        <w:rPr>
          <w:sz w:val="22"/>
        </w:rPr>
        <w:t>page</w:t>
      </w:r>
      <w:r w:rsidR="00FC72BE" w:rsidRPr="00D32247">
        <w:rPr>
          <w:sz w:val="22"/>
        </w:rPr>
        <w:t xml:space="preserve"> </w:t>
      </w:r>
      <w:r w:rsidRPr="00D32247">
        <w:rPr>
          <w:sz w:val="22"/>
        </w:rPr>
        <w:t>7</w:t>
      </w:r>
    </w:p>
    <w:p w:rsidR="00554A0B" w:rsidRDefault="00554A0B">
      <w:pPr>
        <w:pStyle w:val="Commentaire"/>
        <w:tabs>
          <w:tab w:val="left" w:pos="284"/>
          <w:tab w:val="left" w:pos="9356"/>
        </w:tabs>
        <w:rPr>
          <w:rFonts w:ascii="Times New Roman" w:hAnsi="Times New Roman" w:cs="Times New Roman"/>
          <w:spacing w:val="-15"/>
          <w:sz w:val="16"/>
          <w:szCs w:val="16"/>
        </w:rPr>
      </w:pPr>
    </w:p>
    <w:p w:rsidR="00554A0B" w:rsidRDefault="00554A0B">
      <w:pPr>
        <w:shd w:val="clear" w:color="auto" w:fill="FFFFFF"/>
        <w:tabs>
          <w:tab w:val="left" w:pos="9356"/>
        </w:tabs>
        <w:rPr>
          <w:b/>
          <w:bCs/>
          <w:color w:val="000000"/>
          <w:spacing w:val="-15"/>
          <w:sz w:val="16"/>
          <w:szCs w:val="16"/>
        </w:rPr>
      </w:pPr>
    </w:p>
    <w:p w:rsidR="00554A0B" w:rsidRDefault="00554A0B">
      <w:pPr>
        <w:shd w:val="clear" w:color="auto" w:fill="FFFFFF"/>
        <w:rPr>
          <w:b/>
          <w:bCs/>
          <w:color w:val="000000"/>
          <w:spacing w:val="-5"/>
          <w:sz w:val="10"/>
          <w:szCs w:val="10"/>
        </w:rPr>
      </w:pPr>
    </w:p>
    <w:p w:rsidR="00554A0B" w:rsidRDefault="00554A0B">
      <w:pPr>
        <w:shd w:val="clear" w:color="auto" w:fill="FFFFFF"/>
        <w:rPr>
          <w:b/>
          <w:bCs/>
          <w:color w:val="000000"/>
          <w:spacing w:val="-5"/>
          <w:sz w:val="10"/>
          <w:szCs w:val="10"/>
        </w:rPr>
      </w:pPr>
    </w:p>
    <w:p w:rsidR="00554A0B" w:rsidRDefault="00554A0B">
      <w:pPr>
        <w:pStyle w:val="Titre"/>
        <w:pBdr>
          <w:top w:val="single" w:sz="4" w:space="1" w:color="auto"/>
          <w:left w:val="single" w:sz="4" w:space="4" w:color="auto"/>
          <w:bottom w:val="single" w:sz="4" w:space="1" w:color="auto"/>
          <w:right w:val="single" w:sz="4" w:space="4" w:color="auto"/>
        </w:pBdr>
        <w:shd w:val="clear" w:color="auto" w:fill="FFFFFF"/>
        <w:rPr>
          <w:b/>
          <w:bCs/>
          <w:sz w:val="22"/>
          <w:szCs w:val="22"/>
          <w:u w:val="single"/>
        </w:rPr>
      </w:pPr>
      <w:r>
        <w:rPr>
          <w:b/>
          <w:bCs/>
          <w:sz w:val="22"/>
          <w:szCs w:val="22"/>
          <w:u w:val="single"/>
        </w:rPr>
        <w:t>AVERTISSEMENT</w:t>
      </w:r>
    </w:p>
    <w:p w:rsidR="00554A0B" w:rsidRDefault="00554A0B">
      <w:pPr>
        <w:pStyle w:val="Titre"/>
        <w:pBdr>
          <w:top w:val="single" w:sz="4" w:space="1" w:color="auto"/>
          <w:left w:val="single" w:sz="4" w:space="4" w:color="auto"/>
          <w:bottom w:val="single" w:sz="4" w:space="1" w:color="auto"/>
          <w:right w:val="single" w:sz="4" w:space="4" w:color="auto"/>
        </w:pBdr>
        <w:shd w:val="clear" w:color="auto" w:fill="FFFFFF"/>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554A0B" w:rsidRPr="00B24E2B" w:rsidRDefault="00554A0B" w:rsidP="00B24E2B"/>
    <w:p w:rsidR="00554A0B" w:rsidRPr="00B24E2B" w:rsidRDefault="00554A0B" w:rsidP="00B24E2B"/>
    <w:p w:rsidR="00554A0B" w:rsidRDefault="00554A0B" w:rsidP="00B24E2B">
      <w:pPr>
        <w:pStyle w:val="Titre1"/>
        <w:keepNext w:val="0"/>
        <w:tabs>
          <w:tab w:val="left" w:pos="4395"/>
          <w:tab w:val="center" w:pos="6280"/>
        </w:tabs>
        <w:jc w:val="center"/>
        <w:rPr>
          <w:sz w:val="24"/>
        </w:rPr>
      </w:pPr>
      <w:r w:rsidRPr="00B24E2B">
        <w:br w:type="page"/>
      </w:r>
      <w:r>
        <w:rPr>
          <w:sz w:val="24"/>
        </w:rPr>
        <w:lastRenderedPageBreak/>
        <w:t>SUJET</w:t>
      </w:r>
    </w:p>
    <w:p w:rsidR="00554A0B" w:rsidRDefault="00554A0B">
      <w:pPr>
        <w:shd w:val="clear" w:color="auto" w:fill="FFFFFF"/>
        <w:rPr>
          <w:b/>
          <w:bCs/>
          <w:color w:val="000000"/>
          <w:spacing w:val="-5"/>
          <w:szCs w:val="24"/>
        </w:rPr>
      </w:pPr>
    </w:p>
    <w:p w:rsidR="00554A0B" w:rsidRPr="00B0581A" w:rsidRDefault="00554A0B">
      <w:pPr>
        <w:pBdr>
          <w:top w:val="single" w:sz="4" w:space="1" w:color="auto"/>
          <w:left w:val="single" w:sz="4" w:space="4" w:color="auto"/>
          <w:bottom w:val="single" w:sz="4" w:space="1" w:color="auto"/>
          <w:right w:val="single" w:sz="4" w:space="4" w:color="auto"/>
        </w:pBdr>
        <w:shd w:val="clear" w:color="auto" w:fill="FFFFFF"/>
        <w:jc w:val="center"/>
        <w:rPr>
          <w:color w:val="000000"/>
          <w:spacing w:val="-5"/>
        </w:rPr>
      </w:pPr>
      <w:r w:rsidRPr="00B0581A">
        <w:rPr>
          <w:color w:val="000000"/>
          <w:spacing w:val="-5"/>
        </w:rPr>
        <w:t>Il vous est demandé d’apporter un soin particulier à la présentation de votre copie.</w:t>
      </w:r>
    </w:p>
    <w:p w:rsidR="00554A0B" w:rsidRPr="00B0581A" w:rsidRDefault="00554A0B">
      <w:pPr>
        <w:pBdr>
          <w:top w:val="single" w:sz="4" w:space="1" w:color="auto"/>
          <w:left w:val="single" w:sz="4" w:space="4" w:color="auto"/>
          <w:bottom w:val="single" w:sz="4" w:space="1" w:color="auto"/>
          <w:right w:val="single" w:sz="4" w:space="4" w:color="auto"/>
        </w:pBdr>
        <w:shd w:val="clear" w:color="auto" w:fill="FFFFFF"/>
        <w:jc w:val="center"/>
        <w:rPr>
          <w:color w:val="000000"/>
          <w:spacing w:val="-5"/>
        </w:rPr>
      </w:pPr>
      <w:r w:rsidRPr="00B0581A">
        <w:rPr>
          <w:color w:val="000000"/>
          <w:spacing w:val="-5"/>
        </w:rPr>
        <w:t>Toute information calculée devra être justifiée.</w:t>
      </w:r>
    </w:p>
    <w:p w:rsidR="00554A0B" w:rsidRDefault="00554A0B">
      <w:pPr>
        <w:shd w:val="clear" w:color="auto" w:fill="FFFFFF"/>
        <w:rPr>
          <w:b/>
          <w:bCs/>
          <w:color w:val="000000"/>
          <w:spacing w:val="-7"/>
          <w:szCs w:val="24"/>
        </w:rPr>
      </w:pPr>
    </w:p>
    <w:p w:rsidR="00554A0B" w:rsidRPr="00B0581A" w:rsidRDefault="00554A0B">
      <w:pPr>
        <w:shd w:val="clear" w:color="auto" w:fill="FFFFFF"/>
        <w:rPr>
          <w:b/>
          <w:bCs/>
          <w:color w:val="000000"/>
          <w:spacing w:val="-7"/>
          <w:szCs w:val="24"/>
        </w:rPr>
      </w:pPr>
    </w:p>
    <w:p w:rsidR="00554A0B" w:rsidRPr="00B0581A" w:rsidRDefault="00FC72BE" w:rsidP="00501B15">
      <w:pPr>
        <w:pStyle w:val="Sansinterligne1"/>
        <w:jc w:val="center"/>
        <w:rPr>
          <w:rFonts w:ascii="Times New Roman" w:hAnsi="Times New Roman"/>
          <w:b/>
          <w:sz w:val="24"/>
        </w:rPr>
      </w:pPr>
      <w:r>
        <w:rPr>
          <w:rFonts w:ascii="Times New Roman" w:hAnsi="Times New Roman"/>
          <w:b/>
          <w:sz w:val="24"/>
        </w:rPr>
        <w:t xml:space="preserve">L’EDITEUR LE LIVRE FRANÇAIS </w:t>
      </w:r>
      <w:r w:rsidR="00554A0B" w:rsidRPr="00B0581A">
        <w:rPr>
          <w:rFonts w:ascii="Times New Roman" w:hAnsi="Times New Roman"/>
          <w:b/>
          <w:sz w:val="24"/>
        </w:rPr>
        <w:t>ET SES PARTENAIRES</w:t>
      </w:r>
    </w:p>
    <w:p w:rsidR="00554A0B" w:rsidRDefault="00554A0B" w:rsidP="00501B15">
      <w:pPr>
        <w:pStyle w:val="Sansinterligne1"/>
        <w:rPr>
          <w:rFonts w:ascii="Times New Roman" w:hAnsi="Times New Roman"/>
          <w:sz w:val="24"/>
        </w:rPr>
      </w:pPr>
    </w:p>
    <w:p w:rsidR="00554A0B" w:rsidRPr="00561791" w:rsidRDefault="00554A0B" w:rsidP="00501B15">
      <w:pPr>
        <w:pStyle w:val="Sansinterligne1"/>
        <w:rPr>
          <w:rFonts w:ascii="Times New Roman" w:hAnsi="Times New Roman"/>
          <w:sz w:val="24"/>
        </w:rPr>
      </w:pPr>
      <w:r>
        <w:rPr>
          <w:rFonts w:ascii="Times New Roman" w:hAnsi="Times New Roman"/>
          <w:sz w:val="24"/>
        </w:rPr>
        <w:t>Second</w:t>
      </w:r>
      <w:r w:rsidRPr="00561791">
        <w:rPr>
          <w:rFonts w:ascii="Times New Roman" w:hAnsi="Times New Roman"/>
          <w:sz w:val="24"/>
        </w:rPr>
        <w:t xml:space="preserve"> éditeur français, l’éditeur </w:t>
      </w:r>
      <w:r w:rsidR="00FC72BE">
        <w:rPr>
          <w:rFonts w:ascii="Times New Roman" w:hAnsi="Times New Roman"/>
          <w:b/>
          <w:sz w:val="24"/>
        </w:rPr>
        <w:t xml:space="preserve">LE LIVRE FRANÇAIS </w:t>
      </w:r>
      <w:r w:rsidRPr="00561791">
        <w:rPr>
          <w:rFonts w:ascii="Times New Roman" w:hAnsi="Times New Roman"/>
          <w:b/>
          <w:sz w:val="24"/>
        </w:rPr>
        <w:t xml:space="preserve">(LLF) </w:t>
      </w:r>
      <w:r w:rsidRPr="00561791">
        <w:rPr>
          <w:rFonts w:ascii="Times New Roman" w:hAnsi="Times New Roman"/>
          <w:sz w:val="24"/>
        </w:rPr>
        <w:t xml:space="preserve">exerce son métier dans des domaines </w:t>
      </w:r>
      <w:r>
        <w:rPr>
          <w:rFonts w:ascii="Times New Roman" w:hAnsi="Times New Roman"/>
          <w:sz w:val="24"/>
        </w:rPr>
        <w:t>très divers :</w:t>
      </w:r>
      <w:r w:rsidRPr="00561791">
        <w:rPr>
          <w:rFonts w:ascii="Times New Roman" w:hAnsi="Times New Roman"/>
          <w:sz w:val="24"/>
        </w:rPr>
        <w:t xml:space="preserve"> la littérature, l’éducation, les beaux livres, les livres pratiques, les guides touristiques, les encyclopédies, les dictionnaires</w:t>
      </w:r>
      <w:r>
        <w:rPr>
          <w:rFonts w:ascii="Times New Roman" w:hAnsi="Times New Roman"/>
          <w:sz w:val="24"/>
        </w:rPr>
        <w:t>, les livres au format de poche ou</w:t>
      </w:r>
      <w:r w:rsidRPr="00561791">
        <w:rPr>
          <w:rFonts w:ascii="Times New Roman" w:hAnsi="Times New Roman"/>
          <w:sz w:val="24"/>
        </w:rPr>
        <w:t xml:space="preserve"> les livres pour la jeunesse.</w:t>
      </w:r>
    </w:p>
    <w:p w:rsidR="00554A0B" w:rsidRPr="00561791" w:rsidRDefault="00554A0B" w:rsidP="00501B15">
      <w:pPr>
        <w:pStyle w:val="Sansinterligne1"/>
        <w:rPr>
          <w:rFonts w:ascii="Times New Roman" w:hAnsi="Times New Roman"/>
          <w:sz w:val="24"/>
        </w:rPr>
      </w:pPr>
    </w:p>
    <w:p w:rsidR="00554A0B" w:rsidRPr="00561791" w:rsidRDefault="00554A0B" w:rsidP="00501B15">
      <w:pPr>
        <w:pStyle w:val="Sansinterligne1"/>
        <w:rPr>
          <w:rFonts w:ascii="Times New Roman" w:hAnsi="Times New Roman"/>
          <w:sz w:val="24"/>
        </w:rPr>
      </w:pPr>
      <w:r w:rsidRPr="00561791">
        <w:rPr>
          <w:rFonts w:ascii="Times New Roman" w:hAnsi="Times New Roman"/>
          <w:sz w:val="24"/>
        </w:rPr>
        <w:t>Lorsqu’il s’install</w:t>
      </w:r>
      <w:r>
        <w:rPr>
          <w:rFonts w:ascii="Times New Roman" w:hAnsi="Times New Roman"/>
          <w:sz w:val="24"/>
        </w:rPr>
        <w:t>e</w:t>
      </w:r>
      <w:r w:rsidRPr="00561791">
        <w:rPr>
          <w:rFonts w:ascii="Times New Roman" w:hAnsi="Times New Roman"/>
          <w:sz w:val="24"/>
        </w:rPr>
        <w:t xml:space="preserve"> en 1854, cet éditeur souhait</w:t>
      </w:r>
      <w:r>
        <w:rPr>
          <w:rFonts w:ascii="Times New Roman" w:hAnsi="Times New Roman"/>
          <w:sz w:val="24"/>
        </w:rPr>
        <w:t>e</w:t>
      </w:r>
      <w:r w:rsidR="002B1A22">
        <w:rPr>
          <w:rFonts w:ascii="Times New Roman" w:hAnsi="Times New Roman"/>
          <w:sz w:val="24"/>
        </w:rPr>
        <w:t xml:space="preserve"> </w:t>
      </w:r>
      <w:r>
        <w:rPr>
          <w:rFonts w:ascii="Times New Roman" w:hAnsi="Times New Roman"/>
          <w:sz w:val="24"/>
        </w:rPr>
        <w:t>simplement donner au citoyen un accès à la culture. Plus tard, il envisage</w:t>
      </w:r>
      <w:r w:rsidRPr="00561791">
        <w:rPr>
          <w:rFonts w:ascii="Times New Roman" w:hAnsi="Times New Roman"/>
          <w:sz w:val="24"/>
        </w:rPr>
        <w:t xml:space="preserve"> un rôle complémentaire : offrir </w:t>
      </w:r>
      <w:r>
        <w:rPr>
          <w:rFonts w:ascii="Times New Roman" w:hAnsi="Times New Roman"/>
          <w:sz w:val="24"/>
        </w:rPr>
        <w:t>aux lecteurs</w:t>
      </w:r>
      <w:r w:rsidRPr="00561791">
        <w:rPr>
          <w:rFonts w:ascii="Times New Roman" w:hAnsi="Times New Roman"/>
          <w:sz w:val="24"/>
        </w:rPr>
        <w:t xml:space="preserve"> des livres de « </w:t>
      </w:r>
      <w:r>
        <w:rPr>
          <w:rFonts w:ascii="Times New Roman" w:hAnsi="Times New Roman"/>
          <w:sz w:val="24"/>
        </w:rPr>
        <w:t>divertissement</w:t>
      </w:r>
      <w:r w:rsidRPr="00561791">
        <w:rPr>
          <w:rFonts w:ascii="Times New Roman" w:hAnsi="Times New Roman"/>
          <w:sz w:val="24"/>
        </w:rPr>
        <w:t> » et de « vulgarisati</w:t>
      </w:r>
      <w:r>
        <w:rPr>
          <w:rFonts w:ascii="Times New Roman" w:hAnsi="Times New Roman"/>
          <w:sz w:val="24"/>
        </w:rPr>
        <w:t>on ». C’est pou</w:t>
      </w:r>
      <w:r w:rsidR="00FC72BE">
        <w:rPr>
          <w:rFonts w:ascii="Times New Roman" w:hAnsi="Times New Roman"/>
          <w:sz w:val="24"/>
        </w:rPr>
        <w:t>r cela qu’il crée</w:t>
      </w:r>
      <w:r w:rsidRPr="00561791">
        <w:rPr>
          <w:rFonts w:ascii="Times New Roman" w:hAnsi="Times New Roman"/>
          <w:sz w:val="24"/>
        </w:rPr>
        <w:t xml:space="preserve"> un réseau de points de vente dans les gares de chemin de fer</w:t>
      </w:r>
      <w:r w:rsidR="00495525">
        <w:rPr>
          <w:rFonts w:ascii="Times New Roman" w:hAnsi="Times New Roman"/>
          <w:sz w:val="24"/>
        </w:rPr>
        <w:t>, puis</w:t>
      </w:r>
      <w:r>
        <w:rPr>
          <w:rFonts w:ascii="Times New Roman" w:hAnsi="Times New Roman"/>
          <w:sz w:val="24"/>
        </w:rPr>
        <w:t xml:space="preserve"> dans les aéroports. Actuellement</w:t>
      </w:r>
      <w:r w:rsidRPr="00561791">
        <w:rPr>
          <w:rFonts w:ascii="Times New Roman" w:hAnsi="Times New Roman"/>
          <w:sz w:val="24"/>
        </w:rPr>
        <w:t xml:space="preserve">, le distributeur </w:t>
      </w:r>
      <w:r w:rsidRPr="00561791">
        <w:rPr>
          <w:rFonts w:ascii="Times New Roman" w:hAnsi="Times New Roman"/>
          <w:b/>
          <w:sz w:val="24"/>
        </w:rPr>
        <w:t>Relai</w:t>
      </w:r>
      <w:r w:rsidR="00FC72BE">
        <w:rPr>
          <w:rFonts w:ascii="Times New Roman" w:hAnsi="Times New Roman"/>
          <w:b/>
          <w:sz w:val="24"/>
        </w:rPr>
        <w:t>s</w:t>
      </w:r>
      <w:r w:rsidRPr="00561791">
        <w:rPr>
          <w:rFonts w:ascii="Times New Roman" w:hAnsi="Times New Roman"/>
          <w:b/>
          <w:sz w:val="24"/>
        </w:rPr>
        <w:t xml:space="preserve"> Distribution (RD)</w:t>
      </w:r>
      <w:r w:rsidRPr="00561791">
        <w:rPr>
          <w:rFonts w:ascii="Times New Roman" w:hAnsi="Times New Roman"/>
          <w:sz w:val="24"/>
        </w:rPr>
        <w:t xml:space="preserve"> est un réseau exclusif de distribution des livres de LLF pour certaines collections. </w:t>
      </w:r>
    </w:p>
    <w:p w:rsidR="00554A0B" w:rsidRPr="00561791" w:rsidRDefault="00554A0B" w:rsidP="00501B15">
      <w:pPr>
        <w:pStyle w:val="Sansinterligne1"/>
        <w:rPr>
          <w:rFonts w:ascii="Times New Roman" w:hAnsi="Times New Roman"/>
          <w:sz w:val="24"/>
        </w:rPr>
      </w:pPr>
    </w:p>
    <w:p w:rsidR="00554A0B" w:rsidRPr="00561791" w:rsidRDefault="00554A0B" w:rsidP="00501B15">
      <w:pPr>
        <w:widowControl w:val="0"/>
        <w:tabs>
          <w:tab w:val="left" w:pos="9072"/>
        </w:tabs>
        <w:autoSpaceDE w:val="0"/>
        <w:autoSpaceDN w:val="0"/>
        <w:adjustRightInd w:val="0"/>
        <w:spacing w:after="240"/>
        <w:rPr>
          <w:rFonts w:cs="Arial"/>
        </w:rPr>
      </w:pPr>
      <w:r>
        <w:rPr>
          <w:rFonts w:cs="Arial"/>
        </w:rPr>
        <w:t>Aujourd’hui, on assiste à l’inauguration de</w:t>
      </w:r>
      <w:r w:rsidRPr="00561791">
        <w:rPr>
          <w:rFonts w:cs="Arial"/>
        </w:rPr>
        <w:t xml:space="preserve"> l’ère du livre numérique</w:t>
      </w:r>
      <w:r>
        <w:rPr>
          <w:rFonts w:cs="Arial"/>
        </w:rPr>
        <w:t xml:space="preserve"> et l</w:t>
      </w:r>
      <w:r w:rsidRPr="00561791">
        <w:rPr>
          <w:rFonts w:cs="Arial"/>
        </w:rPr>
        <w:t>’entreprise LLF d</w:t>
      </w:r>
      <w:r>
        <w:rPr>
          <w:rFonts w:cs="Arial"/>
        </w:rPr>
        <w:t>oit</w:t>
      </w:r>
      <w:r w:rsidRPr="00561791">
        <w:rPr>
          <w:rFonts w:cs="Arial"/>
        </w:rPr>
        <w:t xml:space="preserve"> s’adapter à ces mutations. </w:t>
      </w:r>
      <w:r>
        <w:rPr>
          <w:rFonts w:cs="Arial"/>
        </w:rPr>
        <w:t>En effet, même si</w:t>
      </w:r>
      <w:r w:rsidR="002B1A22">
        <w:rPr>
          <w:rFonts w:cs="Arial"/>
        </w:rPr>
        <w:t xml:space="preserve"> </w:t>
      </w:r>
      <w:r w:rsidRPr="00561791">
        <w:rPr>
          <w:rFonts w:cs="Arial"/>
        </w:rPr>
        <w:t xml:space="preserve">le papier reste </w:t>
      </w:r>
      <w:r>
        <w:rPr>
          <w:rFonts w:cs="Arial"/>
        </w:rPr>
        <w:t xml:space="preserve">encore </w:t>
      </w:r>
      <w:r w:rsidRPr="00561791">
        <w:rPr>
          <w:rFonts w:cs="Arial"/>
        </w:rPr>
        <w:t>un support inéga</w:t>
      </w:r>
      <w:r>
        <w:rPr>
          <w:rFonts w:cs="Arial"/>
        </w:rPr>
        <w:t>lé pour son coût, sa polyvalence ou</w:t>
      </w:r>
      <w:r w:rsidRPr="00561791">
        <w:rPr>
          <w:rFonts w:cs="Arial"/>
        </w:rPr>
        <w:t xml:space="preserve"> sa solidité</w:t>
      </w:r>
      <w:r>
        <w:rPr>
          <w:rFonts w:cs="Arial"/>
        </w:rPr>
        <w:t>,</w:t>
      </w:r>
      <w:r w:rsidRPr="00561791">
        <w:rPr>
          <w:rFonts w:cs="Arial"/>
        </w:rPr>
        <w:t xml:space="preserve"> on lira </w:t>
      </w:r>
      <w:r>
        <w:rPr>
          <w:rFonts w:cs="Arial"/>
        </w:rPr>
        <w:t xml:space="preserve">à l’avenir </w:t>
      </w:r>
      <w:r w:rsidRPr="00561791">
        <w:rPr>
          <w:rFonts w:cs="Arial"/>
        </w:rPr>
        <w:t xml:space="preserve">de plus en plus sur écran. </w:t>
      </w:r>
    </w:p>
    <w:p w:rsidR="00554A0B" w:rsidRPr="00561791" w:rsidRDefault="00554A0B" w:rsidP="00501B15">
      <w:pPr>
        <w:pStyle w:val="Sansinterligne1"/>
        <w:rPr>
          <w:rFonts w:ascii="Times New Roman" w:hAnsi="Times New Roman"/>
          <w:sz w:val="24"/>
        </w:rPr>
      </w:pPr>
      <w:r w:rsidRPr="00561791">
        <w:rPr>
          <w:rFonts w:ascii="Times New Roman" w:hAnsi="Times New Roman"/>
          <w:sz w:val="24"/>
        </w:rPr>
        <w:t xml:space="preserve">Le marché du livre est </w:t>
      </w:r>
      <w:r>
        <w:rPr>
          <w:rFonts w:ascii="Times New Roman" w:hAnsi="Times New Roman"/>
          <w:sz w:val="24"/>
        </w:rPr>
        <w:t xml:space="preserve">maintenant </w:t>
      </w:r>
      <w:r w:rsidRPr="00561791">
        <w:rPr>
          <w:rFonts w:ascii="Times New Roman" w:hAnsi="Times New Roman"/>
          <w:sz w:val="24"/>
        </w:rPr>
        <w:t>un marché mature, dont la croissance est portée par le dynamisme des segments à usage loisirs (jeunesse et bande</w:t>
      </w:r>
      <w:r w:rsidR="00FC72BE">
        <w:rPr>
          <w:rFonts w:ascii="Times New Roman" w:hAnsi="Times New Roman"/>
          <w:sz w:val="24"/>
        </w:rPr>
        <w:t>s</w:t>
      </w:r>
      <w:r w:rsidRPr="00561791">
        <w:rPr>
          <w:rFonts w:ascii="Times New Roman" w:hAnsi="Times New Roman"/>
          <w:sz w:val="24"/>
        </w:rPr>
        <w:t xml:space="preserve"> dessinée</w:t>
      </w:r>
      <w:r w:rsidR="00FC72BE">
        <w:rPr>
          <w:rFonts w:ascii="Times New Roman" w:hAnsi="Times New Roman"/>
          <w:sz w:val="24"/>
        </w:rPr>
        <w:t>s</w:t>
      </w:r>
      <w:r w:rsidRPr="00561791">
        <w:rPr>
          <w:rFonts w:ascii="Times New Roman" w:hAnsi="Times New Roman"/>
          <w:sz w:val="24"/>
        </w:rPr>
        <w:t xml:space="preserve"> notamment), alors que d'autres catégories éditoriales (encyclopédies ou guides touristiques) sont péna</w:t>
      </w:r>
      <w:r>
        <w:rPr>
          <w:rFonts w:ascii="Times New Roman" w:hAnsi="Times New Roman"/>
          <w:sz w:val="24"/>
        </w:rPr>
        <w:t xml:space="preserve">lisées par le développement de </w:t>
      </w:r>
      <w:r w:rsidRPr="00561791">
        <w:rPr>
          <w:rFonts w:ascii="Times New Roman" w:hAnsi="Times New Roman"/>
          <w:sz w:val="24"/>
        </w:rPr>
        <w:t xml:space="preserve">produits substituables (Internet, GPS, </w:t>
      </w:r>
      <w:r>
        <w:rPr>
          <w:rFonts w:ascii="Times New Roman" w:hAnsi="Times New Roman"/>
          <w:sz w:val="24"/>
        </w:rPr>
        <w:t>livre numérique,</w:t>
      </w:r>
      <w:r w:rsidR="002B1A22">
        <w:rPr>
          <w:rFonts w:ascii="Times New Roman" w:hAnsi="Times New Roman"/>
          <w:sz w:val="24"/>
        </w:rPr>
        <w:t xml:space="preserve"> </w:t>
      </w:r>
      <w:r>
        <w:rPr>
          <w:rFonts w:ascii="Times New Roman" w:hAnsi="Times New Roman"/>
          <w:sz w:val="24"/>
        </w:rPr>
        <w:t>…</w:t>
      </w:r>
      <w:r w:rsidRPr="00561791">
        <w:rPr>
          <w:rFonts w:ascii="Times New Roman" w:hAnsi="Times New Roman"/>
          <w:sz w:val="24"/>
        </w:rPr>
        <w:t>).</w:t>
      </w:r>
    </w:p>
    <w:p w:rsidR="00554A0B" w:rsidRPr="00561791" w:rsidRDefault="00554A0B" w:rsidP="00501B15">
      <w:pPr>
        <w:pStyle w:val="Sansinterligne1"/>
        <w:rPr>
          <w:rFonts w:ascii="Times New Roman" w:hAnsi="Times New Roman"/>
          <w:sz w:val="24"/>
        </w:rPr>
      </w:pPr>
    </w:p>
    <w:p w:rsidR="00554A0B" w:rsidRPr="00561791" w:rsidRDefault="00554A0B" w:rsidP="00501B15">
      <w:pPr>
        <w:pStyle w:val="Sansinterligne1"/>
        <w:rPr>
          <w:rFonts w:ascii="Times New Roman" w:hAnsi="Times New Roman" w:cs="Arial"/>
          <w:sz w:val="24"/>
          <w:szCs w:val="20"/>
        </w:rPr>
      </w:pPr>
      <w:r w:rsidRPr="00561791">
        <w:rPr>
          <w:rFonts w:ascii="Times New Roman" w:hAnsi="Times New Roman" w:cs="Arial"/>
          <w:sz w:val="24"/>
          <w:szCs w:val="20"/>
        </w:rPr>
        <w:t xml:space="preserve">Dans ce contexte, l’éditeur LLF a choisi depuis </w:t>
      </w:r>
      <w:r w:rsidR="00831BC7">
        <w:rPr>
          <w:rFonts w:ascii="Times New Roman" w:hAnsi="Times New Roman" w:cs="Arial"/>
          <w:sz w:val="24"/>
          <w:szCs w:val="20"/>
        </w:rPr>
        <w:t>2009</w:t>
      </w:r>
      <w:r w:rsidRPr="00561791">
        <w:rPr>
          <w:rFonts w:ascii="Times New Roman" w:hAnsi="Times New Roman" w:cs="Arial"/>
          <w:sz w:val="24"/>
          <w:szCs w:val="20"/>
        </w:rPr>
        <w:t xml:space="preserve"> d’offrir </w:t>
      </w:r>
      <w:r w:rsidRPr="00561791">
        <w:rPr>
          <w:rFonts w:ascii="Times New Roman" w:hAnsi="Times New Roman" w:cs="Arial"/>
          <w:sz w:val="24"/>
        </w:rPr>
        <w:t xml:space="preserve">ses contenus sous tous les formats et de développer le marché du livre numérique. </w:t>
      </w:r>
      <w:r>
        <w:rPr>
          <w:rFonts w:ascii="Times New Roman" w:hAnsi="Times New Roman" w:cs="Arial"/>
          <w:sz w:val="24"/>
        </w:rPr>
        <w:t>I</w:t>
      </w:r>
      <w:r w:rsidRPr="00561791">
        <w:rPr>
          <w:rFonts w:ascii="Times New Roman" w:hAnsi="Times New Roman" w:cs="Arial"/>
          <w:sz w:val="24"/>
        </w:rPr>
        <w:t>l</w:t>
      </w:r>
      <w:r w:rsidRPr="00561791">
        <w:rPr>
          <w:rFonts w:ascii="Times New Roman" w:hAnsi="Times New Roman" w:cs="Arial"/>
          <w:sz w:val="24"/>
          <w:szCs w:val="20"/>
        </w:rPr>
        <w:t xml:space="preserve"> souhaite aussi aujourd'hui élargir son portefeuille éditorial et pénétrer un nouveau marché dynamique</w:t>
      </w:r>
      <w:r w:rsidR="002B1A22">
        <w:rPr>
          <w:rFonts w:ascii="Times New Roman" w:hAnsi="Times New Roman" w:cs="Arial"/>
          <w:sz w:val="24"/>
          <w:szCs w:val="20"/>
        </w:rPr>
        <w:t xml:space="preserve"> </w:t>
      </w:r>
      <w:r w:rsidR="00FC72BE">
        <w:rPr>
          <w:rFonts w:ascii="Times New Roman" w:hAnsi="Times New Roman" w:cs="Arial"/>
          <w:sz w:val="24"/>
          <w:szCs w:val="20"/>
        </w:rPr>
        <w:t>: les livres « jeunesse »</w:t>
      </w:r>
      <w:r w:rsidRPr="00561791">
        <w:rPr>
          <w:rFonts w:ascii="Times New Roman" w:hAnsi="Times New Roman" w:cs="Arial"/>
          <w:sz w:val="24"/>
          <w:szCs w:val="20"/>
        </w:rPr>
        <w:t>. Pour réaliser cette nouvelle co</w:t>
      </w:r>
      <w:r w:rsidR="00FC72BE">
        <w:rPr>
          <w:rFonts w:ascii="Times New Roman" w:hAnsi="Times New Roman" w:cs="Arial"/>
          <w:sz w:val="24"/>
          <w:szCs w:val="20"/>
        </w:rPr>
        <w:t>llection, il a choisi l’i</w:t>
      </w:r>
      <w:r w:rsidRPr="00561791">
        <w:rPr>
          <w:rFonts w:ascii="Times New Roman" w:hAnsi="Times New Roman" w:cs="Arial"/>
          <w:sz w:val="24"/>
          <w:szCs w:val="20"/>
        </w:rPr>
        <w:t xml:space="preserve">mprimerie </w:t>
      </w:r>
      <w:r w:rsidRPr="00561791">
        <w:rPr>
          <w:rFonts w:ascii="Times New Roman" w:hAnsi="Times New Roman" w:cs="Arial"/>
          <w:b/>
          <w:sz w:val="24"/>
          <w:szCs w:val="20"/>
        </w:rPr>
        <w:t xml:space="preserve">SIL </w:t>
      </w:r>
      <w:r w:rsidRPr="00561791">
        <w:rPr>
          <w:rFonts w:ascii="Times New Roman" w:hAnsi="Times New Roman" w:cs="Arial"/>
          <w:b/>
          <w:bCs/>
          <w:sz w:val="24"/>
          <w:szCs w:val="20"/>
        </w:rPr>
        <w:t>(Société d’Imprimerie du Livre)</w:t>
      </w:r>
      <w:r w:rsidRPr="00561791">
        <w:rPr>
          <w:rFonts w:ascii="Times New Roman" w:hAnsi="Times New Roman" w:cs="Arial"/>
          <w:sz w:val="24"/>
          <w:szCs w:val="20"/>
        </w:rPr>
        <w:t>, entreprise avec laquelle il a noué des liens étroits depuis plusieurs années.</w:t>
      </w:r>
    </w:p>
    <w:p w:rsidR="00554A0B" w:rsidRDefault="00554A0B">
      <w:pPr>
        <w:shd w:val="clear" w:color="auto" w:fill="FFFFFF"/>
        <w:rPr>
          <w:b/>
          <w:bCs/>
          <w:color w:val="000000"/>
          <w:spacing w:val="-7"/>
          <w:szCs w:val="24"/>
        </w:rPr>
      </w:pPr>
    </w:p>
    <w:p w:rsidR="00554A0B" w:rsidRDefault="00554A0B">
      <w:pPr>
        <w:shd w:val="clear" w:color="auto" w:fill="FFFFFF"/>
        <w:rPr>
          <w:b/>
          <w:bCs/>
          <w:color w:val="000000"/>
          <w:spacing w:val="-7"/>
          <w:szCs w:val="24"/>
        </w:rPr>
      </w:pPr>
    </w:p>
    <w:p w:rsidR="00554A0B" w:rsidRPr="00E57B00" w:rsidRDefault="00554A0B">
      <w:pPr>
        <w:shd w:val="clear" w:color="auto" w:fill="FFFFFF"/>
        <w:rPr>
          <w:color w:val="000000"/>
          <w:spacing w:val="-7"/>
          <w:sz w:val="4"/>
          <w:szCs w:val="24"/>
        </w:rPr>
      </w:pPr>
    </w:p>
    <w:p w:rsidR="00554A0B" w:rsidRDefault="00554A0B">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w:t>
      </w:r>
      <w:r w:rsidR="00FC72BE">
        <w:rPr>
          <w:caps/>
          <w:position w:val="-48"/>
          <w:sz w:val="28"/>
          <w:szCs w:val="28"/>
        </w:rPr>
        <w:t>SIER 1 - budgétisation et contrÔ</w:t>
      </w:r>
      <w:r>
        <w:rPr>
          <w:caps/>
          <w:position w:val="-48"/>
          <w:sz w:val="28"/>
          <w:szCs w:val="28"/>
        </w:rPr>
        <w:t>le budgetaire</w:t>
      </w:r>
    </w:p>
    <w:p w:rsidR="00554A0B" w:rsidRDefault="00554A0B">
      <w:pPr>
        <w:shd w:val="clear" w:color="auto" w:fill="FFFFFF"/>
        <w:rPr>
          <w:color w:val="000000"/>
          <w:spacing w:val="-7"/>
          <w:szCs w:val="24"/>
        </w:rPr>
      </w:pPr>
    </w:p>
    <w:p w:rsidR="00554A0B" w:rsidRDefault="00554A0B" w:rsidP="00501B15">
      <w:pPr>
        <w:spacing w:after="120"/>
      </w:pPr>
      <w:r>
        <w:t xml:space="preserve">Monsieur Bernard, contrôleur de gestion de l’éditeur LLF, a l’habitude de réaliser un contrôle budgétaire afin de comparer le résultat réalisé avec le résultat prévu. L’établissement des prévisions pour l’exercice </w:t>
      </w:r>
      <w:r w:rsidR="00831BC7">
        <w:t>2010</w:t>
      </w:r>
      <w:r>
        <w:t xml:space="preserve"> a cependant été délicat compte tenu de l’évolution du marché du livre et d’un contexte économique particulier</w:t>
      </w:r>
      <w:r w:rsidR="00485DF7">
        <w:t xml:space="preserve"> (</w:t>
      </w:r>
      <w:r w:rsidR="00F81CA3">
        <w:t xml:space="preserve">voir </w:t>
      </w:r>
      <w:r w:rsidR="00485DF7">
        <w:rPr>
          <w:i/>
        </w:rPr>
        <w:t>annexe 1</w:t>
      </w:r>
      <w:r w:rsidR="00F81CA3">
        <w:t>).</w:t>
      </w:r>
      <w:r>
        <w:t xml:space="preserve"> </w:t>
      </w:r>
    </w:p>
    <w:p w:rsidR="00554A0B" w:rsidRDefault="00554A0B" w:rsidP="00501B15">
      <w:pPr>
        <w:spacing w:after="120"/>
      </w:pPr>
      <w:r>
        <w:t xml:space="preserve">Vous êtes chargé de l’aider à établir ce contrôle budgétaire pour </w:t>
      </w:r>
      <w:r w:rsidR="00831BC7">
        <w:t>2010</w:t>
      </w:r>
      <w:r>
        <w:t>.</w:t>
      </w:r>
    </w:p>
    <w:p w:rsidR="00554A0B" w:rsidRDefault="00554A0B" w:rsidP="00501B15">
      <w:pPr>
        <w:spacing w:after="120"/>
        <w:jc w:val="center"/>
        <w:rPr>
          <w:b/>
        </w:rPr>
      </w:pPr>
    </w:p>
    <w:p w:rsidR="00554A0B" w:rsidRDefault="00554A0B" w:rsidP="00501B15">
      <w:pPr>
        <w:spacing w:after="120"/>
        <w:jc w:val="center"/>
        <w:rPr>
          <w:b/>
        </w:rPr>
      </w:pPr>
      <w:r w:rsidRPr="00C77E2B">
        <w:rPr>
          <w:b/>
        </w:rPr>
        <w:t>Travail à faire</w:t>
      </w:r>
    </w:p>
    <w:p w:rsidR="00554A0B" w:rsidRPr="00C77E2B" w:rsidRDefault="00554A0B" w:rsidP="00501B15">
      <w:pPr>
        <w:spacing w:after="120"/>
        <w:jc w:val="center"/>
        <w:rPr>
          <w:b/>
        </w:rPr>
      </w:pPr>
    </w:p>
    <w:p w:rsidR="00554A0B" w:rsidRPr="00E163F7" w:rsidRDefault="00F81CA3" w:rsidP="00FC72BE">
      <w:pPr>
        <w:pStyle w:val="Sansinterligne1"/>
        <w:numPr>
          <w:ilvl w:val="0"/>
          <w:numId w:val="1"/>
        </w:numPr>
        <w:ind w:left="284" w:hanging="284"/>
        <w:rPr>
          <w:rFonts w:ascii="Times New Roman" w:hAnsi="Times New Roman" w:cs="Arial"/>
          <w:b/>
          <w:bCs/>
          <w:sz w:val="24"/>
          <w:szCs w:val="20"/>
        </w:rPr>
      </w:pPr>
      <w:r>
        <w:rPr>
          <w:rFonts w:ascii="Times New Roman" w:hAnsi="Times New Roman" w:cs="Arial"/>
          <w:b/>
          <w:bCs/>
          <w:sz w:val="24"/>
          <w:szCs w:val="20"/>
        </w:rPr>
        <w:t>Présent</w:t>
      </w:r>
      <w:r w:rsidR="00554A0B" w:rsidRPr="00E163F7">
        <w:rPr>
          <w:rFonts w:ascii="Times New Roman" w:hAnsi="Times New Roman" w:cs="Arial"/>
          <w:b/>
          <w:bCs/>
          <w:sz w:val="24"/>
          <w:szCs w:val="20"/>
        </w:rPr>
        <w:t>er</w:t>
      </w:r>
      <w:r>
        <w:rPr>
          <w:rFonts w:ascii="Times New Roman" w:hAnsi="Times New Roman" w:cs="Arial"/>
          <w:b/>
          <w:bCs/>
          <w:sz w:val="24"/>
          <w:szCs w:val="20"/>
        </w:rPr>
        <w:t>,</w:t>
      </w:r>
      <w:r w:rsidR="00554A0B" w:rsidRPr="00E163F7">
        <w:rPr>
          <w:rFonts w:ascii="Times New Roman" w:hAnsi="Times New Roman" w:cs="Arial"/>
          <w:b/>
          <w:bCs/>
          <w:sz w:val="24"/>
          <w:szCs w:val="20"/>
        </w:rPr>
        <w:t xml:space="preserve"> en une </w:t>
      </w:r>
      <w:r w:rsidR="00554A0B">
        <w:rPr>
          <w:rFonts w:ascii="Times New Roman" w:hAnsi="Times New Roman" w:cs="Arial"/>
          <w:b/>
          <w:bCs/>
          <w:sz w:val="24"/>
          <w:szCs w:val="20"/>
        </w:rPr>
        <w:t>vingt</w:t>
      </w:r>
      <w:r w:rsidR="00554A0B" w:rsidRPr="00E163F7">
        <w:rPr>
          <w:rFonts w:ascii="Times New Roman" w:hAnsi="Times New Roman" w:cs="Arial"/>
          <w:b/>
          <w:bCs/>
          <w:sz w:val="24"/>
          <w:szCs w:val="20"/>
        </w:rPr>
        <w:t>aine de lignes</w:t>
      </w:r>
      <w:r>
        <w:rPr>
          <w:rFonts w:ascii="Times New Roman" w:hAnsi="Times New Roman" w:cs="Arial"/>
          <w:b/>
          <w:bCs/>
          <w:sz w:val="24"/>
          <w:szCs w:val="20"/>
        </w:rPr>
        <w:t>,</w:t>
      </w:r>
      <w:r w:rsidR="00554A0B" w:rsidRPr="00E163F7">
        <w:rPr>
          <w:rFonts w:ascii="Times New Roman" w:hAnsi="Times New Roman" w:cs="Arial"/>
          <w:b/>
          <w:bCs/>
          <w:sz w:val="24"/>
          <w:szCs w:val="20"/>
        </w:rPr>
        <w:t xml:space="preserve"> le rôle de la budgétisation dans une organisation et les fonctions du contrôleur de gestion dans la pratique budgétaire</w:t>
      </w:r>
      <w:r w:rsidR="002B1A22">
        <w:rPr>
          <w:rFonts w:ascii="Times New Roman" w:hAnsi="Times New Roman" w:cs="Arial"/>
          <w:b/>
          <w:bCs/>
          <w:sz w:val="24"/>
          <w:szCs w:val="20"/>
        </w:rPr>
        <w:t xml:space="preserve"> </w:t>
      </w:r>
      <w:r w:rsidR="00554A0B" w:rsidRPr="00E163F7">
        <w:rPr>
          <w:rFonts w:ascii="Times New Roman" w:hAnsi="Times New Roman" w:cs="Arial"/>
          <w:b/>
          <w:bCs/>
          <w:sz w:val="24"/>
          <w:szCs w:val="20"/>
        </w:rPr>
        <w:t>(décrire la démarche budgétaire, préciser les enjeux et limites des budgets, expliquer le rôle du contrôleur de gestion</w:t>
      </w:r>
      <w:r w:rsidR="00554A0B">
        <w:rPr>
          <w:rFonts w:ascii="Times New Roman" w:hAnsi="Times New Roman" w:cs="Arial"/>
          <w:b/>
          <w:bCs/>
          <w:sz w:val="24"/>
          <w:szCs w:val="20"/>
        </w:rPr>
        <w:t>).</w:t>
      </w:r>
    </w:p>
    <w:p w:rsidR="00554A0B" w:rsidRPr="00C77E2B" w:rsidRDefault="00554A0B" w:rsidP="00FC72BE">
      <w:pPr>
        <w:spacing w:after="120"/>
        <w:rPr>
          <w:b/>
        </w:rPr>
      </w:pPr>
      <w:r>
        <w:rPr>
          <w:b/>
        </w:rPr>
        <w:br w:type="page"/>
      </w:r>
      <w:r w:rsidRPr="00C77E2B">
        <w:rPr>
          <w:b/>
        </w:rPr>
        <w:lastRenderedPageBreak/>
        <w:t xml:space="preserve">A l’aide des </w:t>
      </w:r>
      <w:r w:rsidRPr="00C77E2B">
        <w:rPr>
          <w:b/>
          <w:i/>
        </w:rPr>
        <w:t>annexes 1 et 2</w:t>
      </w:r>
      <w:r>
        <w:rPr>
          <w:b/>
          <w:i/>
        </w:rPr>
        <w:t> </w:t>
      </w:r>
      <w:r>
        <w:rPr>
          <w:b/>
        </w:rPr>
        <w:t>:</w:t>
      </w:r>
    </w:p>
    <w:p w:rsidR="002B1A22" w:rsidRDefault="00554A0B" w:rsidP="00FC72BE">
      <w:pPr>
        <w:numPr>
          <w:ilvl w:val="0"/>
          <w:numId w:val="1"/>
        </w:numPr>
        <w:spacing w:after="120"/>
        <w:ind w:left="284" w:hanging="284"/>
        <w:rPr>
          <w:b/>
        </w:rPr>
      </w:pPr>
      <w:r w:rsidRPr="00C77E2B">
        <w:rPr>
          <w:b/>
        </w:rPr>
        <w:t>Calculer, globalement et pour chaque collection, l’écart sur résultat</w:t>
      </w:r>
      <w:r w:rsidR="002B1A22">
        <w:rPr>
          <w:b/>
        </w:rPr>
        <w:t>.</w:t>
      </w:r>
    </w:p>
    <w:p w:rsidR="0022431B" w:rsidRDefault="0022431B" w:rsidP="00FC72BE">
      <w:pPr>
        <w:numPr>
          <w:ilvl w:val="0"/>
          <w:numId w:val="1"/>
        </w:numPr>
        <w:spacing w:after="120"/>
        <w:ind w:left="284" w:hanging="284"/>
        <w:rPr>
          <w:b/>
        </w:rPr>
      </w:pPr>
      <w:r>
        <w:rPr>
          <w:b/>
        </w:rPr>
        <w:t>Procéder à la décomposition de l’écart sur résultat conformément aux indications fournies par Monsieur Bernard.</w:t>
      </w:r>
    </w:p>
    <w:p w:rsidR="0022431B" w:rsidRDefault="0022431B" w:rsidP="00FC72BE">
      <w:pPr>
        <w:numPr>
          <w:ilvl w:val="0"/>
          <w:numId w:val="1"/>
        </w:numPr>
        <w:spacing w:after="120"/>
        <w:ind w:left="284" w:hanging="284"/>
        <w:rPr>
          <w:b/>
        </w:rPr>
      </w:pPr>
      <w:r>
        <w:rPr>
          <w:b/>
        </w:rPr>
        <w:t>Indiquer l’intérêt et les critiques éventuelles que l’on peut apporter à cette décomposition. Commenter les résultats obtenus.</w:t>
      </w:r>
    </w:p>
    <w:p w:rsidR="00554A0B" w:rsidRDefault="002B1A22" w:rsidP="00FC72BE">
      <w:pPr>
        <w:numPr>
          <w:ilvl w:val="0"/>
          <w:numId w:val="1"/>
        </w:numPr>
        <w:spacing w:after="120"/>
        <w:ind w:left="284" w:hanging="284"/>
        <w:rPr>
          <w:b/>
        </w:rPr>
      </w:pPr>
      <w:r>
        <w:rPr>
          <w:b/>
        </w:rPr>
        <w:t>D</w:t>
      </w:r>
      <w:r w:rsidR="00554A0B" w:rsidRPr="00C77E2B">
        <w:rPr>
          <w:b/>
        </w:rPr>
        <w:t xml:space="preserve">écomposer </w:t>
      </w:r>
      <w:r w:rsidR="0022431B">
        <w:rPr>
          <w:b/>
        </w:rPr>
        <w:t>l’</w:t>
      </w:r>
      <w:r>
        <w:rPr>
          <w:b/>
        </w:rPr>
        <w:t>éc</w:t>
      </w:r>
      <w:r w:rsidR="00554A0B" w:rsidRPr="00C77E2B">
        <w:rPr>
          <w:b/>
        </w:rPr>
        <w:t>a</w:t>
      </w:r>
      <w:r>
        <w:rPr>
          <w:b/>
        </w:rPr>
        <w:t xml:space="preserve">rt </w:t>
      </w:r>
      <w:r w:rsidR="0022431B">
        <w:rPr>
          <w:b/>
        </w:rPr>
        <w:t xml:space="preserve">de marge sur coût de revient </w:t>
      </w:r>
      <w:r>
        <w:rPr>
          <w:b/>
        </w:rPr>
        <w:t xml:space="preserve">en </w:t>
      </w:r>
      <w:r w:rsidR="00DB75EA">
        <w:rPr>
          <w:b/>
        </w:rPr>
        <w:t>trois sous-</w:t>
      </w:r>
      <w:r>
        <w:rPr>
          <w:b/>
        </w:rPr>
        <w:t>écarts (prix, composition et volume global).</w:t>
      </w:r>
    </w:p>
    <w:p w:rsidR="00554A0B" w:rsidRPr="00C77E2B" w:rsidRDefault="002B1A22" w:rsidP="00FC72BE">
      <w:pPr>
        <w:numPr>
          <w:ilvl w:val="0"/>
          <w:numId w:val="1"/>
        </w:numPr>
        <w:spacing w:after="120"/>
        <w:ind w:left="284" w:hanging="284"/>
        <w:rPr>
          <w:b/>
        </w:rPr>
      </w:pPr>
      <w:r>
        <w:rPr>
          <w:b/>
        </w:rPr>
        <w:t xml:space="preserve"> </w:t>
      </w:r>
      <w:r w:rsidR="00DB75EA">
        <w:rPr>
          <w:b/>
        </w:rPr>
        <w:t>Rappeler la signification de</w:t>
      </w:r>
      <w:r w:rsidR="00844CAF">
        <w:rPr>
          <w:b/>
        </w:rPr>
        <w:t xml:space="preserve"> chacun de ces sous-écarts</w:t>
      </w:r>
      <w:r w:rsidR="00DB75EA">
        <w:rPr>
          <w:b/>
        </w:rPr>
        <w:t xml:space="preserve"> et c</w:t>
      </w:r>
      <w:r w:rsidR="00554A0B" w:rsidRPr="00C77E2B">
        <w:rPr>
          <w:b/>
        </w:rPr>
        <w:t>ommenter</w:t>
      </w:r>
      <w:r w:rsidR="00554A0B">
        <w:rPr>
          <w:b/>
        </w:rPr>
        <w:t xml:space="preserve"> les résultats obtenus</w:t>
      </w:r>
      <w:r w:rsidR="00554A0B" w:rsidRPr="00C77E2B">
        <w:rPr>
          <w:b/>
        </w:rPr>
        <w:t>.</w:t>
      </w:r>
    </w:p>
    <w:p w:rsidR="00554A0B" w:rsidRDefault="00554A0B">
      <w:pPr>
        <w:pStyle w:val="Titre5"/>
        <w:rPr>
          <w:bCs/>
          <w:sz w:val="24"/>
          <w:szCs w:val="24"/>
        </w:rPr>
      </w:pPr>
    </w:p>
    <w:p w:rsidR="00554A0B" w:rsidRDefault="00554A0B">
      <w:pPr>
        <w:rPr>
          <w:b/>
          <w:bCs/>
        </w:rPr>
      </w:pPr>
    </w:p>
    <w:p w:rsidR="00554A0B" w:rsidRDefault="00FC72BE" w:rsidP="00501B15">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b w:val="0"/>
          <w:bCs w:val="0"/>
        </w:rPr>
      </w:pPr>
      <w:r>
        <w:rPr>
          <w:caps/>
          <w:position w:val="-48"/>
          <w:sz w:val="28"/>
          <w:szCs w:val="28"/>
        </w:rPr>
        <w:t>DOSSIER 2 -</w:t>
      </w:r>
      <w:r w:rsidR="00554A0B">
        <w:rPr>
          <w:caps/>
          <w:position w:val="-48"/>
          <w:sz w:val="28"/>
          <w:szCs w:val="28"/>
        </w:rPr>
        <w:t xml:space="preserve"> Investissement  et ordonnancement</w:t>
      </w:r>
    </w:p>
    <w:p w:rsidR="00554A0B" w:rsidRDefault="00554A0B" w:rsidP="00501B15">
      <w:pPr>
        <w:pStyle w:val="Sansinterligne1"/>
        <w:rPr>
          <w:rFonts w:ascii="Times New Roman" w:hAnsi="Times New Roman"/>
          <w:sz w:val="24"/>
          <w:szCs w:val="24"/>
        </w:rPr>
      </w:pPr>
    </w:p>
    <w:p w:rsidR="00554A0B" w:rsidRPr="00D57B10" w:rsidRDefault="00554A0B" w:rsidP="00501B15">
      <w:pPr>
        <w:pStyle w:val="Sansinterligne1"/>
        <w:rPr>
          <w:rFonts w:ascii="Times New Roman" w:hAnsi="Times New Roman"/>
          <w:bCs/>
          <w:sz w:val="24"/>
          <w:szCs w:val="24"/>
        </w:rPr>
      </w:pPr>
      <w:r w:rsidRPr="00D57B10">
        <w:rPr>
          <w:rFonts w:ascii="Times New Roman" w:hAnsi="Times New Roman"/>
          <w:sz w:val="24"/>
          <w:szCs w:val="24"/>
        </w:rPr>
        <w:t xml:space="preserve">Créée en 1969, la </w:t>
      </w:r>
      <w:r w:rsidRPr="00D57B10">
        <w:rPr>
          <w:rFonts w:ascii="Times New Roman" w:hAnsi="Times New Roman"/>
          <w:bCs/>
          <w:sz w:val="24"/>
          <w:szCs w:val="24"/>
        </w:rPr>
        <w:t xml:space="preserve">SIL </w:t>
      </w:r>
      <w:r w:rsidRPr="00D57B10">
        <w:rPr>
          <w:rFonts w:ascii="Times New Roman" w:hAnsi="Times New Roman"/>
          <w:sz w:val="24"/>
          <w:szCs w:val="24"/>
        </w:rPr>
        <w:t>s’est</w:t>
      </w:r>
      <w:r>
        <w:rPr>
          <w:rFonts w:ascii="Times New Roman" w:hAnsi="Times New Roman"/>
          <w:sz w:val="24"/>
          <w:szCs w:val="24"/>
        </w:rPr>
        <w:t xml:space="preserve"> développ</w:t>
      </w:r>
      <w:r w:rsidRPr="00D57B10">
        <w:rPr>
          <w:rFonts w:ascii="Times New Roman" w:hAnsi="Times New Roman"/>
          <w:sz w:val="24"/>
          <w:szCs w:val="24"/>
        </w:rPr>
        <w:t xml:space="preserve">é de manière progressive dans le secteur de </w:t>
      </w:r>
      <w:r w:rsidRPr="00D57B10">
        <w:rPr>
          <w:rFonts w:ascii="Times New Roman" w:hAnsi="Times New Roman"/>
          <w:bCs/>
          <w:sz w:val="24"/>
          <w:szCs w:val="24"/>
        </w:rPr>
        <w:t>l’impression</w:t>
      </w:r>
      <w:r w:rsidRPr="00D57B10">
        <w:rPr>
          <w:rFonts w:ascii="Times New Roman" w:hAnsi="Times New Roman"/>
          <w:sz w:val="24"/>
          <w:szCs w:val="24"/>
        </w:rPr>
        <w:t xml:space="preserve"> et du </w:t>
      </w:r>
      <w:r w:rsidRPr="00D57B10">
        <w:rPr>
          <w:rFonts w:ascii="Times New Roman" w:hAnsi="Times New Roman"/>
          <w:bCs/>
          <w:sz w:val="24"/>
          <w:szCs w:val="24"/>
        </w:rPr>
        <w:t>façonnage de livres. Au fil du temps,</w:t>
      </w:r>
      <w:r w:rsidRPr="00D57B10">
        <w:rPr>
          <w:rFonts w:ascii="Times New Roman" w:hAnsi="Times New Roman"/>
          <w:sz w:val="24"/>
          <w:szCs w:val="24"/>
        </w:rPr>
        <w:t xml:space="preserve"> elle a développé de nombreux partenariats avec les entreprises d’édition.</w:t>
      </w:r>
    </w:p>
    <w:p w:rsidR="00554A0B" w:rsidRPr="00D57B10" w:rsidRDefault="00554A0B" w:rsidP="00501B15">
      <w:pPr>
        <w:pStyle w:val="Sansinterligne1"/>
        <w:rPr>
          <w:rFonts w:ascii="Times New Roman" w:hAnsi="Times New Roman"/>
          <w:sz w:val="24"/>
          <w:szCs w:val="24"/>
        </w:rPr>
      </w:pPr>
      <w:r w:rsidRPr="00D57B10">
        <w:rPr>
          <w:rFonts w:ascii="Times New Roman" w:hAnsi="Times New Roman"/>
          <w:sz w:val="24"/>
          <w:szCs w:val="24"/>
        </w:rPr>
        <w:t>Implantée en région parisienne, cette entreprise apporte des solutions adapt</w:t>
      </w:r>
      <w:r w:rsidR="00F24E38">
        <w:rPr>
          <w:rFonts w:ascii="Times New Roman" w:hAnsi="Times New Roman"/>
          <w:sz w:val="24"/>
          <w:szCs w:val="24"/>
        </w:rPr>
        <w:t>ées à toutes les demandes de l’é</w:t>
      </w:r>
      <w:r w:rsidRPr="00D57B10">
        <w:rPr>
          <w:rFonts w:ascii="Times New Roman" w:hAnsi="Times New Roman"/>
          <w:sz w:val="24"/>
          <w:szCs w:val="24"/>
        </w:rPr>
        <w:t xml:space="preserve">dition (du livre de littérature au livre technique, en passant par le livre de poche et le magazine). </w:t>
      </w:r>
    </w:p>
    <w:p w:rsidR="00554A0B" w:rsidRPr="00D57B10" w:rsidRDefault="00554A0B" w:rsidP="00501B15">
      <w:pPr>
        <w:pStyle w:val="Sansinterligne1"/>
        <w:rPr>
          <w:rFonts w:ascii="Times New Roman" w:hAnsi="Times New Roman"/>
          <w:sz w:val="24"/>
          <w:szCs w:val="24"/>
        </w:rPr>
      </w:pPr>
      <w:r w:rsidRPr="00D57B10">
        <w:rPr>
          <w:rFonts w:ascii="Times New Roman" w:hAnsi="Times New Roman"/>
          <w:sz w:val="24"/>
          <w:szCs w:val="24"/>
        </w:rPr>
        <w:t>Totalement intégrée, la SIL maîtrise de multiples savoir-faire qui constituent un processus industriel complet comprenant toutes les opérations de pré-presse, impression et façonnage.</w:t>
      </w:r>
    </w:p>
    <w:p w:rsidR="00554A0B" w:rsidRPr="00D57B10" w:rsidRDefault="00554A0B" w:rsidP="00501B15">
      <w:pPr>
        <w:pStyle w:val="Sansinterligne1"/>
        <w:rPr>
          <w:rFonts w:ascii="Times New Roman" w:hAnsi="Times New Roman"/>
          <w:sz w:val="24"/>
          <w:szCs w:val="24"/>
        </w:rPr>
      </w:pPr>
    </w:p>
    <w:p w:rsidR="00554A0B" w:rsidRDefault="00554A0B" w:rsidP="00501B15">
      <w:pPr>
        <w:pStyle w:val="Sansinterligne1"/>
        <w:rPr>
          <w:rFonts w:ascii="Times New Roman" w:hAnsi="Times New Roman"/>
          <w:sz w:val="24"/>
          <w:szCs w:val="24"/>
        </w:rPr>
      </w:pPr>
      <w:r w:rsidRPr="00D57B10">
        <w:rPr>
          <w:rFonts w:ascii="Times New Roman" w:hAnsi="Times New Roman"/>
          <w:sz w:val="24"/>
          <w:szCs w:val="24"/>
        </w:rPr>
        <w:t xml:space="preserve">Pour développer la nouvelle collection </w:t>
      </w:r>
      <w:r>
        <w:rPr>
          <w:rFonts w:ascii="Times New Roman" w:hAnsi="Times New Roman"/>
          <w:sz w:val="24"/>
          <w:szCs w:val="24"/>
        </w:rPr>
        <w:t>de l’éditeur LLF</w:t>
      </w:r>
      <w:r w:rsidRPr="00D57B10">
        <w:rPr>
          <w:rFonts w:ascii="Times New Roman" w:hAnsi="Times New Roman"/>
          <w:sz w:val="24"/>
          <w:szCs w:val="24"/>
        </w:rPr>
        <w:t xml:space="preserve"> (livre documentaire pour les 9-12 ans avec support numérique) et répondre à la demande d’autres maisons d’édition, la mise en place d’une nouvelle unité de production dans un bâtiment de 1</w:t>
      </w:r>
      <w:r w:rsidR="00844CAF">
        <w:rPr>
          <w:rFonts w:ascii="Times New Roman" w:hAnsi="Times New Roman"/>
          <w:sz w:val="24"/>
          <w:szCs w:val="24"/>
        </w:rPr>
        <w:t xml:space="preserve"> </w:t>
      </w:r>
      <w:r w:rsidRPr="00D57B10">
        <w:rPr>
          <w:rFonts w:ascii="Times New Roman" w:hAnsi="Times New Roman"/>
          <w:sz w:val="24"/>
          <w:szCs w:val="24"/>
        </w:rPr>
        <w:t>000 m² est envisagée. Elle nécessite une multitude d’opérations et il est indispensable d’utiliser une méthode d’ordonnancement.</w:t>
      </w:r>
    </w:p>
    <w:p w:rsidR="00554A0B" w:rsidRDefault="00554A0B" w:rsidP="00501B15">
      <w:pPr>
        <w:pStyle w:val="Sansinterligne1"/>
        <w:rPr>
          <w:rFonts w:ascii="Times New Roman" w:hAnsi="Times New Roman"/>
          <w:sz w:val="24"/>
          <w:szCs w:val="24"/>
        </w:rPr>
      </w:pPr>
    </w:p>
    <w:p w:rsidR="00554A0B" w:rsidRPr="00D57B10" w:rsidRDefault="00554A0B" w:rsidP="00501B15">
      <w:pPr>
        <w:pStyle w:val="Sansinterligne1"/>
        <w:rPr>
          <w:rFonts w:ascii="Times New Roman" w:hAnsi="Times New Roman"/>
          <w:sz w:val="24"/>
          <w:szCs w:val="24"/>
        </w:rPr>
      </w:pPr>
    </w:p>
    <w:p w:rsidR="00554A0B" w:rsidRDefault="00554A0B" w:rsidP="00501B15">
      <w:pPr>
        <w:spacing w:after="120"/>
        <w:jc w:val="center"/>
        <w:rPr>
          <w:b/>
        </w:rPr>
      </w:pPr>
      <w:r w:rsidRPr="00C77E2B">
        <w:rPr>
          <w:b/>
        </w:rPr>
        <w:t>Travail à faire</w:t>
      </w:r>
    </w:p>
    <w:p w:rsidR="00554A0B" w:rsidRDefault="00554A0B" w:rsidP="00501B15">
      <w:pPr>
        <w:spacing w:after="120"/>
        <w:jc w:val="center"/>
        <w:rPr>
          <w:b/>
        </w:rPr>
      </w:pPr>
    </w:p>
    <w:p w:rsidR="00554A0B" w:rsidRPr="00C1094B" w:rsidRDefault="00554A0B" w:rsidP="00F24E38">
      <w:pPr>
        <w:numPr>
          <w:ilvl w:val="0"/>
          <w:numId w:val="5"/>
        </w:numPr>
        <w:spacing w:after="120"/>
        <w:ind w:left="284" w:hanging="283"/>
        <w:rPr>
          <w:b/>
        </w:rPr>
      </w:pPr>
      <w:r w:rsidRPr="00D57B10">
        <w:rPr>
          <w:b/>
          <w:szCs w:val="24"/>
        </w:rPr>
        <w:t xml:space="preserve">Expliquer en une dizaine de lignes </w:t>
      </w:r>
      <w:r>
        <w:rPr>
          <w:b/>
          <w:szCs w:val="24"/>
        </w:rPr>
        <w:t>dans quels cas il est intéressant de recourir à</w:t>
      </w:r>
      <w:r w:rsidRPr="00D57B10">
        <w:rPr>
          <w:b/>
          <w:szCs w:val="24"/>
        </w:rPr>
        <w:t xml:space="preserve"> une méthode d’ordonnancement </w:t>
      </w:r>
      <w:r>
        <w:rPr>
          <w:b/>
          <w:szCs w:val="24"/>
        </w:rPr>
        <w:t>et quels sont les avantages d’un tel outil</w:t>
      </w:r>
      <w:r w:rsidRPr="00D57B10">
        <w:rPr>
          <w:b/>
          <w:szCs w:val="24"/>
        </w:rPr>
        <w:t>.</w:t>
      </w:r>
    </w:p>
    <w:p w:rsidR="00844CAF" w:rsidRDefault="00844CAF" w:rsidP="00501B15">
      <w:pPr>
        <w:spacing w:after="120"/>
        <w:ind w:firstLine="426"/>
        <w:rPr>
          <w:b/>
        </w:rPr>
      </w:pPr>
    </w:p>
    <w:p w:rsidR="00554A0B" w:rsidRPr="00C77E2B" w:rsidRDefault="00554A0B" w:rsidP="00F24E38">
      <w:pPr>
        <w:spacing w:after="120"/>
        <w:rPr>
          <w:b/>
        </w:rPr>
      </w:pPr>
      <w:r>
        <w:rPr>
          <w:b/>
        </w:rPr>
        <w:t>A l’aide de</w:t>
      </w:r>
      <w:r w:rsidR="00844CAF">
        <w:rPr>
          <w:b/>
        </w:rPr>
        <w:t xml:space="preserve"> </w:t>
      </w:r>
      <w:r>
        <w:rPr>
          <w:b/>
        </w:rPr>
        <w:t>l’</w:t>
      </w:r>
      <w:r>
        <w:rPr>
          <w:b/>
          <w:i/>
        </w:rPr>
        <w:t>annexe 3 </w:t>
      </w:r>
      <w:r>
        <w:rPr>
          <w:b/>
        </w:rPr>
        <w:t>:</w:t>
      </w:r>
    </w:p>
    <w:p w:rsidR="00554A0B" w:rsidRDefault="00554A0B" w:rsidP="00F24E38">
      <w:pPr>
        <w:numPr>
          <w:ilvl w:val="0"/>
          <w:numId w:val="5"/>
        </w:numPr>
        <w:tabs>
          <w:tab w:val="left" w:pos="284"/>
        </w:tabs>
        <w:spacing w:after="120"/>
        <w:ind w:left="284" w:hanging="284"/>
        <w:rPr>
          <w:b/>
          <w:szCs w:val="24"/>
        </w:rPr>
      </w:pPr>
      <w:r>
        <w:rPr>
          <w:b/>
        </w:rPr>
        <w:t>R</w:t>
      </w:r>
      <w:r w:rsidRPr="0000677E">
        <w:rPr>
          <w:b/>
          <w:szCs w:val="24"/>
        </w:rPr>
        <w:t>eprésenter, par un graphe PERT ou MPM, le planning d’avancement des travaux. Déterminer le chemin critique et en déduire la date prévisionnelle de fin des travaux.</w:t>
      </w:r>
    </w:p>
    <w:p w:rsidR="00554A0B" w:rsidRDefault="00554A0B" w:rsidP="00F24E38">
      <w:pPr>
        <w:numPr>
          <w:ilvl w:val="0"/>
          <w:numId w:val="5"/>
        </w:numPr>
        <w:tabs>
          <w:tab w:val="left" w:pos="142"/>
        </w:tabs>
        <w:spacing w:after="120"/>
        <w:ind w:left="284" w:hanging="283"/>
        <w:rPr>
          <w:b/>
          <w:szCs w:val="24"/>
        </w:rPr>
      </w:pPr>
      <w:r>
        <w:rPr>
          <w:b/>
          <w:szCs w:val="24"/>
        </w:rPr>
        <w:t>C</w:t>
      </w:r>
      <w:r w:rsidRPr="0000677E">
        <w:rPr>
          <w:b/>
          <w:szCs w:val="24"/>
        </w:rPr>
        <w:t xml:space="preserve">alculer et interpréter les marges totales </w:t>
      </w:r>
      <w:r w:rsidR="00844CAF">
        <w:rPr>
          <w:b/>
          <w:szCs w:val="24"/>
        </w:rPr>
        <w:t xml:space="preserve">et libres </w:t>
      </w:r>
      <w:r w:rsidRPr="0000677E">
        <w:rPr>
          <w:b/>
          <w:szCs w:val="24"/>
        </w:rPr>
        <w:t>de chaque tâche.</w:t>
      </w:r>
    </w:p>
    <w:p w:rsidR="00554A0B" w:rsidRDefault="00554A0B" w:rsidP="00501B15">
      <w:pPr>
        <w:spacing w:after="120"/>
        <w:ind w:firstLine="426"/>
        <w:rPr>
          <w:b/>
        </w:rPr>
      </w:pPr>
    </w:p>
    <w:p w:rsidR="00554A0B" w:rsidRPr="00C77E2B" w:rsidRDefault="00554A0B" w:rsidP="00F24E38">
      <w:pPr>
        <w:spacing w:after="120"/>
        <w:rPr>
          <w:b/>
        </w:rPr>
      </w:pPr>
      <w:r>
        <w:rPr>
          <w:b/>
        </w:rPr>
        <w:t>A l’aide de</w:t>
      </w:r>
      <w:r w:rsidR="00844CAF">
        <w:rPr>
          <w:b/>
        </w:rPr>
        <w:t xml:space="preserve"> </w:t>
      </w:r>
      <w:r>
        <w:rPr>
          <w:b/>
        </w:rPr>
        <w:t>l’</w:t>
      </w:r>
      <w:r>
        <w:rPr>
          <w:b/>
          <w:i/>
        </w:rPr>
        <w:t>annexe 4 </w:t>
      </w:r>
      <w:r>
        <w:rPr>
          <w:b/>
        </w:rPr>
        <w:t>:</w:t>
      </w:r>
    </w:p>
    <w:p w:rsidR="00554A0B" w:rsidRDefault="00554A0B" w:rsidP="00F24E38">
      <w:pPr>
        <w:numPr>
          <w:ilvl w:val="0"/>
          <w:numId w:val="5"/>
        </w:numPr>
        <w:tabs>
          <w:tab w:val="left" w:pos="426"/>
        </w:tabs>
        <w:spacing w:after="120"/>
        <w:ind w:left="426" w:hanging="426"/>
        <w:rPr>
          <w:b/>
          <w:szCs w:val="24"/>
        </w:rPr>
      </w:pPr>
      <w:r>
        <w:rPr>
          <w:b/>
          <w:szCs w:val="24"/>
        </w:rPr>
        <w:t>Q</w:t>
      </w:r>
      <w:r w:rsidRPr="00D57B10">
        <w:rPr>
          <w:b/>
          <w:szCs w:val="24"/>
        </w:rPr>
        <w:t>uelle opération doit-on réduire en priorité</w:t>
      </w:r>
      <w:r w:rsidR="00844CAF">
        <w:rPr>
          <w:b/>
          <w:szCs w:val="24"/>
        </w:rPr>
        <w:t xml:space="preserve"> </w:t>
      </w:r>
      <w:r w:rsidRPr="00D57B10">
        <w:rPr>
          <w:b/>
          <w:szCs w:val="24"/>
        </w:rPr>
        <w:t xml:space="preserve">pour </w:t>
      </w:r>
      <w:r w:rsidR="00B97DF4">
        <w:rPr>
          <w:b/>
          <w:szCs w:val="24"/>
        </w:rPr>
        <w:t>diminuer</w:t>
      </w:r>
      <w:r w:rsidRPr="00D57B10">
        <w:rPr>
          <w:b/>
          <w:szCs w:val="24"/>
        </w:rPr>
        <w:t xml:space="preserve"> la durée du projet</w:t>
      </w:r>
      <w:r w:rsidR="00844CAF">
        <w:rPr>
          <w:b/>
          <w:szCs w:val="24"/>
        </w:rPr>
        <w:t xml:space="preserve"> </w:t>
      </w:r>
      <w:r w:rsidRPr="00D57B10">
        <w:rPr>
          <w:b/>
          <w:szCs w:val="24"/>
        </w:rPr>
        <w:t>au moindre coût</w:t>
      </w:r>
      <w:r w:rsidR="00DB75EA">
        <w:rPr>
          <w:b/>
          <w:szCs w:val="24"/>
        </w:rPr>
        <w:t> </w:t>
      </w:r>
      <w:r w:rsidRPr="00D57B10">
        <w:rPr>
          <w:b/>
          <w:szCs w:val="24"/>
        </w:rPr>
        <w:t>? Justifier la réponse.</w:t>
      </w:r>
    </w:p>
    <w:p w:rsidR="00554A0B" w:rsidRPr="00D57B10" w:rsidRDefault="00554A0B" w:rsidP="00501B15">
      <w:pPr>
        <w:pStyle w:val="Sansinterligne1"/>
        <w:rPr>
          <w:rFonts w:ascii="Times New Roman" w:hAnsi="Times New Roman"/>
          <w:b/>
          <w:sz w:val="24"/>
          <w:szCs w:val="24"/>
        </w:rPr>
      </w:pPr>
    </w:p>
    <w:p w:rsidR="00554A0B" w:rsidRPr="00AC4D36" w:rsidRDefault="00554A0B" w:rsidP="00501B15">
      <w:pPr>
        <w:rPr>
          <w:sz w:val="4"/>
        </w:rPr>
      </w:pPr>
      <w:r>
        <w:br w:type="page"/>
      </w:r>
    </w:p>
    <w:p w:rsidR="00554A0B" w:rsidRDefault="00F24E38" w:rsidP="00501B15">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b w:val="0"/>
          <w:bCs w:val="0"/>
        </w:rPr>
      </w:pPr>
      <w:r>
        <w:rPr>
          <w:caps/>
          <w:position w:val="-48"/>
          <w:sz w:val="28"/>
          <w:szCs w:val="28"/>
        </w:rPr>
        <w:t>DOSSIER 3 -</w:t>
      </w:r>
      <w:r w:rsidR="00554A0B">
        <w:rPr>
          <w:caps/>
          <w:position w:val="-48"/>
          <w:sz w:val="28"/>
          <w:szCs w:val="28"/>
        </w:rPr>
        <w:t xml:space="preserve"> gestion de la masse salariale</w:t>
      </w:r>
    </w:p>
    <w:p w:rsidR="00554A0B" w:rsidRDefault="00554A0B" w:rsidP="00501B15"/>
    <w:p w:rsidR="00554A0B" w:rsidRPr="002924A3" w:rsidRDefault="00554A0B" w:rsidP="00501B15">
      <w:pPr>
        <w:pStyle w:val="Sansinterligne1"/>
        <w:rPr>
          <w:rFonts w:ascii="Times New Roman" w:hAnsi="Times New Roman"/>
          <w:sz w:val="24"/>
          <w:szCs w:val="24"/>
        </w:rPr>
      </w:pPr>
      <w:r w:rsidRPr="002924A3">
        <w:rPr>
          <w:rFonts w:ascii="Times New Roman" w:hAnsi="Times New Roman"/>
          <w:sz w:val="24"/>
          <w:szCs w:val="24"/>
        </w:rPr>
        <w:t xml:space="preserve">Pour l’exercice </w:t>
      </w:r>
      <w:r w:rsidR="00831BC7">
        <w:rPr>
          <w:rFonts w:ascii="Times New Roman" w:hAnsi="Times New Roman"/>
          <w:sz w:val="24"/>
          <w:szCs w:val="24"/>
        </w:rPr>
        <w:t>2011</w:t>
      </w:r>
      <w:r w:rsidRPr="002924A3">
        <w:rPr>
          <w:rFonts w:ascii="Times New Roman" w:hAnsi="Times New Roman"/>
          <w:sz w:val="24"/>
          <w:szCs w:val="24"/>
        </w:rPr>
        <w:t>, il est prévu une réorganisation des ressources humaines au sein de l’entreprise SIL et les dirigeants de la société souhaitent évaluer :</w:t>
      </w:r>
    </w:p>
    <w:p w:rsidR="00554A0B" w:rsidRDefault="00554A0B" w:rsidP="00501B15">
      <w:pPr>
        <w:pStyle w:val="Sansinterligne1"/>
        <w:ind w:left="142" w:hanging="142"/>
        <w:rPr>
          <w:rFonts w:ascii="Times New Roman" w:hAnsi="Times New Roman"/>
          <w:sz w:val="24"/>
          <w:szCs w:val="24"/>
        </w:rPr>
      </w:pPr>
      <w:r w:rsidRPr="002924A3">
        <w:rPr>
          <w:rFonts w:ascii="Times New Roman" w:hAnsi="Times New Roman"/>
          <w:sz w:val="24"/>
          <w:szCs w:val="24"/>
        </w:rPr>
        <w:t xml:space="preserve">- d’une part, l’impact des augmentations collectives de salaires de l’exercice </w:t>
      </w:r>
      <w:r w:rsidR="00831BC7">
        <w:rPr>
          <w:rFonts w:ascii="Times New Roman" w:hAnsi="Times New Roman"/>
          <w:sz w:val="24"/>
          <w:szCs w:val="24"/>
        </w:rPr>
        <w:t>2010</w:t>
      </w:r>
      <w:r w:rsidRPr="002924A3">
        <w:rPr>
          <w:rFonts w:ascii="Times New Roman" w:hAnsi="Times New Roman"/>
          <w:sz w:val="24"/>
          <w:szCs w:val="24"/>
        </w:rPr>
        <w:t xml:space="preserve"> sur la masse salariale de </w:t>
      </w:r>
      <w:r w:rsidR="00831BC7">
        <w:rPr>
          <w:rFonts w:ascii="Times New Roman" w:hAnsi="Times New Roman"/>
          <w:sz w:val="24"/>
          <w:szCs w:val="24"/>
        </w:rPr>
        <w:t>2011</w:t>
      </w:r>
      <w:r w:rsidR="00844CAF">
        <w:rPr>
          <w:rFonts w:ascii="Times New Roman" w:hAnsi="Times New Roman"/>
          <w:sz w:val="24"/>
          <w:szCs w:val="24"/>
        </w:rPr>
        <w:t xml:space="preserve"> </w:t>
      </w:r>
      <w:r w:rsidRPr="002924A3">
        <w:rPr>
          <w:rFonts w:ascii="Times New Roman" w:hAnsi="Times New Roman"/>
          <w:sz w:val="24"/>
          <w:szCs w:val="24"/>
        </w:rPr>
        <w:t>;</w:t>
      </w:r>
    </w:p>
    <w:p w:rsidR="00554A0B" w:rsidRPr="002924A3" w:rsidRDefault="00554A0B" w:rsidP="00501B15">
      <w:pPr>
        <w:pStyle w:val="Sansinterligne1"/>
        <w:rPr>
          <w:rFonts w:ascii="Times New Roman" w:hAnsi="Times New Roman"/>
          <w:sz w:val="24"/>
          <w:szCs w:val="24"/>
        </w:rPr>
      </w:pPr>
      <w:r w:rsidRPr="002924A3">
        <w:rPr>
          <w:rFonts w:ascii="Times New Roman" w:hAnsi="Times New Roman"/>
          <w:sz w:val="24"/>
          <w:szCs w:val="24"/>
        </w:rPr>
        <w:t xml:space="preserve">- d’autre part, la masse salariale prévisionnelle de </w:t>
      </w:r>
      <w:r w:rsidR="00831BC7">
        <w:rPr>
          <w:rFonts w:ascii="Times New Roman" w:hAnsi="Times New Roman"/>
          <w:sz w:val="24"/>
          <w:szCs w:val="24"/>
        </w:rPr>
        <w:t>2011</w:t>
      </w:r>
      <w:r w:rsidRPr="002924A3">
        <w:rPr>
          <w:rFonts w:ascii="Times New Roman" w:hAnsi="Times New Roman"/>
          <w:sz w:val="24"/>
          <w:szCs w:val="24"/>
        </w:rPr>
        <w:t>.</w:t>
      </w:r>
    </w:p>
    <w:p w:rsidR="00554A0B" w:rsidRDefault="00554A0B" w:rsidP="00501B15">
      <w:pPr>
        <w:pStyle w:val="Sansinterligne1"/>
        <w:rPr>
          <w:rFonts w:ascii="Times New Roman" w:hAnsi="Times New Roman"/>
          <w:sz w:val="24"/>
          <w:szCs w:val="24"/>
        </w:rPr>
      </w:pPr>
    </w:p>
    <w:p w:rsidR="00554A0B" w:rsidRDefault="00554A0B" w:rsidP="00501B15">
      <w:pPr>
        <w:spacing w:after="120"/>
        <w:jc w:val="center"/>
        <w:rPr>
          <w:b/>
        </w:rPr>
      </w:pPr>
      <w:r w:rsidRPr="00C77E2B">
        <w:rPr>
          <w:b/>
        </w:rPr>
        <w:t>Travail à faire</w:t>
      </w:r>
    </w:p>
    <w:p w:rsidR="00554A0B" w:rsidRPr="00C77E2B" w:rsidRDefault="00554A0B" w:rsidP="00C56808">
      <w:pPr>
        <w:spacing w:after="120"/>
        <w:rPr>
          <w:b/>
        </w:rPr>
      </w:pPr>
      <w:r>
        <w:rPr>
          <w:b/>
        </w:rPr>
        <w:t>A l’aide de</w:t>
      </w:r>
      <w:r w:rsidR="00844CAF">
        <w:rPr>
          <w:b/>
        </w:rPr>
        <w:t xml:space="preserve"> </w:t>
      </w:r>
      <w:r>
        <w:rPr>
          <w:b/>
        </w:rPr>
        <w:t>l’</w:t>
      </w:r>
      <w:r>
        <w:rPr>
          <w:b/>
          <w:i/>
        </w:rPr>
        <w:t>annexe 5 </w:t>
      </w:r>
      <w:r>
        <w:rPr>
          <w:b/>
        </w:rPr>
        <w:t>:</w:t>
      </w:r>
    </w:p>
    <w:p w:rsidR="00554A0B" w:rsidRDefault="00554A0B" w:rsidP="00F24E38">
      <w:pPr>
        <w:pStyle w:val="Sansinterligne1"/>
        <w:tabs>
          <w:tab w:val="left" w:pos="0"/>
        </w:tabs>
        <w:spacing w:after="120"/>
        <w:ind w:left="284" w:hanging="284"/>
        <w:rPr>
          <w:rFonts w:ascii="Times New Roman" w:hAnsi="Times New Roman"/>
          <w:b/>
          <w:sz w:val="24"/>
          <w:szCs w:val="24"/>
        </w:rPr>
      </w:pPr>
      <w:r w:rsidRPr="00D57B10">
        <w:rPr>
          <w:rFonts w:ascii="Times New Roman" w:hAnsi="Times New Roman"/>
          <w:b/>
          <w:sz w:val="24"/>
          <w:szCs w:val="24"/>
        </w:rPr>
        <w:t xml:space="preserve">1. </w:t>
      </w:r>
      <w:r>
        <w:rPr>
          <w:rFonts w:ascii="Times New Roman" w:hAnsi="Times New Roman"/>
          <w:b/>
          <w:sz w:val="24"/>
          <w:szCs w:val="24"/>
        </w:rPr>
        <w:t>D</w:t>
      </w:r>
      <w:r w:rsidRPr="008115B2">
        <w:rPr>
          <w:rFonts w:ascii="Times New Roman" w:hAnsi="Times New Roman"/>
          <w:b/>
          <w:sz w:val="24"/>
          <w:szCs w:val="24"/>
        </w:rPr>
        <w:t xml:space="preserve">éfinir l’effet niveau et l’effet masse </w:t>
      </w:r>
      <w:r>
        <w:rPr>
          <w:rFonts w:ascii="Times New Roman" w:hAnsi="Times New Roman"/>
          <w:b/>
          <w:sz w:val="24"/>
          <w:szCs w:val="24"/>
        </w:rPr>
        <w:t xml:space="preserve">puis les calculer pour </w:t>
      </w:r>
      <w:r w:rsidRPr="008115B2">
        <w:rPr>
          <w:rFonts w:ascii="Times New Roman" w:hAnsi="Times New Roman"/>
          <w:b/>
          <w:sz w:val="24"/>
          <w:szCs w:val="24"/>
        </w:rPr>
        <w:t xml:space="preserve">l’exercice </w:t>
      </w:r>
      <w:r w:rsidR="00831BC7">
        <w:rPr>
          <w:rFonts w:ascii="Times New Roman" w:hAnsi="Times New Roman"/>
          <w:b/>
          <w:sz w:val="24"/>
          <w:szCs w:val="24"/>
        </w:rPr>
        <w:t>2010</w:t>
      </w:r>
      <w:r w:rsidRPr="008115B2">
        <w:rPr>
          <w:rFonts w:ascii="Times New Roman" w:hAnsi="Times New Roman"/>
          <w:b/>
          <w:sz w:val="24"/>
          <w:szCs w:val="24"/>
        </w:rPr>
        <w:t>.</w:t>
      </w:r>
      <w:r w:rsidR="00F24E38">
        <w:rPr>
          <w:rFonts w:ascii="Times New Roman" w:hAnsi="Times New Roman"/>
          <w:b/>
          <w:sz w:val="24"/>
          <w:szCs w:val="24"/>
        </w:rPr>
        <w:t xml:space="preserve"> </w:t>
      </w:r>
      <w:r>
        <w:rPr>
          <w:rFonts w:ascii="Times New Roman" w:hAnsi="Times New Roman"/>
          <w:b/>
          <w:sz w:val="24"/>
          <w:szCs w:val="24"/>
        </w:rPr>
        <w:t>Commenter les résultats obtenus.</w:t>
      </w:r>
    </w:p>
    <w:p w:rsidR="00554A0B" w:rsidRPr="008115B2" w:rsidRDefault="00F24E38" w:rsidP="00F24E38">
      <w:pPr>
        <w:pStyle w:val="Sansinterligne1"/>
        <w:tabs>
          <w:tab w:val="left" w:pos="284"/>
        </w:tabs>
        <w:spacing w:after="120"/>
        <w:ind w:left="284" w:hanging="284"/>
        <w:rPr>
          <w:rFonts w:ascii="Times New Roman" w:hAnsi="Times New Roman"/>
          <w:b/>
          <w:sz w:val="24"/>
          <w:szCs w:val="24"/>
        </w:rPr>
      </w:pPr>
      <w:r>
        <w:rPr>
          <w:rFonts w:ascii="Times New Roman" w:hAnsi="Times New Roman"/>
          <w:b/>
          <w:sz w:val="24"/>
          <w:szCs w:val="24"/>
        </w:rPr>
        <w:t>2</w:t>
      </w:r>
      <w:r w:rsidR="00554A0B">
        <w:rPr>
          <w:rFonts w:ascii="Times New Roman" w:hAnsi="Times New Roman"/>
          <w:b/>
          <w:sz w:val="24"/>
          <w:szCs w:val="24"/>
        </w:rPr>
        <w:t>.</w:t>
      </w:r>
      <w:r w:rsidR="00554A0B" w:rsidRPr="008115B2">
        <w:rPr>
          <w:rFonts w:ascii="Times New Roman" w:hAnsi="Times New Roman"/>
          <w:b/>
          <w:sz w:val="24"/>
          <w:szCs w:val="24"/>
        </w:rPr>
        <w:t xml:space="preserve"> Calculer l’impact des augmentations collectives de salaires de </w:t>
      </w:r>
      <w:r w:rsidR="00831BC7">
        <w:rPr>
          <w:rFonts w:ascii="Times New Roman" w:hAnsi="Times New Roman"/>
          <w:b/>
          <w:sz w:val="24"/>
          <w:szCs w:val="24"/>
        </w:rPr>
        <w:t>2010</w:t>
      </w:r>
      <w:r w:rsidR="00554A0B" w:rsidRPr="008115B2">
        <w:rPr>
          <w:rFonts w:ascii="Times New Roman" w:hAnsi="Times New Roman"/>
          <w:b/>
          <w:sz w:val="24"/>
          <w:szCs w:val="24"/>
        </w:rPr>
        <w:t xml:space="preserve"> sur la masse salariale de </w:t>
      </w:r>
      <w:r w:rsidR="00831BC7">
        <w:rPr>
          <w:rFonts w:ascii="Times New Roman" w:hAnsi="Times New Roman"/>
          <w:b/>
          <w:sz w:val="24"/>
          <w:szCs w:val="24"/>
        </w:rPr>
        <w:t>2011</w:t>
      </w:r>
      <w:r w:rsidR="00554A0B" w:rsidRPr="008115B2">
        <w:rPr>
          <w:rFonts w:ascii="Times New Roman" w:hAnsi="Times New Roman"/>
          <w:b/>
          <w:sz w:val="24"/>
          <w:szCs w:val="24"/>
        </w:rPr>
        <w:t>. Comment qualifie-t-on cet effet</w:t>
      </w:r>
      <w:r w:rsidR="00844CAF">
        <w:rPr>
          <w:rFonts w:ascii="Times New Roman" w:hAnsi="Times New Roman"/>
          <w:b/>
          <w:sz w:val="24"/>
          <w:szCs w:val="24"/>
        </w:rPr>
        <w:t xml:space="preserve"> </w:t>
      </w:r>
      <w:r w:rsidR="00554A0B" w:rsidRPr="008115B2">
        <w:rPr>
          <w:rFonts w:ascii="Times New Roman" w:hAnsi="Times New Roman"/>
          <w:b/>
          <w:sz w:val="24"/>
          <w:szCs w:val="24"/>
        </w:rPr>
        <w:t>?</w:t>
      </w:r>
    </w:p>
    <w:p w:rsidR="00844CAF" w:rsidRDefault="00844CAF" w:rsidP="00501B15">
      <w:pPr>
        <w:spacing w:after="120"/>
        <w:ind w:firstLine="426"/>
        <w:rPr>
          <w:b/>
        </w:rPr>
      </w:pPr>
    </w:p>
    <w:p w:rsidR="00554A0B" w:rsidRPr="00C77E2B" w:rsidRDefault="00554A0B" w:rsidP="00F24E38">
      <w:pPr>
        <w:spacing w:after="120"/>
        <w:rPr>
          <w:b/>
        </w:rPr>
      </w:pPr>
      <w:r>
        <w:rPr>
          <w:b/>
        </w:rPr>
        <w:t>A l’aide de</w:t>
      </w:r>
      <w:r w:rsidR="00844CAF">
        <w:rPr>
          <w:b/>
        </w:rPr>
        <w:t xml:space="preserve"> </w:t>
      </w:r>
      <w:r>
        <w:rPr>
          <w:b/>
        </w:rPr>
        <w:t>l’</w:t>
      </w:r>
      <w:r>
        <w:rPr>
          <w:b/>
          <w:i/>
        </w:rPr>
        <w:t>annexe 6 </w:t>
      </w:r>
      <w:r>
        <w:rPr>
          <w:b/>
        </w:rPr>
        <w:t>:</w:t>
      </w:r>
    </w:p>
    <w:p w:rsidR="00554A0B" w:rsidRDefault="00F24E38" w:rsidP="00F24E38">
      <w:pPr>
        <w:pStyle w:val="Sansinterligne1"/>
        <w:tabs>
          <w:tab w:val="left" w:pos="142"/>
        </w:tabs>
        <w:spacing w:after="120"/>
        <w:ind w:left="284" w:hanging="284"/>
        <w:rPr>
          <w:rFonts w:ascii="Times New Roman" w:hAnsi="Times New Roman"/>
          <w:b/>
          <w:sz w:val="24"/>
          <w:szCs w:val="24"/>
        </w:rPr>
      </w:pPr>
      <w:r>
        <w:rPr>
          <w:rFonts w:ascii="Times New Roman" w:hAnsi="Times New Roman"/>
          <w:b/>
          <w:sz w:val="24"/>
          <w:szCs w:val="24"/>
        </w:rPr>
        <w:t>3</w:t>
      </w:r>
      <w:r w:rsidR="00554A0B">
        <w:rPr>
          <w:rFonts w:ascii="Times New Roman" w:hAnsi="Times New Roman"/>
          <w:b/>
          <w:sz w:val="24"/>
          <w:szCs w:val="24"/>
        </w:rPr>
        <w:t>.</w:t>
      </w:r>
      <w:r w:rsidR="00844CAF">
        <w:rPr>
          <w:rFonts w:ascii="Times New Roman" w:hAnsi="Times New Roman"/>
          <w:b/>
          <w:sz w:val="24"/>
          <w:szCs w:val="24"/>
        </w:rPr>
        <w:t xml:space="preserve"> </w:t>
      </w:r>
      <w:r w:rsidR="00554A0B">
        <w:rPr>
          <w:rFonts w:ascii="Times New Roman" w:hAnsi="Times New Roman"/>
          <w:b/>
          <w:sz w:val="24"/>
          <w:szCs w:val="24"/>
        </w:rPr>
        <w:t>E</w:t>
      </w:r>
      <w:r w:rsidR="00554A0B" w:rsidRPr="008115B2">
        <w:rPr>
          <w:rFonts w:ascii="Times New Roman" w:hAnsi="Times New Roman"/>
          <w:b/>
          <w:sz w:val="24"/>
          <w:szCs w:val="24"/>
        </w:rPr>
        <w:t xml:space="preserve">stimer la masse salariale prévisionnelle pour l’exercice </w:t>
      </w:r>
      <w:r w:rsidR="00831BC7">
        <w:rPr>
          <w:rFonts w:ascii="Times New Roman" w:hAnsi="Times New Roman"/>
          <w:b/>
          <w:sz w:val="24"/>
          <w:szCs w:val="24"/>
        </w:rPr>
        <w:t>2011</w:t>
      </w:r>
      <w:r w:rsidR="00554A0B" w:rsidRPr="008115B2">
        <w:rPr>
          <w:rFonts w:ascii="Times New Roman" w:hAnsi="Times New Roman"/>
          <w:b/>
          <w:sz w:val="24"/>
          <w:szCs w:val="24"/>
        </w:rPr>
        <w:t>.</w:t>
      </w:r>
    </w:p>
    <w:p w:rsidR="00554A0B" w:rsidRDefault="00554A0B"/>
    <w:p w:rsidR="00554A0B" w:rsidRDefault="00554A0B"/>
    <w:p w:rsidR="00554A0B" w:rsidRDefault="00F24E38" w:rsidP="00501B15">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4 -</w:t>
      </w:r>
      <w:r w:rsidR="00554A0B">
        <w:rPr>
          <w:caps/>
          <w:position w:val="-48"/>
          <w:sz w:val="28"/>
          <w:szCs w:val="28"/>
        </w:rPr>
        <w:t xml:space="preserve"> GESTION DE STOCKS</w:t>
      </w:r>
    </w:p>
    <w:p w:rsidR="00554A0B" w:rsidRDefault="00554A0B" w:rsidP="00501B15">
      <w:pPr>
        <w:rPr>
          <w:b/>
          <w:bCs/>
        </w:rPr>
      </w:pPr>
    </w:p>
    <w:p w:rsidR="00554A0B" w:rsidRPr="003F137C" w:rsidRDefault="00554A0B" w:rsidP="00501B15">
      <w:pPr>
        <w:spacing w:after="120"/>
      </w:pPr>
      <w:r w:rsidRPr="003F137C">
        <w:t>L’entreprise Relai</w:t>
      </w:r>
      <w:r w:rsidR="00F24E38">
        <w:t>s</w:t>
      </w:r>
      <w:r w:rsidRPr="003F137C">
        <w:t xml:space="preserve"> Distribution (RD) est un réseau exclusif de distribution des livres de l’éditeur LLF pour certaines collections.</w:t>
      </w:r>
    </w:p>
    <w:p w:rsidR="00554A0B" w:rsidRPr="003F137C" w:rsidRDefault="00554A0B" w:rsidP="00501B15">
      <w:pPr>
        <w:spacing w:after="120"/>
      </w:pPr>
      <w:r w:rsidRPr="003F137C">
        <w:t>Le responsable des achats de ce réseau de distribution souhaite améliorer la gestion des stocks des produits les plus coûteux afin de réduire les coûts de stockage.</w:t>
      </w:r>
    </w:p>
    <w:p w:rsidR="00554A0B" w:rsidRPr="003F137C" w:rsidRDefault="00554A0B" w:rsidP="00501B15">
      <w:pPr>
        <w:spacing w:after="120"/>
      </w:pPr>
      <w:r w:rsidRPr="003F137C">
        <w:t xml:space="preserve">Il étudie ainsi la collection </w:t>
      </w:r>
      <w:r w:rsidRPr="00BB63C0">
        <w:rPr>
          <w:i/>
        </w:rPr>
        <w:t>15</w:t>
      </w:r>
      <w:r w:rsidRPr="003F137C">
        <w:t>, qui correspond à des livres nouveautés d’auteurs appréciés du grand public et qui promettent de devenir des best-sellers. Ces livres sont publiés dans un format broché. Leur prix d’achat est donc relativement élevé.</w:t>
      </w:r>
    </w:p>
    <w:p w:rsidR="00554A0B" w:rsidRPr="00B24E2B" w:rsidRDefault="00554A0B" w:rsidP="00501B15">
      <w:pPr>
        <w:spacing w:after="120"/>
        <w:jc w:val="center"/>
        <w:rPr>
          <w:b/>
          <w:sz w:val="12"/>
        </w:rPr>
      </w:pPr>
    </w:p>
    <w:p w:rsidR="00554A0B" w:rsidRPr="003F137C" w:rsidRDefault="00554A0B" w:rsidP="00501B15">
      <w:pPr>
        <w:spacing w:after="120"/>
        <w:jc w:val="center"/>
        <w:rPr>
          <w:b/>
        </w:rPr>
      </w:pPr>
      <w:r w:rsidRPr="003F137C">
        <w:rPr>
          <w:b/>
        </w:rPr>
        <w:t>Travail à faire</w:t>
      </w:r>
    </w:p>
    <w:p w:rsidR="00554A0B" w:rsidRPr="003F137C" w:rsidRDefault="00554A0B" w:rsidP="00501B15">
      <w:pPr>
        <w:spacing w:after="120"/>
        <w:rPr>
          <w:b/>
          <w:i/>
        </w:rPr>
      </w:pPr>
      <w:r w:rsidRPr="003F137C">
        <w:rPr>
          <w:b/>
        </w:rPr>
        <w:t>A l’aide de l’</w:t>
      </w:r>
      <w:r>
        <w:rPr>
          <w:b/>
          <w:i/>
        </w:rPr>
        <w:t>annexe 7</w:t>
      </w:r>
      <w:r w:rsidRPr="009F08F1">
        <w:rPr>
          <w:b/>
        </w:rPr>
        <w:t> :</w:t>
      </w:r>
    </w:p>
    <w:p w:rsidR="00554A0B" w:rsidRPr="003F137C" w:rsidRDefault="00554A0B" w:rsidP="00F24E38">
      <w:pPr>
        <w:numPr>
          <w:ilvl w:val="0"/>
          <w:numId w:val="3"/>
        </w:numPr>
        <w:spacing w:after="120"/>
        <w:ind w:left="284" w:hanging="284"/>
        <w:rPr>
          <w:b/>
        </w:rPr>
      </w:pPr>
      <w:r w:rsidRPr="003F137C">
        <w:rPr>
          <w:b/>
        </w:rPr>
        <w:t>Quel programme d’approvisionnement conseiller au responsable des achats afin de minimiser l</w:t>
      </w:r>
      <w:r>
        <w:rPr>
          <w:b/>
        </w:rPr>
        <w:t>’ensemble des coûts liés à la gestion du stock de</w:t>
      </w:r>
      <w:r w:rsidRPr="003F137C">
        <w:rPr>
          <w:b/>
        </w:rPr>
        <w:t xml:space="preserve"> livres de la collection </w:t>
      </w:r>
      <w:r w:rsidRPr="00BB63C0">
        <w:rPr>
          <w:b/>
          <w:i/>
        </w:rPr>
        <w:t>15</w:t>
      </w:r>
      <w:r w:rsidR="00844CAF">
        <w:rPr>
          <w:b/>
          <w:i/>
        </w:rPr>
        <w:t xml:space="preserve"> </w:t>
      </w:r>
      <w:r w:rsidR="00844CAF">
        <w:rPr>
          <w:b/>
        </w:rPr>
        <w:t xml:space="preserve">dans un contexte où la pénurie est refusée </w:t>
      </w:r>
      <w:r w:rsidRPr="003F137C">
        <w:rPr>
          <w:b/>
        </w:rPr>
        <w:t xml:space="preserve">? </w:t>
      </w:r>
      <w:r>
        <w:rPr>
          <w:b/>
        </w:rPr>
        <w:t>Déterminer</w:t>
      </w:r>
      <w:r w:rsidRPr="003F137C">
        <w:rPr>
          <w:b/>
        </w:rPr>
        <w:t xml:space="preserve"> ce coût </w:t>
      </w:r>
      <w:r>
        <w:rPr>
          <w:b/>
        </w:rPr>
        <w:t xml:space="preserve">total </w:t>
      </w:r>
      <w:r w:rsidRPr="003F137C">
        <w:rPr>
          <w:b/>
        </w:rPr>
        <w:t>de gestion du stock.</w:t>
      </w:r>
    </w:p>
    <w:p w:rsidR="00554A0B" w:rsidRPr="003F137C" w:rsidRDefault="00554A0B" w:rsidP="00501B15">
      <w:pPr>
        <w:spacing w:after="120"/>
      </w:pPr>
      <w:r w:rsidRPr="003F137C">
        <w:t>Les livres de cette collection sont en distribution exclusive dans ce réseau. Il est donc possible d’envisager un délai de livraison puisque le client sera contraint de l’accepter.</w:t>
      </w:r>
    </w:p>
    <w:p w:rsidR="00554A0B" w:rsidRPr="003F137C" w:rsidRDefault="00554A0B" w:rsidP="00F24E38">
      <w:pPr>
        <w:numPr>
          <w:ilvl w:val="0"/>
          <w:numId w:val="3"/>
        </w:numPr>
        <w:spacing w:after="120"/>
        <w:ind w:left="284" w:hanging="284"/>
        <w:rPr>
          <w:b/>
        </w:rPr>
      </w:pPr>
      <w:r w:rsidRPr="003F137C">
        <w:rPr>
          <w:b/>
        </w:rPr>
        <w:t xml:space="preserve">Le responsable des achats réfléchit à une gestion de la collection </w:t>
      </w:r>
      <w:r w:rsidRPr="00BB63C0">
        <w:rPr>
          <w:b/>
          <w:i/>
        </w:rPr>
        <w:t xml:space="preserve">15 </w:t>
      </w:r>
      <w:r w:rsidRPr="003F137C">
        <w:rPr>
          <w:b/>
        </w:rPr>
        <w:t>avec pénurie. Quels sont les intérêts et limites d’une gestion de stock avec pénurie volontaire</w:t>
      </w:r>
      <w:r w:rsidR="00844CAF">
        <w:rPr>
          <w:b/>
        </w:rPr>
        <w:t xml:space="preserve"> </w:t>
      </w:r>
      <w:r w:rsidRPr="003F137C">
        <w:rPr>
          <w:b/>
        </w:rPr>
        <w:t>?</w:t>
      </w:r>
    </w:p>
    <w:p w:rsidR="00554A0B" w:rsidRDefault="00554A0B" w:rsidP="00F24E38">
      <w:pPr>
        <w:numPr>
          <w:ilvl w:val="0"/>
          <w:numId w:val="3"/>
        </w:numPr>
        <w:spacing w:after="120"/>
        <w:ind w:left="284" w:hanging="284"/>
      </w:pPr>
      <w:r w:rsidRPr="00AD4C03">
        <w:rPr>
          <w:b/>
        </w:rPr>
        <w:t>Déterminer le programme d’approvisionnement dans le cas d’une gestion avec pénurie. Quelle est l’économie réalisée par rapport à une gestion sans pénurie ?</w:t>
      </w:r>
    </w:p>
    <w:p w:rsidR="001758E4" w:rsidRDefault="00554A0B" w:rsidP="001758E4">
      <w:pPr>
        <w:jc w:val="center"/>
        <w:rPr>
          <w:b/>
        </w:rPr>
      </w:pPr>
      <w:r>
        <w:br w:type="page"/>
      </w:r>
      <w:r w:rsidR="001758E4">
        <w:rPr>
          <w:b/>
        </w:rPr>
        <w:lastRenderedPageBreak/>
        <w:t>Annexe 1</w:t>
      </w:r>
    </w:p>
    <w:p w:rsidR="001758E4" w:rsidRDefault="001758E4" w:rsidP="001758E4">
      <w:pPr>
        <w:jc w:val="center"/>
        <w:rPr>
          <w:b/>
          <w:u w:val="single"/>
        </w:rPr>
      </w:pPr>
    </w:p>
    <w:p w:rsidR="001758E4" w:rsidRPr="00994057" w:rsidRDefault="001758E4" w:rsidP="001758E4">
      <w:pPr>
        <w:jc w:val="center"/>
        <w:rPr>
          <w:b/>
          <w:u w:val="single"/>
        </w:rPr>
      </w:pPr>
      <w:r>
        <w:rPr>
          <w:b/>
          <w:u w:val="single"/>
        </w:rPr>
        <w:t>Entretien avec Monsieur Bernard, contrôleur de gestion</w:t>
      </w:r>
    </w:p>
    <w:p w:rsidR="001758E4" w:rsidRDefault="001758E4" w:rsidP="001758E4"/>
    <w:p w:rsidR="001758E4" w:rsidRPr="009E27B3" w:rsidRDefault="001758E4" w:rsidP="001758E4">
      <w:pPr>
        <w:spacing w:after="120"/>
        <w:rPr>
          <w:b/>
          <w:sz w:val="22"/>
        </w:rPr>
      </w:pPr>
      <w:r w:rsidRPr="009E27B3">
        <w:rPr>
          <w:b/>
          <w:sz w:val="22"/>
        </w:rPr>
        <w:t>Comment avez-vous élaboré votre budget 2010 ?</w:t>
      </w:r>
    </w:p>
    <w:p w:rsidR="001758E4" w:rsidRPr="009E27B3" w:rsidRDefault="001758E4" w:rsidP="001758E4">
      <w:pPr>
        <w:spacing w:after="120"/>
        <w:rPr>
          <w:sz w:val="22"/>
        </w:rPr>
      </w:pPr>
      <w:r w:rsidRPr="009E27B3">
        <w:rPr>
          <w:sz w:val="22"/>
        </w:rPr>
        <w:t xml:space="preserve">«  Pour élaborer le budget 2010, nous avons tenu compte d’un contexte économique instable et peu sécurisant. Pour 2010, nous avons considéré que le budget consacré par les ménages aux loisirs, et notamment à la lecture, allait être réduit. </w:t>
      </w:r>
    </w:p>
    <w:p w:rsidR="001758E4" w:rsidRPr="009E27B3" w:rsidRDefault="001758E4" w:rsidP="001758E4">
      <w:pPr>
        <w:rPr>
          <w:sz w:val="22"/>
        </w:rPr>
      </w:pPr>
      <w:r w:rsidRPr="009E27B3">
        <w:rPr>
          <w:sz w:val="22"/>
        </w:rPr>
        <w:t>De ce fait, nous avons anticipé, sur le plan commercial :</w:t>
      </w:r>
    </w:p>
    <w:p w:rsidR="001758E4" w:rsidRPr="009E27B3" w:rsidRDefault="001758E4" w:rsidP="001758E4">
      <w:pPr>
        <w:pStyle w:val="Listecouleur-Accent11"/>
        <w:numPr>
          <w:ilvl w:val="0"/>
          <w:numId w:val="2"/>
        </w:numPr>
        <w:jc w:val="both"/>
        <w:rPr>
          <w:rFonts w:ascii="Times New Roman" w:hAnsi="Times New Roman"/>
          <w:sz w:val="22"/>
          <w:szCs w:val="22"/>
        </w:rPr>
      </w:pPr>
      <w:r w:rsidRPr="009E27B3">
        <w:rPr>
          <w:rFonts w:ascii="Times New Roman" w:hAnsi="Times New Roman"/>
          <w:sz w:val="22"/>
          <w:szCs w:val="22"/>
        </w:rPr>
        <w:t>une petite baisse des ventes ;</w:t>
      </w:r>
    </w:p>
    <w:p w:rsidR="001758E4" w:rsidRPr="009E27B3" w:rsidRDefault="001758E4" w:rsidP="001758E4">
      <w:pPr>
        <w:pStyle w:val="Listecouleur-Accent11"/>
        <w:numPr>
          <w:ilvl w:val="0"/>
          <w:numId w:val="2"/>
        </w:numPr>
        <w:spacing w:after="120"/>
        <w:ind w:left="714" w:hanging="357"/>
        <w:jc w:val="both"/>
        <w:rPr>
          <w:sz w:val="22"/>
          <w:szCs w:val="22"/>
        </w:rPr>
      </w:pPr>
      <w:r w:rsidRPr="009E27B3">
        <w:rPr>
          <w:rFonts w:ascii="Times New Roman" w:hAnsi="Times New Roman"/>
          <w:sz w:val="22"/>
          <w:szCs w:val="22"/>
        </w:rPr>
        <w:t>par prudence, aucune hausse du prix de vente. Nous nous autoriserons éventuellement une hausse de prix lors de l’ajustement du prix de vente réel au mois de mars 2010, à condition que le contexte commercial le permette.</w:t>
      </w:r>
    </w:p>
    <w:p w:rsidR="001758E4" w:rsidRPr="009E27B3" w:rsidRDefault="001758E4" w:rsidP="001758E4">
      <w:pPr>
        <w:pStyle w:val="Listecouleur-Accent11"/>
        <w:ind w:left="0"/>
        <w:jc w:val="both"/>
        <w:rPr>
          <w:sz w:val="22"/>
          <w:szCs w:val="22"/>
        </w:rPr>
      </w:pPr>
      <w:r w:rsidRPr="009E27B3">
        <w:rPr>
          <w:rFonts w:ascii="Times New Roman" w:hAnsi="Times New Roman"/>
          <w:sz w:val="22"/>
          <w:szCs w:val="22"/>
        </w:rPr>
        <w:t>En interne nous devrons aussi réduire nos coûts. Nous prévoyons :</w:t>
      </w:r>
    </w:p>
    <w:p w:rsidR="001758E4" w:rsidRPr="009E27B3" w:rsidRDefault="001758E4" w:rsidP="001758E4">
      <w:pPr>
        <w:numPr>
          <w:ilvl w:val="0"/>
          <w:numId w:val="2"/>
        </w:numPr>
        <w:rPr>
          <w:sz w:val="22"/>
        </w:rPr>
      </w:pPr>
      <w:r w:rsidRPr="009E27B3">
        <w:rPr>
          <w:sz w:val="22"/>
        </w:rPr>
        <w:t>d’externaliser une partie de nos services fonctionnels : gestion de la paie et service informatique ;</w:t>
      </w:r>
    </w:p>
    <w:p w:rsidR="001758E4" w:rsidRPr="009E27B3" w:rsidRDefault="001758E4" w:rsidP="001758E4">
      <w:pPr>
        <w:numPr>
          <w:ilvl w:val="0"/>
          <w:numId w:val="2"/>
        </w:numPr>
        <w:rPr>
          <w:sz w:val="22"/>
        </w:rPr>
      </w:pPr>
      <w:r w:rsidRPr="009E27B3">
        <w:rPr>
          <w:sz w:val="22"/>
        </w:rPr>
        <w:t>une réduction de nos coûts de production grâce à un non renouvellement systématique de tous les départs en retraite par des CDI : recourir à l’intérim nous donnera davantage de flexibilité. »</w:t>
      </w:r>
    </w:p>
    <w:p w:rsidR="001758E4" w:rsidRPr="009E27B3" w:rsidRDefault="001758E4" w:rsidP="001758E4">
      <w:pPr>
        <w:rPr>
          <w:sz w:val="22"/>
        </w:rPr>
      </w:pPr>
    </w:p>
    <w:p w:rsidR="001758E4" w:rsidRPr="009E27B3" w:rsidRDefault="001758E4" w:rsidP="001758E4">
      <w:pPr>
        <w:rPr>
          <w:b/>
          <w:sz w:val="22"/>
        </w:rPr>
      </w:pPr>
      <w:r w:rsidRPr="009E27B3">
        <w:rPr>
          <w:b/>
          <w:sz w:val="22"/>
        </w:rPr>
        <w:t>Dans votre système de contrôle budgétaire, nous avons bien compris le calcul de l’écart sur résultat mais comment effectuez-vous l’analyse de celui-ci ?</w:t>
      </w:r>
    </w:p>
    <w:p w:rsidR="001758E4" w:rsidRPr="009E27B3" w:rsidRDefault="001758E4" w:rsidP="001758E4">
      <w:pPr>
        <w:rPr>
          <w:sz w:val="22"/>
        </w:rPr>
      </w:pPr>
    </w:p>
    <w:p w:rsidR="001758E4" w:rsidRPr="009E27B3" w:rsidRDefault="001758E4" w:rsidP="001758E4">
      <w:pPr>
        <w:rPr>
          <w:sz w:val="22"/>
        </w:rPr>
      </w:pPr>
      <w:r w:rsidRPr="009E27B3">
        <w:rPr>
          <w:sz w:val="22"/>
        </w:rPr>
        <w:t>« Nous avons l’habitude de décomposer l’écart de résultat selon la procédure suivante :</w:t>
      </w:r>
    </w:p>
    <w:p w:rsidR="001758E4" w:rsidRPr="009E27B3" w:rsidRDefault="001758E4" w:rsidP="001758E4">
      <w:pPr>
        <w:numPr>
          <w:ilvl w:val="0"/>
          <w:numId w:val="2"/>
        </w:numPr>
        <w:rPr>
          <w:sz w:val="22"/>
        </w:rPr>
      </w:pPr>
      <w:r w:rsidRPr="009E27B3">
        <w:rPr>
          <w:sz w:val="22"/>
        </w:rPr>
        <w:t>Tout d’abord nous calculons un écart de marge sur coût de revient pour chaque collection, la marge unitaire calculée étant basée sur le coût de revient unitaire préétabli ;</w:t>
      </w:r>
    </w:p>
    <w:p w:rsidR="001758E4" w:rsidRPr="009E27B3" w:rsidRDefault="001758E4" w:rsidP="001758E4">
      <w:pPr>
        <w:numPr>
          <w:ilvl w:val="0"/>
          <w:numId w:val="2"/>
        </w:numPr>
        <w:rPr>
          <w:sz w:val="22"/>
        </w:rPr>
      </w:pPr>
      <w:r w:rsidRPr="009E27B3">
        <w:rPr>
          <w:sz w:val="22"/>
        </w:rPr>
        <w:t>Nous calculons ensuite deux écarts basés sur les quantités constatées : un écart sur coût direct de production et un écart sur autres charges. »</w:t>
      </w:r>
    </w:p>
    <w:p w:rsidR="009E27B3" w:rsidRDefault="009E27B3" w:rsidP="009E27B3"/>
    <w:p w:rsidR="00554A0B" w:rsidRDefault="009E27B3" w:rsidP="00501B15">
      <w:pPr>
        <w:shd w:val="clear" w:color="auto" w:fill="FFFFFF"/>
        <w:ind w:right="567"/>
        <w:jc w:val="center"/>
        <w:rPr>
          <w:b/>
        </w:rPr>
      </w:pPr>
      <w:r>
        <w:rPr>
          <w:b/>
        </w:rPr>
        <w:t>Annexe 2</w:t>
      </w:r>
    </w:p>
    <w:p w:rsidR="00554A0B" w:rsidRDefault="00554A0B" w:rsidP="00501B15">
      <w:pPr>
        <w:shd w:val="clear" w:color="auto" w:fill="FFFFFF"/>
        <w:ind w:right="567"/>
        <w:jc w:val="center"/>
        <w:rPr>
          <w:b/>
        </w:rPr>
      </w:pPr>
    </w:p>
    <w:p w:rsidR="00554A0B" w:rsidRPr="00475B08" w:rsidRDefault="00554A0B" w:rsidP="00501B15">
      <w:pPr>
        <w:jc w:val="center"/>
        <w:rPr>
          <w:b/>
          <w:u w:val="single"/>
        </w:rPr>
      </w:pPr>
      <w:r>
        <w:rPr>
          <w:b/>
          <w:u w:val="single"/>
        </w:rPr>
        <w:t xml:space="preserve">Données réelles et préétablies des collections 1, 2 et 3 pour l’exercice </w:t>
      </w:r>
      <w:r w:rsidR="00831BC7">
        <w:rPr>
          <w:b/>
          <w:u w:val="single"/>
        </w:rPr>
        <w:t>2010</w:t>
      </w:r>
    </w:p>
    <w:p w:rsidR="00554A0B" w:rsidRDefault="00554A0B" w:rsidP="00501B15">
      <w:pPr>
        <w:rPr>
          <w:sz w:val="22"/>
        </w:rPr>
      </w:pPr>
    </w:p>
    <w:p w:rsidR="00554A0B" w:rsidRPr="00831BC7" w:rsidRDefault="00554A0B" w:rsidP="00501B15">
      <w:pPr>
        <w:spacing w:after="120"/>
        <w:rPr>
          <w:szCs w:val="24"/>
        </w:rPr>
      </w:pPr>
      <w:r w:rsidRPr="00831BC7">
        <w:rPr>
          <w:szCs w:val="24"/>
        </w:rPr>
        <w:t>L’entreprise LLF édite plusieurs collections de livres. Nous étudion</w:t>
      </w:r>
      <w:r w:rsidR="00F24E38">
        <w:rPr>
          <w:szCs w:val="24"/>
        </w:rPr>
        <w:t>s ici trois de ses collections.</w:t>
      </w:r>
    </w:p>
    <w:p w:rsidR="00554A0B" w:rsidRPr="00831BC7" w:rsidRDefault="00554A0B" w:rsidP="00501B15">
      <w:pPr>
        <w:rPr>
          <w:szCs w:val="24"/>
        </w:rPr>
      </w:pPr>
      <w:r w:rsidRPr="00831BC7">
        <w:rPr>
          <w:szCs w:val="24"/>
        </w:rPr>
        <w:t xml:space="preserve">Les prévisions retenues pour l’année </w:t>
      </w:r>
      <w:r w:rsidR="00831BC7">
        <w:rPr>
          <w:szCs w:val="24"/>
        </w:rPr>
        <w:t>2010</w:t>
      </w:r>
      <w:r w:rsidRPr="00831BC7">
        <w:rPr>
          <w:szCs w:val="24"/>
        </w:rPr>
        <w:t xml:space="preserve"> sont les suivantes :</w:t>
      </w:r>
    </w:p>
    <w:p w:rsidR="00554A0B" w:rsidRPr="0087580B" w:rsidRDefault="00554A0B" w:rsidP="00501B15">
      <w:pPr>
        <w:rPr>
          <w:sz w:val="22"/>
          <w:szCs w:val="20"/>
        </w:rPr>
      </w:pPr>
    </w:p>
    <w:tbl>
      <w:tblPr>
        <w:tblW w:w="7758" w:type="dxa"/>
        <w:tblInd w:w="941" w:type="dxa"/>
        <w:tblCellMar>
          <w:left w:w="70" w:type="dxa"/>
          <w:right w:w="70" w:type="dxa"/>
        </w:tblCellMar>
        <w:tblLook w:val="0000" w:firstRow="0" w:lastRow="0" w:firstColumn="0" w:lastColumn="0" w:noHBand="0" w:noVBand="0"/>
      </w:tblPr>
      <w:tblGrid>
        <w:gridCol w:w="1418"/>
        <w:gridCol w:w="985"/>
        <w:gridCol w:w="1786"/>
        <w:gridCol w:w="1824"/>
        <w:gridCol w:w="1745"/>
      </w:tblGrid>
      <w:tr w:rsidR="00844CAF" w:rsidRPr="0087580B">
        <w:trPr>
          <w:trHeight w:val="520"/>
        </w:trPr>
        <w:tc>
          <w:tcPr>
            <w:tcW w:w="1418" w:type="dxa"/>
            <w:tcBorders>
              <w:top w:val="nil"/>
              <w:left w:val="nil"/>
              <w:bottom w:val="single" w:sz="4" w:space="0" w:color="auto"/>
              <w:right w:val="single" w:sz="4" w:space="0" w:color="auto"/>
            </w:tcBorders>
            <w:noWrap/>
            <w:vAlign w:val="bottom"/>
          </w:tcPr>
          <w:p w:rsidR="00844CAF" w:rsidRPr="0087580B" w:rsidRDefault="00844CAF" w:rsidP="00501B15">
            <w:pPr>
              <w:rPr>
                <w:b/>
                <w:bCs/>
                <w:sz w:val="22"/>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jc w:val="center"/>
              <w:rPr>
                <w:sz w:val="22"/>
                <w:szCs w:val="20"/>
              </w:rPr>
            </w:pPr>
            <w:r w:rsidRPr="0087580B">
              <w:rPr>
                <w:sz w:val="22"/>
                <w:szCs w:val="20"/>
              </w:rPr>
              <w:t>Prix de vente</w:t>
            </w:r>
          </w:p>
        </w:tc>
        <w:tc>
          <w:tcPr>
            <w:tcW w:w="1786"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jc w:val="center"/>
              <w:rPr>
                <w:sz w:val="22"/>
                <w:szCs w:val="20"/>
              </w:rPr>
            </w:pPr>
            <w:r w:rsidRPr="0087580B">
              <w:rPr>
                <w:sz w:val="22"/>
                <w:szCs w:val="20"/>
              </w:rPr>
              <w:t>Quantités produites et vendues</w:t>
            </w:r>
          </w:p>
        </w:tc>
        <w:tc>
          <w:tcPr>
            <w:tcW w:w="1824"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jc w:val="center"/>
              <w:rPr>
                <w:sz w:val="22"/>
                <w:szCs w:val="20"/>
              </w:rPr>
            </w:pPr>
            <w:r w:rsidRPr="0087580B">
              <w:rPr>
                <w:sz w:val="22"/>
                <w:szCs w:val="20"/>
              </w:rPr>
              <w:t>Coût de production unitaire</w:t>
            </w:r>
          </w:p>
        </w:tc>
        <w:tc>
          <w:tcPr>
            <w:tcW w:w="1745"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jc w:val="center"/>
              <w:rPr>
                <w:sz w:val="22"/>
                <w:szCs w:val="20"/>
              </w:rPr>
            </w:pPr>
            <w:r w:rsidRPr="0087580B">
              <w:rPr>
                <w:sz w:val="22"/>
                <w:szCs w:val="20"/>
              </w:rPr>
              <w:t>Autres charges unitaires</w:t>
            </w:r>
          </w:p>
        </w:tc>
      </w:tr>
      <w:tr w:rsidR="00844CAF" w:rsidRPr="0087580B">
        <w:trPr>
          <w:trHeight w:val="260"/>
        </w:trPr>
        <w:tc>
          <w:tcPr>
            <w:tcW w:w="1418" w:type="dxa"/>
            <w:tcBorders>
              <w:top w:val="single" w:sz="4" w:space="0" w:color="auto"/>
              <w:left w:val="single" w:sz="4" w:space="0" w:color="auto"/>
              <w:bottom w:val="single" w:sz="4" w:space="0" w:color="auto"/>
              <w:right w:val="single" w:sz="4" w:space="0" w:color="auto"/>
            </w:tcBorders>
            <w:noWrap/>
            <w:vAlign w:val="bottom"/>
          </w:tcPr>
          <w:p w:rsidR="00844CAF" w:rsidRPr="0087580B" w:rsidRDefault="00844CAF" w:rsidP="00501B15">
            <w:pPr>
              <w:rPr>
                <w:sz w:val="22"/>
                <w:szCs w:val="20"/>
              </w:rPr>
            </w:pPr>
            <w:r w:rsidRPr="0087580B">
              <w:rPr>
                <w:sz w:val="22"/>
                <w:szCs w:val="20"/>
              </w:rPr>
              <w:t>Collection 1</w:t>
            </w:r>
          </w:p>
        </w:tc>
        <w:tc>
          <w:tcPr>
            <w:tcW w:w="985"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jc w:val="center"/>
              <w:rPr>
                <w:sz w:val="22"/>
                <w:szCs w:val="20"/>
              </w:rPr>
            </w:pPr>
            <w:r w:rsidRPr="0087580B">
              <w:rPr>
                <w:sz w:val="22"/>
                <w:szCs w:val="20"/>
              </w:rPr>
              <w:t>5,20</w:t>
            </w:r>
          </w:p>
        </w:tc>
        <w:tc>
          <w:tcPr>
            <w:tcW w:w="1786"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ind w:right="150"/>
              <w:jc w:val="right"/>
              <w:rPr>
                <w:sz w:val="22"/>
                <w:szCs w:val="20"/>
              </w:rPr>
            </w:pPr>
            <w:r w:rsidRPr="0087580B">
              <w:rPr>
                <w:sz w:val="22"/>
                <w:szCs w:val="20"/>
              </w:rPr>
              <w:t>7</w:t>
            </w:r>
            <w:r>
              <w:rPr>
                <w:sz w:val="22"/>
                <w:szCs w:val="20"/>
              </w:rPr>
              <w:t>36 000</w:t>
            </w:r>
          </w:p>
        </w:tc>
        <w:tc>
          <w:tcPr>
            <w:tcW w:w="1824"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jc w:val="center"/>
              <w:rPr>
                <w:sz w:val="22"/>
                <w:szCs w:val="20"/>
              </w:rPr>
            </w:pPr>
            <w:r w:rsidRPr="0087580B">
              <w:rPr>
                <w:sz w:val="22"/>
                <w:szCs w:val="20"/>
              </w:rPr>
              <w:t>0,38</w:t>
            </w:r>
          </w:p>
        </w:tc>
        <w:tc>
          <w:tcPr>
            <w:tcW w:w="1745"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jc w:val="center"/>
              <w:rPr>
                <w:sz w:val="22"/>
                <w:szCs w:val="20"/>
              </w:rPr>
            </w:pPr>
            <w:r w:rsidRPr="0087580B">
              <w:rPr>
                <w:sz w:val="22"/>
                <w:szCs w:val="20"/>
              </w:rPr>
              <w:t>3,50</w:t>
            </w:r>
          </w:p>
        </w:tc>
      </w:tr>
      <w:tr w:rsidR="00844CAF" w:rsidRPr="0087580B">
        <w:trPr>
          <w:trHeight w:val="260"/>
        </w:trPr>
        <w:tc>
          <w:tcPr>
            <w:tcW w:w="1418" w:type="dxa"/>
            <w:tcBorders>
              <w:top w:val="single" w:sz="4" w:space="0" w:color="auto"/>
              <w:left w:val="single" w:sz="4" w:space="0" w:color="auto"/>
              <w:bottom w:val="single" w:sz="4" w:space="0" w:color="auto"/>
              <w:right w:val="single" w:sz="4" w:space="0" w:color="auto"/>
            </w:tcBorders>
            <w:noWrap/>
            <w:vAlign w:val="bottom"/>
          </w:tcPr>
          <w:p w:rsidR="00844CAF" w:rsidRPr="0087580B" w:rsidRDefault="00844CAF" w:rsidP="00501B15">
            <w:pPr>
              <w:rPr>
                <w:sz w:val="22"/>
                <w:szCs w:val="20"/>
              </w:rPr>
            </w:pPr>
            <w:r w:rsidRPr="0087580B">
              <w:rPr>
                <w:sz w:val="22"/>
                <w:szCs w:val="20"/>
              </w:rPr>
              <w:t>Collection 2</w:t>
            </w:r>
          </w:p>
        </w:tc>
        <w:tc>
          <w:tcPr>
            <w:tcW w:w="985"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jc w:val="center"/>
              <w:rPr>
                <w:sz w:val="22"/>
                <w:szCs w:val="20"/>
              </w:rPr>
            </w:pPr>
            <w:r w:rsidRPr="0087580B">
              <w:rPr>
                <w:sz w:val="22"/>
                <w:szCs w:val="20"/>
              </w:rPr>
              <w:t>3,70</w:t>
            </w:r>
          </w:p>
        </w:tc>
        <w:tc>
          <w:tcPr>
            <w:tcW w:w="1786"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ind w:right="150"/>
              <w:jc w:val="right"/>
              <w:rPr>
                <w:sz w:val="22"/>
                <w:szCs w:val="20"/>
              </w:rPr>
            </w:pPr>
            <w:r>
              <w:rPr>
                <w:sz w:val="22"/>
                <w:szCs w:val="20"/>
              </w:rPr>
              <w:t>75 000</w:t>
            </w:r>
          </w:p>
        </w:tc>
        <w:tc>
          <w:tcPr>
            <w:tcW w:w="1824"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jc w:val="center"/>
              <w:rPr>
                <w:sz w:val="22"/>
                <w:szCs w:val="20"/>
              </w:rPr>
            </w:pPr>
            <w:r w:rsidRPr="0087580B">
              <w:rPr>
                <w:sz w:val="22"/>
                <w:szCs w:val="20"/>
              </w:rPr>
              <w:t>0,25</w:t>
            </w:r>
          </w:p>
        </w:tc>
        <w:tc>
          <w:tcPr>
            <w:tcW w:w="1745"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jc w:val="center"/>
              <w:rPr>
                <w:sz w:val="22"/>
                <w:szCs w:val="20"/>
              </w:rPr>
            </w:pPr>
            <w:r w:rsidRPr="0087580B">
              <w:rPr>
                <w:sz w:val="22"/>
                <w:szCs w:val="20"/>
              </w:rPr>
              <w:t>3,27</w:t>
            </w:r>
          </w:p>
        </w:tc>
      </w:tr>
      <w:tr w:rsidR="00844CAF" w:rsidRPr="0087580B">
        <w:trPr>
          <w:trHeight w:val="260"/>
        </w:trPr>
        <w:tc>
          <w:tcPr>
            <w:tcW w:w="1418" w:type="dxa"/>
            <w:tcBorders>
              <w:top w:val="single" w:sz="4" w:space="0" w:color="auto"/>
              <w:left w:val="single" w:sz="4" w:space="0" w:color="auto"/>
              <w:bottom w:val="single" w:sz="4" w:space="0" w:color="auto"/>
              <w:right w:val="single" w:sz="4" w:space="0" w:color="auto"/>
            </w:tcBorders>
            <w:noWrap/>
            <w:vAlign w:val="bottom"/>
          </w:tcPr>
          <w:p w:rsidR="00844CAF" w:rsidRPr="0087580B" w:rsidRDefault="00844CAF" w:rsidP="00501B15">
            <w:pPr>
              <w:rPr>
                <w:sz w:val="22"/>
                <w:szCs w:val="20"/>
              </w:rPr>
            </w:pPr>
            <w:r w:rsidRPr="0087580B">
              <w:rPr>
                <w:sz w:val="22"/>
                <w:szCs w:val="20"/>
              </w:rPr>
              <w:t>Collection 3</w:t>
            </w:r>
          </w:p>
        </w:tc>
        <w:tc>
          <w:tcPr>
            <w:tcW w:w="985"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jc w:val="center"/>
              <w:rPr>
                <w:sz w:val="22"/>
                <w:szCs w:val="20"/>
              </w:rPr>
            </w:pPr>
            <w:r w:rsidRPr="0087580B">
              <w:rPr>
                <w:sz w:val="22"/>
                <w:szCs w:val="20"/>
              </w:rPr>
              <w:t>3,90</w:t>
            </w:r>
          </w:p>
        </w:tc>
        <w:tc>
          <w:tcPr>
            <w:tcW w:w="1786"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ind w:right="150"/>
              <w:jc w:val="right"/>
              <w:rPr>
                <w:sz w:val="22"/>
                <w:szCs w:val="20"/>
              </w:rPr>
            </w:pPr>
            <w:r>
              <w:rPr>
                <w:sz w:val="22"/>
                <w:szCs w:val="20"/>
              </w:rPr>
              <w:t>1 300 000</w:t>
            </w:r>
          </w:p>
        </w:tc>
        <w:tc>
          <w:tcPr>
            <w:tcW w:w="1824"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jc w:val="center"/>
              <w:rPr>
                <w:sz w:val="22"/>
                <w:szCs w:val="20"/>
              </w:rPr>
            </w:pPr>
            <w:r w:rsidRPr="0087580B">
              <w:rPr>
                <w:sz w:val="22"/>
                <w:szCs w:val="20"/>
              </w:rPr>
              <w:t>0,82</w:t>
            </w:r>
          </w:p>
        </w:tc>
        <w:tc>
          <w:tcPr>
            <w:tcW w:w="1745"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jc w:val="center"/>
              <w:rPr>
                <w:sz w:val="22"/>
                <w:szCs w:val="20"/>
              </w:rPr>
            </w:pPr>
            <w:r w:rsidRPr="0087580B">
              <w:rPr>
                <w:sz w:val="22"/>
                <w:szCs w:val="20"/>
              </w:rPr>
              <w:t>2,94</w:t>
            </w:r>
          </w:p>
        </w:tc>
      </w:tr>
    </w:tbl>
    <w:p w:rsidR="009E27B3" w:rsidRDefault="009E27B3" w:rsidP="00501B15">
      <w:pPr>
        <w:rPr>
          <w:szCs w:val="24"/>
        </w:rPr>
      </w:pPr>
    </w:p>
    <w:p w:rsidR="00554A0B" w:rsidRPr="00831BC7" w:rsidRDefault="00554A0B" w:rsidP="00501B15">
      <w:pPr>
        <w:rPr>
          <w:szCs w:val="24"/>
        </w:rPr>
      </w:pPr>
      <w:r w:rsidRPr="00831BC7">
        <w:rPr>
          <w:szCs w:val="24"/>
        </w:rPr>
        <w:t>Pour la même période, la comptabilité analytique fournit les informations suivantes :</w:t>
      </w:r>
    </w:p>
    <w:p w:rsidR="00554A0B" w:rsidRPr="0087580B" w:rsidRDefault="00554A0B" w:rsidP="00501B15">
      <w:pPr>
        <w:rPr>
          <w:sz w:val="22"/>
          <w:szCs w:val="20"/>
        </w:rPr>
      </w:pPr>
    </w:p>
    <w:tbl>
      <w:tblPr>
        <w:tblW w:w="7878" w:type="dxa"/>
        <w:tblInd w:w="881" w:type="dxa"/>
        <w:tblCellMar>
          <w:left w:w="70" w:type="dxa"/>
          <w:right w:w="70" w:type="dxa"/>
        </w:tblCellMar>
        <w:tblLook w:val="0000" w:firstRow="0" w:lastRow="0" w:firstColumn="0" w:lastColumn="0" w:noHBand="0" w:noVBand="0"/>
      </w:tblPr>
      <w:tblGrid>
        <w:gridCol w:w="1438"/>
        <w:gridCol w:w="1023"/>
        <w:gridCol w:w="1843"/>
        <w:gridCol w:w="1812"/>
        <w:gridCol w:w="1762"/>
      </w:tblGrid>
      <w:tr w:rsidR="00844CAF" w:rsidRPr="0087580B">
        <w:trPr>
          <w:trHeight w:val="520"/>
        </w:trPr>
        <w:tc>
          <w:tcPr>
            <w:tcW w:w="1438" w:type="dxa"/>
            <w:tcBorders>
              <w:top w:val="nil"/>
              <w:left w:val="nil"/>
              <w:bottom w:val="single" w:sz="4" w:space="0" w:color="auto"/>
              <w:right w:val="single" w:sz="4" w:space="0" w:color="auto"/>
            </w:tcBorders>
            <w:noWrap/>
            <w:vAlign w:val="bottom"/>
          </w:tcPr>
          <w:p w:rsidR="00844CAF" w:rsidRPr="0087580B" w:rsidRDefault="00844CAF" w:rsidP="00501B15">
            <w:pPr>
              <w:rPr>
                <w:b/>
                <w:bCs/>
                <w:sz w:val="22"/>
                <w:szCs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jc w:val="center"/>
              <w:rPr>
                <w:sz w:val="22"/>
                <w:szCs w:val="20"/>
              </w:rPr>
            </w:pPr>
            <w:r w:rsidRPr="0087580B">
              <w:rPr>
                <w:sz w:val="22"/>
                <w:szCs w:val="20"/>
              </w:rPr>
              <w:t>Prix de vente</w:t>
            </w:r>
          </w:p>
        </w:tc>
        <w:tc>
          <w:tcPr>
            <w:tcW w:w="1843"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jc w:val="center"/>
              <w:rPr>
                <w:sz w:val="22"/>
                <w:szCs w:val="20"/>
              </w:rPr>
            </w:pPr>
            <w:r w:rsidRPr="0087580B">
              <w:rPr>
                <w:sz w:val="22"/>
                <w:szCs w:val="20"/>
              </w:rPr>
              <w:t>Quantité</w:t>
            </w:r>
            <w:r>
              <w:rPr>
                <w:sz w:val="22"/>
                <w:szCs w:val="20"/>
              </w:rPr>
              <w:t>s produites et</w:t>
            </w:r>
            <w:r w:rsidRPr="0087580B">
              <w:rPr>
                <w:sz w:val="22"/>
                <w:szCs w:val="20"/>
              </w:rPr>
              <w:t xml:space="preserve"> vendue</w:t>
            </w:r>
            <w:r>
              <w:rPr>
                <w:sz w:val="22"/>
                <w:szCs w:val="20"/>
              </w:rPr>
              <w:t>s</w:t>
            </w:r>
          </w:p>
        </w:tc>
        <w:tc>
          <w:tcPr>
            <w:tcW w:w="1812"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jc w:val="center"/>
              <w:rPr>
                <w:sz w:val="22"/>
                <w:szCs w:val="20"/>
              </w:rPr>
            </w:pPr>
            <w:r w:rsidRPr="0087580B">
              <w:rPr>
                <w:sz w:val="22"/>
                <w:szCs w:val="20"/>
              </w:rPr>
              <w:t>Coût total de production</w:t>
            </w:r>
          </w:p>
        </w:tc>
        <w:tc>
          <w:tcPr>
            <w:tcW w:w="1762" w:type="dxa"/>
            <w:tcBorders>
              <w:top w:val="single" w:sz="4" w:space="0" w:color="auto"/>
              <w:left w:val="single" w:sz="4" w:space="0" w:color="auto"/>
              <w:bottom w:val="single" w:sz="4" w:space="0" w:color="auto"/>
              <w:right w:val="single" w:sz="4" w:space="0" w:color="auto"/>
            </w:tcBorders>
            <w:vAlign w:val="center"/>
          </w:tcPr>
          <w:p w:rsidR="00844CAF" w:rsidRPr="0087580B" w:rsidRDefault="00F24E38" w:rsidP="00501B15">
            <w:pPr>
              <w:jc w:val="center"/>
              <w:rPr>
                <w:sz w:val="22"/>
                <w:szCs w:val="20"/>
              </w:rPr>
            </w:pPr>
            <w:r>
              <w:rPr>
                <w:sz w:val="22"/>
                <w:szCs w:val="20"/>
              </w:rPr>
              <w:t>Total a</w:t>
            </w:r>
            <w:r w:rsidR="00844CAF" w:rsidRPr="0087580B">
              <w:rPr>
                <w:sz w:val="22"/>
                <w:szCs w:val="20"/>
              </w:rPr>
              <w:t>utres charges</w:t>
            </w:r>
          </w:p>
        </w:tc>
      </w:tr>
      <w:tr w:rsidR="00844CAF" w:rsidRPr="0087580B">
        <w:trPr>
          <w:trHeight w:val="260"/>
        </w:trPr>
        <w:tc>
          <w:tcPr>
            <w:tcW w:w="1438" w:type="dxa"/>
            <w:tcBorders>
              <w:top w:val="single" w:sz="4" w:space="0" w:color="auto"/>
              <w:left w:val="single" w:sz="4" w:space="0" w:color="auto"/>
              <w:bottom w:val="single" w:sz="4" w:space="0" w:color="auto"/>
              <w:right w:val="single" w:sz="4" w:space="0" w:color="auto"/>
            </w:tcBorders>
            <w:noWrap/>
            <w:vAlign w:val="bottom"/>
          </w:tcPr>
          <w:p w:rsidR="00844CAF" w:rsidRPr="0087580B" w:rsidRDefault="00844CAF" w:rsidP="00501B15">
            <w:pPr>
              <w:rPr>
                <w:sz w:val="22"/>
                <w:szCs w:val="20"/>
              </w:rPr>
            </w:pPr>
            <w:r w:rsidRPr="0087580B">
              <w:rPr>
                <w:sz w:val="22"/>
                <w:szCs w:val="20"/>
              </w:rPr>
              <w:t>Collection 1</w:t>
            </w:r>
          </w:p>
        </w:tc>
        <w:tc>
          <w:tcPr>
            <w:tcW w:w="1023"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jc w:val="center"/>
              <w:rPr>
                <w:sz w:val="22"/>
                <w:szCs w:val="20"/>
              </w:rPr>
            </w:pPr>
            <w:r w:rsidRPr="0087580B">
              <w:rPr>
                <w:sz w:val="22"/>
                <w:szCs w:val="20"/>
              </w:rPr>
              <w:t>5,30</w:t>
            </w:r>
          </w:p>
        </w:tc>
        <w:tc>
          <w:tcPr>
            <w:tcW w:w="1843"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ind w:right="245"/>
              <w:jc w:val="right"/>
              <w:rPr>
                <w:sz w:val="22"/>
                <w:szCs w:val="20"/>
              </w:rPr>
            </w:pPr>
            <w:r>
              <w:rPr>
                <w:sz w:val="22"/>
                <w:szCs w:val="20"/>
              </w:rPr>
              <w:t>690 700</w:t>
            </w:r>
          </w:p>
        </w:tc>
        <w:tc>
          <w:tcPr>
            <w:tcW w:w="1812"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ind w:right="245"/>
              <w:jc w:val="right"/>
              <w:rPr>
                <w:sz w:val="22"/>
                <w:szCs w:val="20"/>
              </w:rPr>
            </w:pPr>
            <w:r>
              <w:rPr>
                <w:sz w:val="22"/>
                <w:szCs w:val="20"/>
              </w:rPr>
              <w:t>246 026</w:t>
            </w:r>
          </w:p>
        </w:tc>
        <w:tc>
          <w:tcPr>
            <w:tcW w:w="1762"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ind w:right="245"/>
              <w:jc w:val="right"/>
              <w:rPr>
                <w:sz w:val="22"/>
                <w:szCs w:val="20"/>
              </w:rPr>
            </w:pPr>
            <w:r w:rsidRPr="0087580B">
              <w:rPr>
                <w:sz w:val="22"/>
                <w:szCs w:val="20"/>
              </w:rPr>
              <w:t>2 395 000</w:t>
            </w:r>
          </w:p>
        </w:tc>
      </w:tr>
      <w:tr w:rsidR="00844CAF" w:rsidRPr="0087580B">
        <w:trPr>
          <w:trHeight w:val="260"/>
        </w:trPr>
        <w:tc>
          <w:tcPr>
            <w:tcW w:w="1438" w:type="dxa"/>
            <w:tcBorders>
              <w:top w:val="single" w:sz="4" w:space="0" w:color="auto"/>
              <w:left w:val="single" w:sz="4" w:space="0" w:color="auto"/>
              <w:bottom w:val="single" w:sz="4" w:space="0" w:color="auto"/>
              <w:right w:val="single" w:sz="4" w:space="0" w:color="auto"/>
            </w:tcBorders>
            <w:noWrap/>
            <w:vAlign w:val="bottom"/>
          </w:tcPr>
          <w:p w:rsidR="00844CAF" w:rsidRPr="0087580B" w:rsidRDefault="00844CAF" w:rsidP="00501B15">
            <w:pPr>
              <w:rPr>
                <w:sz w:val="22"/>
                <w:szCs w:val="20"/>
              </w:rPr>
            </w:pPr>
            <w:r w:rsidRPr="0087580B">
              <w:rPr>
                <w:sz w:val="22"/>
                <w:szCs w:val="20"/>
              </w:rPr>
              <w:t>Collection 2</w:t>
            </w:r>
          </w:p>
        </w:tc>
        <w:tc>
          <w:tcPr>
            <w:tcW w:w="1023"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jc w:val="center"/>
              <w:rPr>
                <w:sz w:val="22"/>
                <w:szCs w:val="20"/>
              </w:rPr>
            </w:pPr>
            <w:r w:rsidRPr="0087580B">
              <w:rPr>
                <w:sz w:val="22"/>
                <w:szCs w:val="20"/>
              </w:rPr>
              <w:t>3,77</w:t>
            </w:r>
          </w:p>
        </w:tc>
        <w:tc>
          <w:tcPr>
            <w:tcW w:w="1843"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ind w:right="245"/>
              <w:jc w:val="right"/>
              <w:rPr>
                <w:sz w:val="22"/>
                <w:szCs w:val="20"/>
              </w:rPr>
            </w:pPr>
            <w:r>
              <w:rPr>
                <w:sz w:val="22"/>
                <w:szCs w:val="20"/>
              </w:rPr>
              <w:t>69 000</w:t>
            </w:r>
          </w:p>
        </w:tc>
        <w:tc>
          <w:tcPr>
            <w:tcW w:w="1812"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ind w:right="245"/>
              <w:jc w:val="right"/>
              <w:rPr>
                <w:sz w:val="22"/>
                <w:szCs w:val="20"/>
              </w:rPr>
            </w:pPr>
            <w:r>
              <w:rPr>
                <w:sz w:val="22"/>
                <w:szCs w:val="20"/>
              </w:rPr>
              <w:t>16 000</w:t>
            </w:r>
          </w:p>
        </w:tc>
        <w:tc>
          <w:tcPr>
            <w:tcW w:w="1762"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ind w:right="245"/>
              <w:jc w:val="right"/>
              <w:rPr>
                <w:sz w:val="22"/>
                <w:szCs w:val="20"/>
              </w:rPr>
            </w:pPr>
            <w:r>
              <w:rPr>
                <w:sz w:val="22"/>
                <w:szCs w:val="20"/>
              </w:rPr>
              <w:t>231 000</w:t>
            </w:r>
          </w:p>
        </w:tc>
      </w:tr>
      <w:tr w:rsidR="00844CAF" w:rsidRPr="0087580B">
        <w:trPr>
          <w:trHeight w:val="260"/>
        </w:trPr>
        <w:tc>
          <w:tcPr>
            <w:tcW w:w="1438" w:type="dxa"/>
            <w:tcBorders>
              <w:top w:val="single" w:sz="4" w:space="0" w:color="auto"/>
              <w:left w:val="single" w:sz="4" w:space="0" w:color="auto"/>
              <w:bottom w:val="single" w:sz="4" w:space="0" w:color="auto"/>
              <w:right w:val="single" w:sz="4" w:space="0" w:color="auto"/>
            </w:tcBorders>
            <w:noWrap/>
            <w:vAlign w:val="bottom"/>
          </w:tcPr>
          <w:p w:rsidR="00844CAF" w:rsidRPr="0087580B" w:rsidRDefault="00844CAF" w:rsidP="00501B15">
            <w:pPr>
              <w:rPr>
                <w:sz w:val="22"/>
                <w:szCs w:val="20"/>
              </w:rPr>
            </w:pPr>
            <w:r w:rsidRPr="0087580B">
              <w:rPr>
                <w:sz w:val="22"/>
                <w:szCs w:val="20"/>
              </w:rPr>
              <w:t>Collection 3</w:t>
            </w:r>
          </w:p>
        </w:tc>
        <w:tc>
          <w:tcPr>
            <w:tcW w:w="1023"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jc w:val="center"/>
              <w:rPr>
                <w:sz w:val="22"/>
                <w:szCs w:val="20"/>
              </w:rPr>
            </w:pPr>
            <w:r w:rsidRPr="0087580B">
              <w:rPr>
                <w:sz w:val="22"/>
                <w:szCs w:val="20"/>
              </w:rPr>
              <w:t>3,97</w:t>
            </w:r>
          </w:p>
        </w:tc>
        <w:tc>
          <w:tcPr>
            <w:tcW w:w="1843"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ind w:right="245"/>
              <w:jc w:val="right"/>
              <w:rPr>
                <w:sz w:val="22"/>
                <w:szCs w:val="20"/>
              </w:rPr>
            </w:pPr>
            <w:r>
              <w:rPr>
                <w:sz w:val="22"/>
                <w:szCs w:val="20"/>
              </w:rPr>
              <w:t>1 323 600</w:t>
            </w:r>
          </w:p>
        </w:tc>
        <w:tc>
          <w:tcPr>
            <w:tcW w:w="1812"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ind w:right="245"/>
              <w:jc w:val="right"/>
              <w:rPr>
                <w:sz w:val="22"/>
                <w:szCs w:val="20"/>
              </w:rPr>
            </w:pPr>
            <w:r>
              <w:rPr>
                <w:sz w:val="22"/>
                <w:szCs w:val="20"/>
              </w:rPr>
              <w:t>1 074 752</w:t>
            </w:r>
          </w:p>
        </w:tc>
        <w:tc>
          <w:tcPr>
            <w:tcW w:w="1762" w:type="dxa"/>
            <w:tcBorders>
              <w:top w:val="single" w:sz="4" w:space="0" w:color="auto"/>
              <w:left w:val="single" w:sz="4" w:space="0" w:color="auto"/>
              <w:bottom w:val="single" w:sz="4" w:space="0" w:color="auto"/>
              <w:right w:val="single" w:sz="4" w:space="0" w:color="auto"/>
            </w:tcBorders>
            <w:vAlign w:val="center"/>
          </w:tcPr>
          <w:p w:rsidR="00844CAF" w:rsidRPr="0087580B" w:rsidRDefault="00844CAF" w:rsidP="00501B15">
            <w:pPr>
              <w:ind w:right="245"/>
              <w:jc w:val="right"/>
              <w:rPr>
                <w:sz w:val="22"/>
                <w:szCs w:val="20"/>
              </w:rPr>
            </w:pPr>
            <w:r>
              <w:rPr>
                <w:sz w:val="22"/>
                <w:szCs w:val="20"/>
              </w:rPr>
              <w:t>3 906 000</w:t>
            </w:r>
          </w:p>
        </w:tc>
      </w:tr>
    </w:tbl>
    <w:p w:rsidR="00554A0B" w:rsidRPr="0087580B" w:rsidRDefault="00554A0B" w:rsidP="00501B15">
      <w:pPr>
        <w:spacing w:after="120"/>
        <w:rPr>
          <w:sz w:val="22"/>
        </w:rPr>
      </w:pPr>
    </w:p>
    <w:p w:rsidR="00554A0B" w:rsidRPr="00831BC7" w:rsidRDefault="00554A0B" w:rsidP="00501B15">
      <w:pPr>
        <w:spacing w:after="120"/>
        <w:rPr>
          <w:szCs w:val="24"/>
        </w:rPr>
      </w:pPr>
      <w:r w:rsidRPr="00831BC7">
        <w:rPr>
          <w:szCs w:val="24"/>
        </w:rPr>
        <w:t>Le coût de production de LLF est un coût qui comprend uniquement des charges directes.</w:t>
      </w:r>
    </w:p>
    <w:p w:rsidR="00554A0B" w:rsidRDefault="00554A0B" w:rsidP="00501B15">
      <w:pPr>
        <w:spacing w:after="120"/>
      </w:pPr>
      <w:r w:rsidRPr="00831BC7">
        <w:rPr>
          <w:szCs w:val="24"/>
        </w:rPr>
        <w:t>Les autres charges correspondent aux frais de distribution, aux services administratifs et aux charges indirectes de production.</w:t>
      </w:r>
    </w:p>
    <w:p w:rsidR="001A5759" w:rsidRPr="00475B08" w:rsidRDefault="001A5759" w:rsidP="001A5759">
      <w:pPr>
        <w:ind w:left="360"/>
      </w:pPr>
    </w:p>
    <w:p w:rsidR="00554A0B" w:rsidRDefault="00554A0B" w:rsidP="00501B15">
      <w:pPr>
        <w:shd w:val="clear" w:color="auto" w:fill="FFFFFF"/>
        <w:ind w:right="567"/>
        <w:jc w:val="center"/>
        <w:rPr>
          <w:b/>
          <w:bCs/>
          <w:szCs w:val="24"/>
        </w:rPr>
      </w:pPr>
      <w:r>
        <w:rPr>
          <w:b/>
          <w:bCs/>
          <w:szCs w:val="24"/>
        </w:rPr>
        <w:lastRenderedPageBreak/>
        <w:t>Annexe 3</w:t>
      </w:r>
    </w:p>
    <w:p w:rsidR="00554A0B" w:rsidRDefault="00554A0B" w:rsidP="00501B15">
      <w:pPr>
        <w:shd w:val="clear" w:color="auto" w:fill="FFFFFF"/>
        <w:ind w:right="567"/>
        <w:jc w:val="center"/>
        <w:rPr>
          <w:b/>
          <w:bCs/>
          <w:szCs w:val="24"/>
        </w:rPr>
      </w:pPr>
    </w:p>
    <w:p w:rsidR="00554A0B" w:rsidRDefault="00554A0B" w:rsidP="00501B15">
      <w:pPr>
        <w:jc w:val="center"/>
        <w:rPr>
          <w:b/>
          <w:bCs/>
          <w:sz w:val="28"/>
          <w:szCs w:val="28"/>
        </w:rPr>
      </w:pPr>
      <w:r w:rsidRPr="00E02E3D">
        <w:rPr>
          <w:b/>
          <w:u w:val="single"/>
        </w:rPr>
        <w:t>Planning d’aménagement de la chaîne de réalisation</w:t>
      </w:r>
    </w:p>
    <w:p w:rsidR="00554A0B" w:rsidRPr="001D5D3A" w:rsidRDefault="00554A0B" w:rsidP="00501B15">
      <w:pPr>
        <w:jc w:val="center"/>
        <w:rPr>
          <w:b/>
          <w:b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8"/>
        <w:gridCol w:w="4453"/>
        <w:gridCol w:w="1134"/>
        <w:gridCol w:w="2711"/>
      </w:tblGrid>
      <w:tr w:rsidR="00554A0B" w:rsidRPr="007F47D4">
        <w:trPr>
          <w:jc w:val="center"/>
        </w:trPr>
        <w:tc>
          <w:tcPr>
            <w:tcW w:w="1378"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b/>
                <w:sz w:val="22"/>
              </w:rPr>
            </w:pPr>
            <w:r w:rsidRPr="007F47D4">
              <w:rPr>
                <w:rFonts w:ascii="Times New Roman" w:hAnsi="Times New Roman"/>
                <w:b/>
                <w:sz w:val="22"/>
              </w:rPr>
              <w:t>Opérations</w:t>
            </w:r>
          </w:p>
        </w:tc>
        <w:tc>
          <w:tcPr>
            <w:tcW w:w="4453"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b/>
                <w:sz w:val="22"/>
              </w:rPr>
            </w:pPr>
            <w:r w:rsidRPr="007F47D4">
              <w:rPr>
                <w:rFonts w:ascii="Times New Roman" w:hAnsi="Times New Roman"/>
                <w:b/>
                <w:sz w:val="22"/>
              </w:rPr>
              <w:t>Description de l’opération</w:t>
            </w:r>
          </w:p>
        </w:tc>
        <w:tc>
          <w:tcPr>
            <w:tcW w:w="1134"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b/>
                <w:sz w:val="22"/>
              </w:rPr>
            </w:pPr>
            <w:r w:rsidRPr="007F47D4">
              <w:rPr>
                <w:rFonts w:ascii="Times New Roman" w:hAnsi="Times New Roman"/>
                <w:b/>
                <w:sz w:val="22"/>
              </w:rPr>
              <w:t>Durée</w:t>
            </w:r>
          </w:p>
        </w:tc>
        <w:tc>
          <w:tcPr>
            <w:tcW w:w="2711"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b/>
                <w:sz w:val="22"/>
              </w:rPr>
            </w:pPr>
            <w:r w:rsidRPr="007F47D4">
              <w:rPr>
                <w:rFonts w:ascii="Times New Roman" w:hAnsi="Times New Roman"/>
                <w:b/>
                <w:sz w:val="22"/>
              </w:rPr>
              <w:t>Opérations pré-requises</w:t>
            </w:r>
          </w:p>
        </w:tc>
      </w:tr>
      <w:tr w:rsidR="00554A0B" w:rsidRPr="007F47D4">
        <w:trPr>
          <w:jc w:val="center"/>
        </w:trPr>
        <w:tc>
          <w:tcPr>
            <w:tcW w:w="1378"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r w:rsidRPr="007F47D4">
              <w:rPr>
                <w:rFonts w:ascii="Times New Roman" w:hAnsi="Times New Roman"/>
                <w:sz w:val="22"/>
              </w:rPr>
              <w:t>A</w:t>
            </w:r>
          </w:p>
        </w:tc>
        <w:tc>
          <w:tcPr>
            <w:tcW w:w="4453"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rPr>
                <w:rFonts w:ascii="Times New Roman" w:hAnsi="Times New Roman"/>
                <w:sz w:val="22"/>
              </w:rPr>
            </w:pPr>
            <w:r w:rsidRPr="007F47D4">
              <w:rPr>
                <w:rFonts w:ascii="Times New Roman" w:hAnsi="Times New Roman"/>
                <w:sz w:val="22"/>
              </w:rPr>
              <w:t>Rénovation du bâtiment (électricité, isolation thermique et acoustique)</w:t>
            </w:r>
          </w:p>
        </w:tc>
        <w:tc>
          <w:tcPr>
            <w:tcW w:w="1134"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r w:rsidRPr="007F47D4">
              <w:rPr>
                <w:rFonts w:ascii="Times New Roman" w:hAnsi="Times New Roman"/>
                <w:sz w:val="22"/>
              </w:rPr>
              <w:t>12 jours</w:t>
            </w:r>
          </w:p>
        </w:tc>
        <w:tc>
          <w:tcPr>
            <w:tcW w:w="2711"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p>
        </w:tc>
      </w:tr>
      <w:tr w:rsidR="00554A0B" w:rsidRPr="007F47D4">
        <w:trPr>
          <w:jc w:val="center"/>
        </w:trPr>
        <w:tc>
          <w:tcPr>
            <w:tcW w:w="1378"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r w:rsidRPr="007F47D4">
              <w:rPr>
                <w:rFonts w:ascii="Times New Roman" w:hAnsi="Times New Roman"/>
                <w:sz w:val="22"/>
              </w:rPr>
              <w:t>B</w:t>
            </w:r>
          </w:p>
        </w:tc>
        <w:tc>
          <w:tcPr>
            <w:tcW w:w="4453"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rPr>
                <w:rFonts w:ascii="Times New Roman" w:hAnsi="Times New Roman"/>
                <w:sz w:val="22"/>
              </w:rPr>
            </w:pPr>
            <w:r w:rsidRPr="007F47D4">
              <w:rPr>
                <w:rFonts w:ascii="Times New Roman" w:hAnsi="Times New Roman"/>
                <w:sz w:val="22"/>
              </w:rPr>
              <w:t>Mise en conformité environnementale (assainissement, collecte et élimination des déchets, sécurisation des stockages)</w:t>
            </w:r>
          </w:p>
        </w:tc>
        <w:tc>
          <w:tcPr>
            <w:tcW w:w="1134"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r w:rsidRPr="007F47D4">
              <w:rPr>
                <w:rFonts w:ascii="Times New Roman" w:hAnsi="Times New Roman"/>
                <w:sz w:val="22"/>
              </w:rPr>
              <w:t>15 jours</w:t>
            </w:r>
          </w:p>
        </w:tc>
        <w:tc>
          <w:tcPr>
            <w:tcW w:w="2711"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p>
        </w:tc>
      </w:tr>
      <w:tr w:rsidR="00554A0B" w:rsidRPr="007F47D4">
        <w:trPr>
          <w:jc w:val="center"/>
        </w:trPr>
        <w:tc>
          <w:tcPr>
            <w:tcW w:w="1378"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r w:rsidRPr="007F47D4">
              <w:rPr>
                <w:rFonts w:ascii="Times New Roman" w:hAnsi="Times New Roman"/>
                <w:sz w:val="22"/>
              </w:rPr>
              <w:t>C</w:t>
            </w:r>
          </w:p>
        </w:tc>
        <w:tc>
          <w:tcPr>
            <w:tcW w:w="4453"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rPr>
                <w:rFonts w:ascii="Times New Roman" w:hAnsi="Times New Roman"/>
                <w:sz w:val="22"/>
              </w:rPr>
            </w:pPr>
            <w:r w:rsidRPr="007F47D4">
              <w:rPr>
                <w:rFonts w:ascii="Times New Roman" w:hAnsi="Times New Roman"/>
                <w:sz w:val="22"/>
              </w:rPr>
              <w:t>Réorganisation et extension de l’atelier prépresse (studio PAO, scanners, flashage, …)</w:t>
            </w:r>
          </w:p>
        </w:tc>
        <w:tc>
          <w:tcPr>
            <w:tcW w:w="1134"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r w:rsidRPr="007F47D4">
              <w:rPr>
                <w:rFonts w:ascii="Times New Roman" w:hAnsi="Times New Roman"/>
                <w:sz w:val="22"/>
              </w:rPr>
              <w:t>10 jours</w:t>
            </w:r>
          </w:p>
        </w:tc>
        <w:tc>
          <w:tcPr>
            <w:tcW w:w="2711"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r w:rsidRPr="007F47D4">
              <w:rPr>
                <w:rFonts w:ascii="Times New Roman" w:hAnsi="Times New Roman"/>
                <w:sz w:val="22"/>
              </w:rPr>
              <w:t>A</w:t>
            </w:r>
          </w:p>
        </w:tc>
      </w:tr>
      <w:tr w:rsidR="00554A0B" w:rsidRPr="007F47D4">
        <w:trPr>
          <w:jc w:val="center"/>
        </w:trPr>
        <w:tc>
          <w:tcPr>
            <w:tcW w:w="1378"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r w:rsidRPr="007F47D4">
              <w:rPr>
                <w:rFonts w:ascii="Times New Roman" w:hAnsi="Times New Roman"/>
                <w:sz w:val="22"/>
              </w:rPr>
              <w:t>D</w:t>
            </w:r>
          </w:p>
        </w:tc>
        <w:tc>
          <w:tcPr>
            <w:tcW w:w="4453"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rPr>
                <w:rFonts w:ascii="Times New Roman" w:hAnsi="Times New Roman"/>
                <w:sz w:val="22"/>
              </w:rPr>
            </w:pPr>
            <w:r w:rsidRPr="007F47D4">
              <w:rPr>
                <w:rFonts w:ascii="Times New Roman" w:hAnsi="Times New Roman"/>
                <w:sz w:val="22"/>
              </w:rPr>
              <w:t xml:space="preserve">Mise en place du parc machines d’impression </w:t>
            </w:r>
          </w:p>
        </w:tc>
        <w:tc>
          <w:tcPr>
            <w:tcW w:w="1134"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r w:rsidRPr="007F47D4">
              <w:rPr>
                <w:rFonts w:ascii="Times New Roman" w:hAnsi="Times New Roman"/>
                <w:sz w:val="22"/>
              </w:rPr>
              <w:t>6 jours</w:t>
            </w:r>
          </w:p>
        </w:tc>
        <w:tc>
          <w:tcPr>
            <w:tcW w:w="2711"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r w:rsidRPr="007F47D4">
              <w:rPr>
                <w:rFonts w:ascii="Times New Roman" w:hAnsi="Times New Roman"/>
                <w:sz w:val="22"/>
              </w:rPr>
              <w:t>A,</w:t>
            </w:r>
            <w:r w:rsidR="00831BC7">
              <w:rPr>
                <w:rFonts w:ascii="Times New Roman" w:hAnsi="Times New Roman"/>
                <w:sz w:val="22"/>
              </w:rPr>
              <w:t xml:space="preserve"> </w:t>
            </w:r>
            <w:r w:rsidRPr="007F47D4">
              <w:rPr>
                <w:rFonts w:ascii="Times New Roman" w:hAnsi="Times New Roman"/>
                <w:sz w:val="22"/>
              </w:rPr>
              <w:t>B</w:t>
            </w:r>
          </w:p>
        </w:tc>
      </w:tr>
      <w:tr w:rsidR="00554A0B" w:rsidRPr="007F47D4">
        <w:trPr>
          <w:jc w:val="center"/>
        </w:trPr>
        <w:tc>
          <w:tcPr>
            <w:tcW w:w="1378"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r w:rsidRPr="007F47D4">
              <w:rPr>
                <w:rFonts w:ascii="Times New Roman" w:hAnsi="Times New Roman"/>
                <w:sz w:val="22"/>
              </w:rPr>
              <w:t>E</w:t>
            </w:r>
          </w:p>
        </w:tc>
        <w:tc>
          <w:tcPr>
            <w:tcW w:w="4453"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rPr>
                <w:rFonts w:ascii="Times New Roman" w:hAnsi="Times New Roman"/>
                <w:sz w:val="22"/>
              </w:rPr>
            </w:pPr>
            <w:r w:rsidRPr="007F47D4">
              <w:rPr>
                <w:rFonts w:ascii="Times New Roman" w:hAnsi="Times New Roman"/>
                <w:sz w:val="22"/>
              </w:rPr>
              <w:t>Installation de l’équipement façonnage (plieuses, colleuse, encarteuse</w:t>
            </w:r>
            <w:r w:rsidR="00B74EB7">
              <w:rPr>
                <w:rFonts w:ascii="Times New Roman" w:hAnsi="Times New Roman"/>
                <w:sz w:val="22"/>
              </w:rPr>
              <w:t>,</w:t>
            </w:r>
            <w:r w:rsidRPr="007F47D4">
              <w:rPr>
                <w:rFonts w:ascii="Times New Roman" w:hAnsi="Times New Roman"/>
                <w:sz w:val="22"/>
              </w:rPr>
              <w:t xml:space="preserve"> piqueuse, massicots, …)</w:t>
            </w:r>
          </w:p>
        </w:tc>
        <w:tc>
          <w:tcPr>
            <w:tcW w:w="1134"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r w:rsidRPr="007F47D4">
              <w:rPr>
                <w:rFonts w:ascii="Times New Roman" w:hAnsi="Times New Roman"/>
                <w:sz w:val="22"/>
              </w:rPr>
              <w:t>8 jours</w:t>
            </w:r>
          </w:p>
        </w:tc>
        <w:tc>
          <w:tcPr>
            <w:tcW w:w="2711"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r w:rsidRPr="007F47D4">
              <w:rPr>
                <w:rFonts w:ascii="Times New Roman" w:hAnsi="Times New Roman"/>
                <w:sz w:val="22"/>
              </w:rPr>
              <w:t>A,</w:t>
            </w:r>
            <w:r w:rsidR="00831BC7">
              <w:rPr>
                <w:rFonts w:ascii="Times New Roman" w:hAnsi="Times New Roman"/>
                <w:sz w:val="22"/>
              </w:rPr>
              <w:t xml:space="preserve"> </w:t>
            </w:r>
            <w:r w:rsidRPr="007F47D4">
              <w:rPr>
                <w:rFonts w:ascii="Times New Roman" w:hAnsi="Times New Roman"/>
                <w:sz w:val="22"/>
              </w:rPr>
              <w:t>B,</w:t>
            </w:r>
            <w:r w:rsidR="00831BC7">
              <w:rPr>
                <w:rFonts w:ascii="Times New Roman" w:hAnsi="Times New Roman"/>
                <w:sz w:val="22"/>
              </w:rPr>
              <w:t xml:space="preserve"> </w:t>
            </w:r>
            <w:r w:rsidRPr="007F47D4">
              <w:rPr>
                <w:rFonts w:ascii="Times New Roman" w:hAnsi="Times New Roman"/>
                <w:sz w:val="22"/>
              </w:rPr>
              <w:t>D</w:t>
            </w:r>
          </w:p>
        </w:tc>
      </w:tr>
      <w:tr w:rsidR="00554A0B" w:rsidRPr="007F47D4">
        <w:trPr>
          <w:jc w:val="center"/>
        </w:trPr>
        <w:tc>
          <w:tcPr>
            <w:tcW w:w="1378"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r w:rsidRPr="007F47D4">
              <w:rPr>
                <w:rFonts w:ascii="Times New Roman" w:hAnsi="Times New Roman"/>
                <w:sz w:val="22"/>
              </w:rPr>
              <w:t>F</w:t>
            </w:r>
          </w:p>
        </w:tc>
        <w:tc>
          <w:tcPr>
            <w:tcW w:w="4453"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rPr>
                <w:rFonts w:ascii="Times New Roman" w:hAnsi="Times New Roman"/>
                <w:sz w:val="22"/>
              </w:rPr>
            </w:pPr>
            <w:r w:rsidRPr="007F47D4">
              <w:rPr>
                <w:rFonts w:ascii="Times New Roman" w:hAnsi="Times New Roman"/>
                <w:sz w:val="22"/>
              </w:rPr>
              <w:t>Essais et tests techniques</w:t>
            </w:r>
          </w:p>
        </w:tc>
        <w:tc>
          <w:tcPr>
            <w:tcW w:w="1134"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r w:rsidRPr="007F47D4">
              <w:rPr>
                <w:rFonts w:ascii="Times New Roman" w:hAnsi="Times New Roman"/>
                <w:sz w:val="22"/>
              </w:rPr>
              <w:t>3 jours</w:t>
            </w:r>
          </w:p>
        </w:tc>
        <w:tc>
          <w:tcPr>
            <w:tcW w:w="2711"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r w:rsidRPr="007F47D4">
              <w:rPr>
                <w:rFonts w:ascii="Times New Roman" w:hAnsi="Times New Roman"/>
                <w:sz w:val="22"/>
              </w:rPr>
              <w:t>C,</w:t>
            </w:r>
            <w:r w:rsidR="00831BC7">
              <w:rPr>
                <w:rFonts w:ascii="Times New Roman" w:hAnsi="Times New Roman"/>
                <w:sz w:val="22"/>
              </w:rPr>
              <w:t xml:space="preserve"> </w:t>
            </w:r>
            <w:r w:rsidRPr="007F47D4">
              <w:rPr>
                <w:rFonts w:ascii="Times New Roman" w:hAnsi="Times New Roman"/>
                <w:sz w:val="22"/>
              </w:rPr>
              <w:t>D,</w:t>
            </w:r>
            <w:r w:rsidR="00831BC7">
              <w:rPr>
                <w:rFonts w:ascii="Times New Roman" w:hAnsi="Times New Roman"/>
                <w:sz w:val="22"/>
              </w:rPr>
              <w:t xml:space="preserve"> </w:t>
            </w:r>
            <w:r w:rsidRPr="007F47D4">
              <w:rPr>
                <w:rFonts w:ascii="Times New Roman" w:hAnsi="Times New Roman"/>
                <w:sz w:val="22"/>
              </w:rPr>
              <w:t>E</w:t>
            </w:r>
          </w:p>
        </w:tc>
      </w:tr>
      <w:tr w:rsidR="00554A0B" w:rsidRPr="007F47D4">
        <w:trPr>
          <w:jc w:val="center"/>
        </w:trPr>
        <w:tc>
          <w:tcPr>
            <w:tcW w:w="1378"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r w:rsidRPr="007F47D4">
              <w:rPr>
                <w:rFonts w:ascii="Times New Roman" w:hAnsi="Times New Roman"/>
                <w:sz w:val="22"/>
              </w:rPr>
              <w:t>G</w:t>
            </w:r>
          </w:p>
        </w:tc>
        <w:tc>
          <w:tcPr>
            <w:tcW w:w="4453"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rPr>
                <w:rFonts w:ascii="Times New Roman" w:hAnsi="Times New Roman"/>
                <w:sz w:val="22"/>
              </w:rPr>
            </w:pPr>
            <w:r w:rsidRPr="007F47D4">
              <w:rPr>
                <w:rFonts w:ascii="Times New Roman" w:hAnsi="Times New Roman"/>
                <w:sz w:val="22"/>
              </w:rPr>
              <w:t>Formation du personnel sur site</w:t>
            </w:r>
          </w:p>
        </w:tc>
        <w:tc>
          <w:tcPr>
            <w:tcW w:w="1134"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r w:rsidRPr="007F47D4">
              <w:rPr>
                <w:rFonts w:ascii="Times New Roman" w:hAnsi="Times New Roman"/>
                <w:sz w:val="22"/>
              </w:rPr>
              <w:t>10 jours</w:t>
            </w:r>
          </w:p>
        </w:tc>
        <w:tc>
          <w:tcPr>
            <w:tcW w:w="2711"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r w:rsidRPr="007F47D4">
              <w:rPr>
                <w:rFonts w:ascii="Times New Roman" w:hAnsi="Times New Roman"/>
                <w:sz w:val="22"/>
              </w:rPr>
              <w:t>C,</w:t>
            </w:r>
            <w:r w:rsidR="00831BC7">
              <w:rPr>
                <w:rFonts w:ascii="Times New Roman" w:hAnsi="Times New Roman"/>
                <w:sz w:val="22"/>
              </w:rPr>
              <w:t xml:space="preserve"> </w:t>
            </w:r>
            <w:r w:rsidRPr="007F47D4">
              <w:rPr>
                <w:rFonts w:ascii="Times New Roman" w:hAnsi="Times New Roman"/>
                <w:sz w:val="22"/>
              </w:rPr>
              <w:t>D,</w:t>
            </w:r>
            <w:r w:rsidR="00831BC7">
              <w:rPr>
                <w:rFonts w:ascii="Times New Roman" w:hAnsi="Times New Roman"/>
                <w:sz w:val="22"/>
              </w:rPr>
              <w:t xml:space="preserve"> </w:t>
            </w:r>
            <w:r w:rsidRPr="007F47D4">
              <w:rPr>
                <w:rFonts w:ascii="Times New Roman" w:hAnsi="Times New Roman"/>
                <w:sz w:val="22"/>
              </w:rPr>
              <w:t>E,</w:t>
            </w:r>
            <w:r w:rsidR="00831BC7">
              <w:rPr>
                <w:rFonts w:ascii="Times New Roman" w:hAnsi="Times New Roman"/>
                <w:sz w:val="22"/>
              </w:rPr>
              <w:t xml:space="preserve"> </w:t>
            </w:r>
            <w:r w:rsidRPr="007F47D4">
              <w:rPr>
                <w:rFonts w:ascii="Times New Roman" w:hAnsi="Times New Roman"/>
                <w:sz w:val="22"/>
              </w:rPr>
              <w:t>F</w:t>
            </w:r>
          </w:p>
        </w:tc>
      </w:tr>
      <w:tr w:rsidR="00554A0B" w:rsidRPr="007F47D4">
        <w:trPr>
          <w:jc w:val="center"/>
        </w:trPr>
        <w:tc>
          <w:tcPr>
            <w:tcW w:w="1378"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r w:rsidRPr="007F47D4">
              <w:rPr>
                <w:rFonts w:ascii="Times New Roman" w:hAnsi="Times New Roman"/>
                <w:sz w:val="22"/>
              </w:rPr>
              <w:t>H</w:t>
            </w:r>
          </w:p>
        </w:tc>
        <w:tc>
          <w:tcPr>
            <w:tcW w:w="4453"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rPr>
                <w:rFonts w:ascii="Times New Roman" w:hAnsi="Times New Roman"/>
                <w:sz w:val="22"/>
              </w:rPr>
            </w:pPr>
            <w:r w:rsidRPr="007F47D4">
              <w:rPr>
                <w:rFonts w:ascii="Times New Roman" w:hAnsi="Times New Roman"/>
                <w:sz w:val="22"/>
              </w:rPr>
              <w:t>Contrôle qualité</w:t>
            </w:r>
          </w:p>
        </w:tc>
        <w:tc>
          <w:tcPr>
            <w:tcW w:w="1134"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r w:rsidRPr="007F47D4">
              <w:rPr>
                <w:rFonts w:ascii="Times New Roman" w:hAnsi="Times New Roman"/>
                <w:sz w:val="22"/>
              </w:rPr>
              <w:t>2 jours</w:t>
            </w:r>
          </w:p>
        </w:tc>
        <w:tc>
          <w:tcPr>
            <w:tcW w:w="2711" w:type="dxa"/>
            <w:tcBorders>
              <w:top w:val="single" w:sz="4" w:space="0" w:color="000000"/>
              <w:left w:val="single" w:sz="4" w:space="0" w:color="000000"/>
              <w:bottom w:val="single" w:sz="4" w:space="0" w:color="000000"/>
              <w:right w:val="single" w:sz="4" w:space="0" w:color="000000"/>
            </w:tcBorders>
          </w:tcPr>
          <w:p w:rsidR="00554A0B" w:rsidRPr="007F47D4" w:rsidRDefault="00554A0B" w:rsidP="00501B15">
            <w:pPr>
              <w:pStyle w:val="Sansinterligne1"/>
              <w:jc w:val="center"/>
              <w:rPr>
                <w:rFonts w:ascii="Times New Roman" w:hAnsi="Times New Roman"/>
                <w:sz w:val="22"/>
              </w:rPr>
            </w:pPr>
            <w:r w:rsidRPr="007F47D4">
              <w:rPr>
                <w:rFonts w:ascii="Times New Roman" w:hAnsi="Times New Roman"/>
                <w:sz w:val="22"/>
              </w:rPr>
              <w:t>F,</w:t>
            </w:r>
            <w:r w:rsidR="00831BC7">
              <w:rPr>
                <w:rFonts w:ascii="Times New Roman" w:hAnsi="Times New Roman"/>
                <w:sz w:val="22"/>
              </w:rPr>
              <w:t xml:space="preserve"> </w:t>
            </w:r>
            <w:r w:rsidRPr="007F47D4">
              <w:rPr>
                <w:rFonts w:ascii="Times New Roman" w:hAnsi="Times New Roman"/>
                <w:sz w:val="22"/>
              </w:rPr>
              <w:t>G</w:t>
            </w:r>
          </w:p>
        </w:tc>
      </w:tr>
    </w:tbl>
    <w:p w:rsidR="00554A0B" w:rsidRDefault="00554A0B" w:rsidP="00501B15">
      <w:pPr>
        <w:rPr>
          <w:szCs w:val="24"/>
        </w:rPr>
      </w:pPr>
    </w:p>
    <w:p w:rsidR="00554A0B" w:rsidRDefault="00554A0B" w:rsidP="00501B15">
      <w:pPr>
        <w:shd w:val="clear" w:color="auto" w:fill="FFFFFF"/>
        <w:ind w:right="567"/>
        <w:jc w:val="center"/>
        <w:rPr>
          <w:b/>
          <w:bCs/>
          <w:szCs w:val="24"/>
        </w:rPr>
      </w:pPr>
      <w:r>
        <w:rPr>
          <w:b/>
          <w:bCs/>
          <w:szCs w:val="24"/>
        </w:rPr>
        <w:t>Annexe 4</w:t>
      </w:r>
    </w:p>
    <w:p w:rsidR="00554A0B" w:rsidRDefault="00554A0B" w:rsidP="00501B15">
      <w:pPr>
        <w:shd w:val="clear" w:color="auto" w:fill="FFFFFF"/>
        <w:ind w:right="567"/>
        <w:jc w:val="center"/>
        <w:rPr>
          <w:b/>
          <w:bCs/>
          <w:szCs w:val="24"/>
        </w:rPr>
      </w:pPr>
    </w:p>
    <w:p w:rsidR="00554A0B" w:rsidRPr="007F47D4" w:rsidRDefault="00554A0B" w:rsidP="00501B15">
      <w:pPr>
        <w:pStyle w:val="Sansinterligne1"/>
        <w:jc w:val="center"/>
        <w:rPr>
          <w:rFonts w:ascii="Times New Roman" w:hAnsi="Times New Roman"/>
          <w:b/>
          <w:sz w:val="24"/>
          <w:szCs w:val="24"/>
          <w:u w:val="single"/>
        </w:rPr>
      </w:pPr>
      <w:r w:rsidRPr="007F47D4">
        <w:rPr>
          <w:rFonts w:ascii="Times New Roman" w:hAnsi="Times New Roman"/>
          <w:b/>
          <w:sz w:val="24"/>
          <w:szCs w:val="24"/>
          <w:u w:val="single"/>
        </w:rPr>
        <w:t>Accélération du projet</w:t>
      </w:r>
      <w:r>
        <w:rPr>
          <w:rFonts w:ascii="Times New Roman" w:hAnsi="Times New Roman"/>
          <w:b/>
          <w:sz w:val="24"/>
          <w:szCs w:val="24"/>
          <w:u w:val="single"/>
        </w:rPr>
        <w:t xml:space="preserve"> d’investissement</w:t>
      </w:r>
      <w:r w:rsidRPr="007F47D4">
        <w:rPr>
          <w:rFonts w:ascii="Times New Roman" w:hAnsi="Times New Roman"/>
          <w:b/>
          <w:sz w:val="24"/>
          <w:szCs w:val="24"/>
          <w:u w:val="single"/>
        </w:rPr>
        <w:t xml:space="preserve"> au moindre coût</w:t>
      </w:r>
    </w:p>
    <w:p w:rsidR="00554A0B" w:rsidRDefault="00554A0B" w:rsidP="00501B15">
      <w:pPr>
        <w:shd w:val="clear" w:color="auto" w:fill="FFFFFF"/>
        <w:ind w:right="567"/>
        <w:jc w:val="center"/>
        <w:rPr>
          <w:b/>
          <w:bCs/>
          <w:szCs w:val="24"/>
        </w:rPr>
      </w:pPr>
    </w:p>
    <w:p w:rsidR="00554A0B" w:rsidRPr="00831BC7" w:rsidRDefault="00554A0B" w:rsidP="00501B15">
      <w:pPr>
        <w:pStyle w:val="Sansinterligne1"/>
        <w:spacing w:after="120"/>
        <w:rPr>
          <w:rFonts w:ascii="Times New Roman" w:hAnsi="Times New Roman"/>
          <w:sz w:val="24"/>
          <w:szCs w:val="24"/>
        </w:rPr>
      </w:pPr>
      <w:r w:rsidRPr="00831BC7">
        <w:rPr>
          <w:rFonts w:ascii="Times New Roman" w:hAnsi="Times New Roman"/>
          <w:sz w:val="24"/>
          <w:szCs w:val="24"/>
        </w:rPr>
        <w:t>Une étude commerciale m</w:t>
      </w:r>
      <w:r w:rsidR="00B74EB7">
        <w:rPr>
          <w:rFonts w:ascii="Times New Roman" w:hAnsi="Times New Roman"/>
          <w:sz w:val="24"/>
          <w:szCs w:val="24"/>
        </w:rPr>
        <w:t>enée par l’é</w:t>
      </w:r>
      <w:r w:rsidRPr="00831BC7">
        <w:rPr>
          <w:rFonts w:ascii="Times New Roman" w:hAnsi="Times New Roman"/>
          <w:sz w:val="24"/>
          <w:szCs w:val="24"/>
        </w:rPr>
        <w:t>diteur LLF met en évidence « un manque à gagner » qui dépend de la date de mise sur le marché de la nouvelle collection.</w:t>
      </w:r>
    </w:p>
    <w:p w:rsidR="00554A0B" w:rsidRPr="00831BC7" w:rsidRDefault="00554A0B" w:rsidP="00501B15">
      <w:pPr>
        <w:pStyle w:val="Sansinterligne1"/>
        <w:spacing w:after="120"/>
        <w:rPr>
          <w:rFonts w:ascii="Times New Roman" w:hAnsi="Times New Roman"/>
          <w:sz w:val="24"/>
          <w:szCs w:val="24"/>
        </w:rPr>
      </w:pPr>
      <w:r w:rsidRPr="00831BC7">
        <w:rPr>
          <w:rFonts w:ascii="Times New Roman" w:hAnsi="Times New Roman"/>
          <w:sz w:val="24"/>
          <w:szCs w:val="24"/>
        </w:rPr>
        <w:t>Pour lancer la production de la nouvelle collection rapidement, il est envisagé de diminuer le temps de réalisation du projet d’investissement. Une étude technique fait apparaître la possibilité d’accélérer certaines opérations avec, en contrepartie, l’accroissement du coût de celles-ci</w:t>
      </w:r>
      <w:r w:rsidR="00831BC7" w:rsidRPr="00831BC7">
        <w:rPr>
          <w:rFonts w:ascii="Times New Roman" w:hAnsi="Times New Roman"/>
          <w:sz w:val="24"/>
          <w:szCs w:val="24"/>
        </w:rPr>
        <w:t xml:space="preserve"> </w:t>
      </w:r>
      <w:r w:rsidRPr="00831BC7">
        <w:rPr>
          <w:rFonts w:ascii="Times New Roman" w:hAnsi="Times New Roman"/>
          <w:sz w:val="24"/>
          <w:szCs w:val="24"/>
        </w:rPr>
        <w:t xml:space="preserve">(recours aux heures supplémentaires, …). </w:t>
      </w:r>
    </w:p>
    <w:p w:rsidR="00554A0B" w:rsidRPr="00831BC7" w:rsidRDefault="00554A0B" w:rsidP="00501B15">
      <w:pPr>
        <w:pStyle w:val="Sansinterligne1"/>
        <w:spacing w:after="120"/>
        <w:rPr>
          <w:rFonts w:ascii="Times New Roman" w:hAnsi="Times New Roman"/>
          <w:sz w:val="24"/>
          <w:szCs w:val="24"/>
        </w:rPr>
      </w:pPr>
      <w:r w:rsidRPr="00831BC7">
        <w:rPr>
          <w:rFonts w:ascii="Times New Roman" w:hAnsi="Times New Roman"/>
          <w:sz w:val="24"/>
          <w:szCs w:val="24"/>
        </w:rPr>
        <w:t>Les opérations du projet sont classées, dans le tableau ci-dessous, en fonction de leur coût marginal. Ce coût marginal correspond à l’accroissement du coût de chaque opération, par jour économisé.</w:t>
      </w:r>
    </w:p>
    <w:p w:rsidR="00554A0B" w:rsidRPr="001D5D3A" w:rsidRDefault="00554A0B" w:rsidP="00501B15">
      <w:pPr>
        <w:pStyle w:val="Sansinterligne1"/>
        <w:spacing w:after="120"/>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62"/>
        <w:gridCol w:w="425"/>
        <w:gridCol w:w="375"/>
        <w:gridCol w:w="339"/>
        <w:gridCol w:w="425"/>
        <w:gridCol w:w="425"/>
        <w:gridCol w:w="426"/>
        <w:gridCol w:w="425"/>
        <w:gridCol w:w="391"/>
      </w:tblGrid>
      <w:tr w:rsidR="00554A0B" w:rsidRPr="001D5D3A">
        <w:tc>
          <w:tcPr>
            <w:tcW w:w="6062" w:type="dxa"/>
            <w:tcBorders>
              <w:top w:val="single" w:sz="4" w:space="0" w:color="000000"/>
              <w:left w:val="single" w:sz="4" w:space="0" w:color="000000"/>
              <w:bottom w:val="single" w:sz="4" w:space="0" w:color="000000"/>
              <w:right w:val="single" w:sz="4" w:space="0" w:color="000000"/>
            </w:tcBorders>
          </w:tcPr>
          <w:p w:rsidR="00554A0B" w:rsidRPr="00CA13DF" w:rsidRDefault="00554A0B" w:rsidP="00501B15">
            <w:pPr>
              <w:pStyle w:val="Sansinterligne1"/>
              <w:jc w:val="center"/>
              <w:rPr>
                <w:rFonts w:ascii="Times New Roman" w:hAnsi="Times New Roman"/>
                <w:sz w:val="22"/>
              </w:rPr>
            </w:pPr>
            <w:r w:rsidRPr="00CA13DF">
              <w:rPr>
                <w:rFonts w:ascii="Times New Roman" w:hAnsi="Times New Roman"/>
                <w:sz w:val="22"/>
              </w:rPr>
              <w:t>Classement des opérations en fonction de leur coût marginal</w:t>
            </w:r>
          </w:p>
        </w:tc>
        <w:tc>
          <w:tcPr>
            <w:tcW w:w="425" w:type="dxa"/>
            <w:tcBorders>
              <w:top w:val="single" w:sz="4" w:space="0" w:color="000000"/>
              <w:left w:val="single" w:sz="4" w:space="0" w:color="000000"/>
              <w:bottom w:val="single" w:sz="4" w:space="0" w:color="000000"/>
              <w:right w:val="single" w:sz="4" w:space="0" w:color="000000"/>
            </w:tcBorders>
          </w:tcPr>
          <w:p w:rsidR="00554A0B" w:rsidRPr="00CA13DF" w:rsidRDefault="00554A0B" w:rsidP="00501B15">
            <w:pPr>
              <w:pStyle w:val="Sansinterligne1"/>
              <w:jc w:val="center"/>
              <w:rPr>
                <w:rFonts w:ascii="Times New Roman" w:hAnsi="Times New Roman"/>
                <w:sz w:val="22"/>
              </w:rPr>
            </w:pPr>
            <w:r w:rsidRPr="00CA13DF">
              <w:rPr>
                <w:rFonts w:ascii="Times New Roman" w:hAnsi="Times New Roman"/>
                <w:sz w:val="22"/>
              </w:rPr>
              <w:t>C</w:t>
            </w:r>
          </w:p>
        </w:tc>
        <w:tc>
          <w:tcPr>
            <w:tcW w:w="375" w:type="dxa"/>
            <w:tcBorders>
              <w:top w:val="single" w:sz="4" w:space="0" w:color="000000"/>
              <w:left w:val="single" w:sz="4" w:space="0" w:color="000000"/>
              <w:bottom w:val="single" w:sz="4" w:space="0" w:color="000000"/>
              <w:right w:val="single" w:sz="4" w:space="0" w:color="000000"/>
            </w:tcBorders>
          </w:tcPr>
          <w:p w:rsidR="00554A0B" w:rsidRPr="00CA13DF" w:rsidRDefault="00554A0B" w:rsidP="00501B15">
            <w:pPr>
              <w:pStyle w:val="Sansinterligne1"/>
              <w:jc w:val="center"/>
              <w:rPr>
                <w:rFonts w:ascii="Times New Roman" w:hAnsi="Times New Roman"/>
                <w:sz w:val="22"/>
              </w:rPr>
            </w:pPr>
            <w:r w:rsidRPr="00CA13DF">
              <w:rPr>
                <w:rFonts w:ascii="Times New Roman" w:hAnsi="Times New Roman"/>
                <w:sz w:val="22"/>
              </w:rPr>
              <w:t>H</w:t>
            </w:r>
          </w:p>
        </w:tc>
        <w:tc>
          <w:tcPr>
            <w:tcW w:w="339" w:type="dxa"/>
            <w:tcBorders>
              <w:top w:val="single" w:sz="4" w:space="0" w:color="000000"/>
              <w:left w:val="single" w:sz="4" w:space="0" w:color="000000"/>
              <w:bottom w:val="single" w:sz="4" w:space="0" w:color="000000"/>
              <w:right w:val="single" w:sz="4" w:space="0" w:color="000000"/>
            </w:tcBorders>
          </w:tcPr>
          <w:p w:rsidR="00554A0B" w:rsidRPr="00CA13DF" w:rsidRDefault="00554A0B" w:rsidP="00501B15">
            <w:pPr>
              <w:pStyle w:val="Sansinterligne1"/>
              <w:jc w:val="center"/>
              <w:rPr>
                <w:rFonts w:ascii="Times New Roman" w:hAnsi="Times New Roman"/>
                <w:sz w:val="22"/>
              </w:rPr>
            </w:pPr>
            <w:r w:rsidRPr="00CA13DF">
              <w:rPr>
                <w:rFonts w:ascii="Times New Roman" w:hAnsi="Times New Roman"/>
                <w:sz w:val="22"/>
              </w:rPr>
              <w:t>F</w:t>
            </w:r>
          </w:p>
        </w:tc>
        <w:tc>
          <w:tcPr>
            <w:tcW w:w="425" w:type="dxa"/>
            <w:tcBorders>
              <w:top w:val="single" w:sz="4" w:space="0" w:color="000000"/>
              <w:left w:val="single" w:sz="4" w:space="0" w:color="000000"/>
              <w:bottom w:val="single" w:sz="4" w:space="0" w:color="000000"/>
              <w:right w:val="single" w:sz="4" w:space="0" w:color="000000"/>
            </w:tcBorders>
          </w:tcPr>
          <w:p w:rsidR="00554A0B" w:rsidRPr="00CA13DF" w:rsidRDefault="00554A0B" w:rsidP="00501B15">
            <w:pPr>
              <w:pStyle w:val="Sansinterligne1"/>
              <w:jc w:val="center"/>
              <w:rPr>
                <w:rFonts w:ascii="Times New Roman" w:hAnsi="Times New Roman"/>
                <w:sz w:val="22"/>
              </w:rPr>
            </w:pPr>
            <w:r w:rsidRPr="00CA13DF">
              <w:rPr>
                <w:rFonts w:ascii="Times New Roman" w:hAnsi="Times New Roman"/>
                <w:sz w:val="22"/>
              </w:rPr>
              <w:t>D</w:t>
            </w:r>
          </w:p>
        </w:tc>
        <w:tc>
          <w:tcPr>
            <w:tcW w:w="425" w:type="dxa"/>
            <w:tcBorders>
              <w:top w:val="single" w:sz="4" w:space="0" w:color="000000"/>
              <w:left w:val="single" w:sz="4" w:space="0" w:color="000000"/>
              <w:bottom w:val="single" w:sz="4" w:space="0" w:color="000000"/>
              <w:right w:val="single" w:sz="4" w:space="0" w:color="000000"/>
            </w:tcBorders>
          </w:tcPr>
          <w:p w:rsidR="00554A0B" w:rsidRPr="00CA13DF" w:rsidRDefault="00554A0B" w:rsidP="00501B15">
            <w:pPr>
              <w:pStyle w:val="Sansinterligne1"/>
              <w:jc w:val="center"/>
              <w:rPr>
                <w:rFonts w:ascii="Times New Roman" w:hAnsi="Times New Roman"/>
                <w:sz w:val="22"/>
              </w:rPr>
            </w:pPr>
            <w:r w:rsidRPr="00CA13DF">
              <w:rPr>
                <w:rFonts w:ascii="Times New Roman" w:hAnsi="Times New Roman"/>
                <w:sz w:val="22"/>
              </w:rPr>
              <w:t>E</w:t>
            </w:r>
          </w:p>
        </w:tc>
        <w:tc>
          <w:tcPr>
            <w:tcW w:w="426" w:type="dxa"/>
            <w:tcBorders>
              <w:top w:val="single" w:sz="4" w:space="0" w:color="000000"/>
              <w:left w:val="single" w:sz="4" w:space="0" w:color="000000"/>
              <w:bottom w:val="single" w:sz="4" w:space="0" w:color="000000"/>
              <w:right w:val="single" w:sz="4" w:space="0" w:color="000000"/>
            </w:tcBorders>
          </w:tcPr>
          <w:p w:rsidR="00554A0B" w:rsidRPr="00CA13DF" w:rsidRDefault="00554A0B" w:rsidP="00501B15">
            <w:pPr>
              <w:pStyle w:val="Sansinterligne1"/>
              <w:jc w:val="center"/>
              <w:rPr>
                <w:rFonts w:ascii="Times New Roman" w:hAnsi="Times New Roman"/>
                <w:sz w:val="22"/>
              </w:rPr>
            </w:pPr>
            <w:r w:rsidRPr="00CA13DF">
              <w:rPr>
                <w:rFonts w:ascii="Times New Roman" w:hAnsi="Times New Roman"/>
                <w:sz w:val="22"/>
              </w:rPr>
              <w:t>A</w:t>
            </w:r>
          </w:p>
        </w:tc>
        <w:tc>
          <w:tcPr>
            <w:tcW w:w="425" w:type="dxa"/>
            <w:tcBorders>
              <w:top w:val="single" w:sz="4" w:space="0" w:color="000000"/>
              <w:left w:val="single" w:sz="4" w:space="0" w:color="000000"/>
              <w:bottom w:val="single" w:sz="4" w:space="0" w:color="000000"/>
              <w:right w:val="single" w:sz="4" w:space="0" w:color="000000"/>
            </w:tcBorders>
          </w:tcPr>
          <w:p w:rsidR="00554A0B" w:rsidRPr="00CA13DF" w:rsidRDefault="00554A0B" w:rsidP="00501B15">
            <w:pPr>
              <w:pStyle w:val="Sansinterligne1"/>
              <w:jc w:val="center"/>
              <w:rPr>
                <w:rFonts w:ascii="Times New Roman" w:hAnsi="Times New Roman"/>
                <w:sz w:val="22"/>
              </w:rPr>
            </w:pPr>
            <w:r w:rsidRPr="00CA13DF">
              <w:rPr>
                <w:rFonts w:ascii="Times New Roman" w:hAnsi="Times New Roman"/>
                <w:sz w:val="22"/>
              </w:rPr>
              <w:t>G</w:t>
            </w:r>
          </w:p>
        </w:tc>
        <w:tc>
          <w:tcPr>
            <w:tcW w:w="391" w:type="dxa"/>
            <w:tcBorders>
              <w:top w:val="single" w:sz="4" w:space="0" w:color="000000"/>
              <w:left w:val="single" w:sz="4" w:space="0" w:color="000000"/>
              <w:bottom w:val="single" w:sz="4" w:space="0" w:color="000000"/>
              <w:right w:val="single" w:sz="4" w:space="0" w:color="000000"/>
            </w:tcBorders>
          </w:tcPr>
          <w:p w:rsidR="00554A0B" w:rsidRPr="00CA13DF" w:rsidRDefault="00554A0B" w:rsidP="00501B15">
            <w:pPr>
              <w:pStyle w:val="Sansinterligne1"/>
              <w:jc w:val="center"/>
              <w:rPr>
                <w:rFonts w:ascii="Times New Roman" w:hAnsi="Times New Roman"/>
                <w:sz w:val="22"/>
              </w:rPr>
            </w:pPr>
            <w:r w:rsidRPr="00CA13DF">
              <w:rPr>
                <w:rFonts w:ascii="Times New Roman" w:hAnsi="Times New Roman"/>
                <w:sz w:val="22"/>
              </w:rPr>
              <w:t>B</w:t>
            </w:r>
          </w:p>
        </w:tc>
      </w:tr>
      <w:tr w:rsidR="00554A0B" w:rsidRPr="001D5D3A">
        <w:tc>
          <w:tcPr>
            <w:tcW w:w="9293" w:type="dxa"/>
            <w:gridSpan w:val="9"/>
            <w:tcBorders>
              <w:top w:val="single" w:sz="4" w:space="0" w:color="000000"/>
              <w:left w:val="single" w:sz="4" w:space="0" w:color="000000"/>
              <w:bottom w:val="single" w:sz="4" w:space="0" w:color="000000"/>
              <w:right w:val="single" w:sz="4" w:space="0" w:color="000000"/>
            </w:tcBorders>
          </w:tcPr>
          <w:p w:rsidR="00554A0B" w:rsidRPr="00CA13DF" w:rsidRDefault="00981B26" w:rsidP="00501B15">
            <w:pPr>
              <w:pStyle w:val="Sansinterligne1"/>
              <w:jc w:val="center"/>
              <w:rPr>
                <w:rFonts w:ascii="Times New Roman" w:hAnsi="Times New Roman"/>
                <w:sz w:val="22"/>
              </w:rPr>
            </w:pPr>
            <w:r>
              <w:rPr>
                <w:noProof/>
                <w:lang w:eastAsia="zh-CN"/>
              </w:rPr>
              <w:pict>
                <v:shapetype id="_x0000_t32" coordsize="21600,21600" o:spt="32" o:oned="t" path="m,l21600,21600e" filled="f">
                  <v:path arrowok="t" fillok="f" o:connecttype="none"/>
                  <o:lock v:ext="edit" shapetype="t"/>
                </v:shapetype>
                <v:shape id="_x0000_s1033" type="#_x0000_t32" style="position:absolute;left:0;text-align:left;margin-left:286.9pt;margin-top:6.95pt;width:166.5pt;height:.75pt;z-index:2;mso-position-horizontal-relative:text;mso-position-vertical-relative:text" o:connectortype="straight">
                  <v:stroke endarrow="block"/>
                </v:shape>
              </w:pict>
            </w:r>
            <w:r w:rsidR="00554A0B" w:rsidRPr="00CA13DF">
              <w:rPr>
                <w:rFonts w:ascii="Times New Roman" w:hAnsi="Times New Roman"/>
                <w:sz w:val="22"/>
              </w:rPr>
              <w:t>Coût marginal croissant</w:t>
            </w:r>
          </w:p>
        </w:tc>
      </w:tr>
    </w:tbl>
    <w:p w:rsidR="00554A0B" w:rsidRPr="001D5D3A" w:rsidRDefault="00554A0B" w:rsidP="00501B15">
      <w:pPr>
        <w:pStyle w:val="Sansinterligne1"/>
        <w:rPr>
          <w:rFonts w:ascii="Times New Roman" w:hAnsi="Times New Roman"/>
          <w:sz w:val="22"/>
        </w:rPr>
      </w:pPr>
    </w:p>
    <w:p w:rsidR="00554A0B" w:rsidRDefault="00554A0B" w:rsidP="00501B15">
      <w:pPr>
        <w:pStyle w:val="Sansinterligne1"/>
        <w:jc w:val="center"/>
        <w:rPr>
          <w:rFonts w:ascii="Times New Roman" w:hAnsi="Times New Roman"/>
          <w:b/>
          <w:sz w:val="24"/>
          <w:szCs w:val="24"/>
        </w:rPr>
      </w:pPr>
      <w:r w:rsidRPr="008115B2">
        <w:rPr>
          <w:rFonts w:ascii="Times New Roman" w:hAnsi="Times New Roman"/>
          <w:b/>
          <w:sz w:val="24"/>
          <w:szCs w:val="24"/>
        </w:rPr>
        <w:t xml:space="preserve">Annexe 5 </w:t>
      </w:r>
    </w:p>
    <w:p w:rsidR="00554A0B" w:rsidRPr="008115B2" w:rsidRDefault="00554A0B" w:rsidP="00501B15">
      <w:pPr>
        <w:pStyle w:val="Sansinterligne1"/>
        <w:jc w:val="center"/>
        <w:rPr>
          <w:rFonts w:ascii="Times New Roman" w:hAnsi="Times New Roman"/>
          <w:b/>
          <w:sz w:val="24"/>
          <w:szCs w:val="24"/>
        </w:rPr>
      </w:pPr>
    </w:p>
    <w:p w:rsidR="00554A0B" w:rsidRPr="008115B2" w:rsidRDefault="00554A0B" w:rsidP="00501B15">
      <w:pPr>
        <w:pStyle w:val="Sansinterligne1"/>
        <w:jc w:val="center"/>
        <w:rPr>
          <w:rFonts w:ascii="Times New Roman" w:hAnsi="Times New Roman"/>
          <w:b/>
          <w:sz w:val="24"/>
          <w:szCs w:val="24"/>
          <w:u w:val="single"/>
        </w:rPr>
      </w:pPr>
      <w:r w:rsidRPr="008115B2">
        <w:rPr>
          <w:rFonts w:ascii="Times New Roman" w:hAnsi="Times New Roman"/>
          <w:b/>
          <w:sz w:val="24"/>
          <w:szCs w:val="24"/>
          <w:u w:val="single"/>
        </w:rPr>
        <w:t xml:space="preserve">Analyse de la masse salariale de l’exercice </w:t>
      </w:r>
      <w:r w:rsidR="00831BC7">
        <w:rPr>
          <w:rFonts w:ascii="Times New Roman" w:hAnsi="Times New Roman"/>
          <w:b/>
          <w:sz w:val="24"/>
          <w:szCs w:val="24"/>
          <w:u w:val="single"/>
        </w:rPr>
        <w:t>2010</w:t>
      </w:r>
    </w:p>
    <w:p w:rsidR="00554A0B" w:rsidRPr="008115B2" w:rsidRDefault="00554A0B" w:rsidP="00501B15">
      <w:pPr>
        <w:pStyle w:val="Sansinterligne1"/>
        <w:rPr>
          <w:rFonts w:ascii="Times New Roman" w:hAnsi="Times New Roman"/>
          <w:b/>
          <w:sz w:val="24"/>
          <w:szCs w:val="24"/>
          <w:u w:val="single"/>
        </w:rPr>
      </w:pPr>
    </w:p>
    <w:p w:rsidR="00554A0B" w:rsidRPr="00831BC7" w:rsidRDefault="00554A0B" w:rsidP="00501B15">
      <w:pPr>
        <w:pStyle w:val="Sansinterligne1"/>
        <w:spacing w:after="120"/>
        <w:rPr>
          <w:rFonts w:ascii="Times New Roman" w:hAnsi="Times New Roman"/>
          <w:sz w:val="24"/>
          <w:szCs w:val="24"/>
        </w:rPr>
      </w:pPr>
      <w:r w:rsidRPr="00831BC7">
        <w:rPr>
          <w:rFonts w:ascii="Times New Roman" w:hAnsi="Times New Roman"/>
          <w:sz w:val="24"/>
          <w:szCs w:val="24"/>
        </w:rPr>
        <w:t>Un accord paritaire portant sur les salaires effectifs a été conclu, à l’issue de plusieurs réunions de négociation entre la Direction de l’imprimerie SIL et la Délégation syndicale.</w:t>
      </w:r>
    </w:p>
    <w:p w:rsidR="00554A0B" w:rsidRPr="00831BC7" w:rsidRDefault="00554A0B" w:rsidP="00831BC7">
      <w:pPr>
        <w:pStyle w:val="Sansinterligne1"/>
        <w:rPr>
          <w:rFonts w:ascii="Times New Roman" w:hAnsi="Times New Roman"/>
          <w:i/>
          <w:sz w:val="24"/>
          <w:szCs w:val="24"/>
        </w:rPr>
      </w:pPr>
      <w:r w:rsidRPr="00831BC7">
        <w:rPr>
          <w:rFonts w:ascii="Times New Roman" w:hAnsi="Times New Roman"/>
          <w:i/>
          <w:sz w:val="24"/>
          <w:szCs w:val="24"/>
          <w:u w:val="single"/>
        </w:rPr>
        <w:t>Extraits de l’accord sur les salaires </w:t>
      </w:r>
      <w:r w:rsidR="00831BC7">
        <w:rPr>
          <w:rFonts w:ascii="Times New Roman" w:hAnsi="Times New Roman"/>
          <w:i/>
          <w:sz w:val="24"/>
          <w:szCs w:val="24"/>
          <w:u w:val="single"/>
        </w:rPr>
        <w:t>2010</w:t>
      </w:r>
      <w:r w:rsidRPr="00831BC7">
        <w:rPr>
          <w:rFonts w:ascii="Times New Roman" w:hAnsi="Times New Roman"/>
          <w:i/>
          <w:sz w:val="24"/>
          <w:szCs w:val="24"/>
        </w:rPr>
        <w:t xml:space="preserve"> : </w:t>
      </w:r>
    </w:p>
    <w:p w:rsidR="00831BC7" w:rsidRDefault="00554A0B" w:rsidP="00831BC7">
      <w:pPr>
        <w:pStyle w:val="Sansinterligne1"/>
        <w:rPr>
          <w:rFonts w:ascii="Times New Roman" w:hAnsi="Times New Roman"/>
          <w:i/>
          <w:sz w:val="24"/>
          <w:szCs w:val="24"/>
        </w:rPr>
      </w:pPr>
      <w:r w:rsidRPr="00831BC7">
        <w:rPr>
          <w:rFonts w:ascii="Times New Roman" w:hAnsi="Times New Roman"/>
          <w:i/>
          <w:sz w:val="24"/>
          <w:szCs w:val="24"/>
        </w:rPr>
        <w:t>«  PREAMBULE : La Délégation syndicale souhaitait un rattrapage du pouvoir d’achat perdu depuis plusieurs années par certains salariés. La Direction a rappelé la situation économique difficile.</w:t>
      </w:r>
    </w:p>
    <w:p w:rsidR="00554A0B" w:rsidRPr="00831BC7" w:rsidRDefault="00554A0B" w:rsidP="00831BC7">
      <w:pPr>
        <w:pStyle w:val="Sansinterligne1"/>
        <w:rPr>
          <w:rFonts w:ascii="Times New Roman" w:hAnsi="Times New Roman"/>
          <w:i/>
          <w:sz w:val="24"/>
          <w:szCs w:val="24"/>
        </w:rPr>
      </w:pPr>
      <w:r w:rsidRPr="00831BC7">
        <w:rPr>
          <w:rFonts w:ascii="Times New Roman" w:hAnsi="Times New Roman"/>
          <w:i/>
          <w:sz w:val="24"/>
          <w:szCs w:val="24"/>
        </w:rPr>
        <w:t>Calendrier : les augmentations prévues seront réalisées en deux temps, le 1</w:t>
      </w:r>
      <w:r w:rsidRPr="00831BC7">
        <w:rPr>
          <w:rFonts w:ascii="Times New Roman" w:hAnsi="Times New Roman"/>
          <w:i/>
          <w:sz w:val="24"/>
          <w:szCs w:val="24"/>
          <w:vertAlign w:val="superscript"/>
        </w:rPr>
        <w:t>er</w:t>
      </w:r>
      <w:r w:rsidRPr="00831BC7">
        <w:rPr>
          <w:rFonts w:ascii="Times New Roman" w:hAnsi="Times New Roman"/>
          <w:i/>
          <w:sz w:val="24"/>
          <w:szCs w:val="24"/>
        </w:rPr>
        <w:t xml:space="preserve">mars </w:t>
      </w:r>
      <w:r w:rsidR="00831BC7">
        <w:rPr>
          <w:rFonts w:ascii="Times New Roman" w:hAnsi="Times New Roman"/>
          <w:i/>
          <w:sz w:val="24"/>
          <w:szCs w:val="24"/>
        </w:rPr>
        <w:t>2010</w:t>
      </w:r>
      <w:r w:rsidRPr="00831BC7">
        <w:rPr>
          <w:rFonts w:ascii="Times New Roman" w:hAnsi="Times New Roman"/>
          <w:i/>
          <w:sz w:val="24"/>
          <w:szCs w:val="24"/>
        </w:rPr>
        <w:t xml:space="preserve"> et le 1</w:t>
      </w:r>
      <w:r w:rsidRPr="00831BC7">
        <w:rPr>
          <w:rFonts w:ascii="Times New Roman" w:hAnsi="Times New Roman"/>
          <w:i/>
          <w:sz w:val="24"/>
          <w:szCs w:val="24"/>
          <w:vertAlign w:val="superscript"/>
        </w:rPr>
        <w:t>er</w:t>
      </w:r>
      <w:r w:rsidRPr="00831BC7">
        <w:rPr>
          <w:rFonts w:ascii="Times New Roman" w:hAnsi="Times New Roman"/>
          <w:i/>
          <w:sz w:val="24"/>
          <w:szCs w:val="24"/>
        </w:rPr>
        <w:t xml:space="preserve"> septembre </w:t>
      </w:r>
      <w:r w:rsidR="00831BC7">
        <w:rPr>
          <w:rFonts w:ascii="Times New Roman" w:hAnsi="Times New Roman"/>
          <w:i/>
          <w:sz w:val="24"/>
          <w:szCs w:val="24"/>
        </w:rPr>
        <w:t>2010</w:t>
      </w:r>
      <w:r w:rsidRPr="00831BC7">
        <w:rPr>
          <w:rFonts w:ascii="Times New Roman" w:hAnsi="Times New Roman"/>
          <w:i/>
          <w:sz w:val="24"/>
          <w:szCs w:val="24"/>
        </w:rPr>
        <w:t>.</w:t>
      </w:r>
      <w:r w:rsidR="00B74EB7">
        <w:rPr>
          <w:rFonts w:ascii="Times New Roman" w:hAnsi="Times New Roman"/>
          <w:i/>
          <w:sz w:val="24"/>
          <w:szCs w:val="24"/>
        </w:rPr>
        <w:t xml:space="preserve"> </w:t>
      </w:r>
      <w:r w:rsidRPr="00831BC7">
        <w:rPr>
          <w:rFonts w:ascii="Times New Roman" w:hAnsi="Times New Roman"/>
          <w:i/>
          <w:sz w:val="24"/>
          <w:szCs w:val="24"/>
        </w:rPr>
        <w:t xml:space="preserve">Mesure </w:t>
      </w:r>
      <w:r w:rsidR="00B74EB7">
        <w:rPr>
          <w:rFonts w:ascii="Times New Roman" w:hAnsi="Times New Roman"/>
          <w:i/>
          <w:sz w:val="24"/>
          <w:szCs w:val="24"/>
        </w:rPr>
        <w:t xml:space="preserve">de </w:t>
      </w:r>
      <w:r w:rsidRPr="00831BC7">
        <w:rPr>
          <w:rFonts w:ascii="Times New Roman" w:hAnsi="Times New Roman"/>
          <w:i/>
          <w:sz w:val="24"/>
          <w:szCs w:val="24"/>
        </w:rPr>
        <w:t xml:space="preserve">« rattrapage partiel de pouvoir d’achat » : une revalorisation de l’ensemble des salaires de 1% en mars </w:t>
      </w:r>
      <w:r w:rsidR="00831BC7">
        <w:rPr>
          <w:rFonts w:ascii="Times New Roman" w:hAnsi="Times New Roman"/>
          <w:i/>
          <w:sz w:val="24"/>
          <w:szCs w:val="24"/>
        </w:rPr>
        <w:t>2010</w:t>
      </w:r>
      <w:r w:rsidRPr="00831BC7">
        <w:rPr>
          <w:rFonts w:ascii="Times New Roman" w:hAnsi="Times New Roman"/>
          <w:i/>
          <w:sz w:val="24"/>
          <w:szCs w:val="24"/>
        </w:rPr>
        <w:t xml:space="preserve"> suivie d’une augmentation de 1% en septembre </w:t>
      </w:r>
      <w:r w:rsidR="00831BC7">
        <w:rPr>
          <w:rFonts w:ascii="Times New Roman" w:hAnsi="Times New Roman"/>
          <w:i/>
          <w:sz w:val="24"/>
          <w:szCs w:val="24"/>
        </w:rPr>
        <w:t>2010</w:t>
      </w:r>
      <w:r w:rsidRPr="00831BC7">
        <w:rPr>
          <w:rFonts w:ascii="Times New Roman" w:hAnsi="Times New Roman"/>
          <w:i/>
          <w:sz w:val="24"/>
          <w:szCs w:val="24"/>
        </w:rPr>
        <w:t>. »</w:t>
      </w:r>
    </w:p>
    <w:p w:rsidR="00554A0B" w:rsidRPr="00831BC7" w:rsidRDefault="00554A0B" w:rsidP="00831BC7">
      <w:pPr>
        <w:pStyle w:val="Sansinterligne1"/>
        <w:rPr>
          <w:rFonts w:ascii="Times New Roman" w:hAnsi="Times New Roman"/>
          <w:sz w:val="24"/>
          <w:szCs w:val="24"/>
        </w:rPr>
      </w:pPr>
      <w:r w:rsidRPr="00831BC7">
        <w:rPr>
          <w:rFonts w:ascii="Times New Roman" w:hAnsi="Times New Roman"/>
          <w:sz w:val="24"/>
          <w:szCs w:val="24"/>
        </w:rPr>
        <w:t xml:space="preserve">Sur la période </w:t>
      </w:r>
      <w:r w:rsidR="00831BC7">
        <w:rPr>
          <w:rFonts w:ascii="Times New Roman" w:hAnsi="Times New Roman"/>
          <w:sz w:val="24"/>
          <w:szCs w:val="24"/>
        </w:rPr>
        <w:t>2010</w:t>
      </w:r>
      <w:r w:rsidRPr="00831BC7">
        <w:rPr>
          <w:rFonts w:ascii="Times New Roman" w:hAnsi="Times New Roman"/>
          <w:sz w:val="24"/>
          <w:szCs w:val="24"/>
        </w:rPr>
        <w:t>,</w:t>
      </w:r>
      <w:r w:rsidR="00B74EB7">
        <w:rPr>
          <w:rFonts w:ascii="Times New Roman" w:hAnsi="Times New Roman"/>
          <w:sz w:val="24"/>
          <w:szCs w:val="24"/>
        </w:rPr>
        <w:t xml:space="preserve"> il n’y a pas eu d’augmentation individuelle</w:t>
      </w:r>
      <w:r w:rsidRPr="00831BC7">
        <w:rPr>
          <w:rFonts w:ascii="Times New Roman" w:hAnsi="Times New Roman"/>
          <w:sz w:val="24"/>
          <w:szCs w:val="24"/>
        </w:rPr>
        <w:t xml:space="preserve"> de salaires ; l’effectif et la structure catégorielle sont restés stables. </w:t>
      </w:r>
    </w:p>
    <w:p w:rsidR="00554A0B" w:rsidRPr="00831BC7" w:rsidRDefault="00554A0B" w:rsidP="00831BC7">
      <w:pPr>
        <w:pStyle w:val="Sansinterligne1"/>
        <w:rPr>
          <w:rFonts w:ascii="Times New Roman" w:hAnsi="Times New Roman"/>
          <w:sz w:val="24"/>
          <w:szCs w:val="24"/>
        </w:rPr>
      </w:pPr>
      <w:r w:rsidRPr="00831BC7">
        <w:rPr>
          <w:rFonts w:ascii="Times New Roman" w:hAnsi="Times New Roman"/>
          <w:sz w:val="24"/>
          <w:szCs w:val="24"/>
        </w:rPr>
        <w:t>Base indicielle 100 au 31/12/</w:t>
      </w:r>
      <w:r w:rsidR="00831BC7">
        <w:rPr>
          <w:rFonts w:ascii="Times New Roman" w:hAnsi="Times New Roman"/>
          <w:sz w:val="24"/>
          <w:szCs w:val="24"/>
        </w:rPr>
        <w:t>2009</w:t>
      </w:r>
      <w:r w:rsidRPr="00831BC7">
        <w:rPr>
          <w:rFonts w:ascii="Times New Roman" w:hAnsi="Times New Roman"/>
          <w:sz w:val="24"/>
          <w:szCs w:val="24"/>
        </w:rPr>
        <w:t>.</w:t>
      </w:r>
    </w:p>
    <w:p w:rsidR="00554A0B" w:rsidRPr="00831BC7" w:rsidRDefault="00554A0B" w:rsidP="00501B15">
      <w:pPr>
        <w:pStyle w:val="Sansinterligne1"/>
        <w:rPr>
          <w:rFonts w:ascii="Times New Roman" w:hAnsi="Times New Roman"/>
          <w:sz w:val="24"/>
          <w:szCs w:val="24"/>
        </w:rPr>
      </w:pPr>
    </w:p>
    <w:p w:rsidR="00554A0B" w:rsidRDefault="00554A0B" w:rsidP="00501B15">
      <w:pPr>
        <w:pStyle w:val="Sansinterligne1"/>
        <w:jc w:val="center"/>
        <w:rPr>
          <w:rFonts w:ascii="Times New Roman" w:hAnsi="Times New Roman"/>
          <w:b/>
          <w:sz w:val="24"/>
          <w:szCs w:val="24"/>
        </w:rPr>
      </w:pPr>
      <w:r w:rsidRPr="001D5D3A">
        <w:rPr>
          <w:rFonts w:ascii="Times New Roman" w:hAnsi="Times New Roman"/>
          <w:b/>
          <w:sz w:val="24"/>
          <w:szCs w:val="24"/>
        </w:rPr>
        <w:t>Annexe 6</w:t>
      </w:r>
    </w:p>
    <w:p w:rsidR="00554A0B" w:rsidRPr="001D5D3A" w:rsidRDefault="00554A0B" w:rsidP="00501B15">
      <w:pPr>
        <w:pStyle w:val="Sansinterligne1"/>
        <w:jc w:val="center"/>
        <w:rPr>
          <w:rFonts w:ascii="Times New Roman" w:hAnsi="Times New Roman"/>
          <w:b/>
          <w:sz w:val="24"/>
          <w:szCs w:val="24"/>
        </w:rPr>
      </w:pPr>
    </w:p>
    <w:p w:rsidR="00554A0B" w:rsidRPr="001D5D3A" w:rsidRDefault="00554A0B" w:rsidP="00501B15">
      <w:pPr>
        <w:pStyle w:val="Sansinterligne1"/>
        <w:jc w:val="center"/>
        <w:rPr>
          <w:rFonts w:ascii="Times New Roman" w:hAnsi="Times New Roman"/>
          <w:b/>
          <w:sz w:val="24"/>
          <w:szCs w:val="24"/>
          <w:u w:val="single"/>
        </w:rPr>
      </w:pPr>
      <w:r w:rsidRPr="001D5D3A">
        <w:rPr>
          <w:rFonts w:ascii="Times New Roman" w:hAnsi="Times New Roman"/>
          <w:b/>
          <w:sz w:val="24"/>
          <w:szCs w:val="24"/>
          <w:u w:val="single"/>
        </w:rPr>
        <w:t xml:space="preserve"> Prévision de la masse salariale de </w:t>
      </w:r>
      <w:r w:rsidR="00831BC7">
        <w:rPr>
          <w:rFonts w:ascii="Times New Roman" w:hAnsi="Times New Roman"/>
          <w:b/>
          <w:sz w:val="24"/>
          <w:szCs w:val="24"/>
          <w:u w:val="single"/>
        </w:rPr>
        <w:t>2011</w:t>
      </w:r>
    </w:p>
    <w:p w:rsidR="00554A0B" w:rsidRDefault="00554A0B" w:rsidP="00501B15">
      <w:pPr>
        <w:pStyle w:val="Sansinterligne1"/>
        <w:jc w:val="center"/>
        <w:rPr>
          <w:b/>
        </w:rPr>
      </w:pPr>
    </w:p>
    <w:p w:rsidR="00554A0B" w:rsidRDefault="00554A0B" w:rsidP="00501B15">
      <w:pPr>
        <w:pStyle w:val="Sansinterligne1"/>
      </w:pPr>
    </w:p>
    <w:p w:rsidR="00554A0B" w:rsidRPr="00B74EB7" w:rsidRDefault="00554A0B" w:rsidP="00501B15">
      <w:pPr>
        <w:pStyle w:val="Sansinterligne1"/>
        <w:spacing w:after="120"/>
        <w:rPr>
          <w:rFonts w:ascii="Times New Roman" w:hAnsi="Times New Roman"/>
          <w:b/>
          <w:sz w:val="24"/>
          <w:szCs w:val="24"/>
        </w:rPr>
      </w:pPr>
      <w:r w:rsidRPr="00B74EB7">
        <w:rPr>
          <w:rFonts w:ascii="Times New Roman" w:hAnsi="Times New Roman"/>
          <w:b/>
          <w:sz w:val="24"/>
          <w:szCs w:val="24"/>
        </w:rPr>
        <w:t>Augmentation des salaires :</w:t>
      </w:r>
    </w:p>
    <w:p w:rsidR="00554A0B" w:rsidRPr="00B74EB7" w:rsidRDefault="00B74EB7" w:rsidP="00CC4162">
      <w:pPr>
        <w:pStyle w:val="Sansinterligne1"/>
        <w:spacing w:after="120"/>
        <w:ind w:left="142" w:hanging="142"/>
        <w:rPr>
          <w:rFonts w:ascii="Times New Roman" w:hAnsi="Times New Roman"/>
          <w:sz w:val="24"/>
          <w:szCs w:val="24"/>
        </w:rPr>
      </w:pPr>
      <w:r>
        <w:rPr>
          <w:rFonts w:ascii="Times New Roman" w:hAnsi="Times New Roman"/>
          <w:sz w:val="24"/>
          <w:szCs w:val="24"/>
        </w:rPr>
        <w:t>- augmentation générale</w:t>
      </w:r>
      <w:r w:rsidR="00554A0B" w:rsidRPr="00B74EB7">
        <w:rPr>
          <w:rFonts w:ascii="Times New Roman" w:hAnsi="Times New Roman"/>
          <w:sz w:val="24"/>
          <w:szCs w:val="24"/>
        </w:rPr>
        <w:t xml:space="preserve"> des salaires sans distinction de catégories socio-professionnelles ou ancienneté : 0,5 % le 1</w:t>
      </w:r>
      <w:r w:rsidR="00554A0B" w:rsidRPr="00B74EB7">
        <w:rPr>
          <w:rFonts w:ascii="Times New Roman" w:hAnsi="Times New Roman"/>
          <w:sz w:val="24"/>
          <w:szCs w:val="24"/>
          <w:vertAlign w:val="superscript"/>
        </w:rPr>
        <w:t>er</w:t>
      </w:r>
      <w:r w:rsidR="00554A0B" w:rsidRPr="00B74EB7">
        <w:rPr>
          <w:rFonts w:ascii="Times New Roman" w:hAnsi="Times New Roman"/>
          <w:sz w:val="24"/>
          <w:szCs w:val="24"/>
        </w:rPr>
        <w:t xml:space="preserve"> mars </w:t>
      </w:r>
      <w:r w:rsidR="00831BC7" w:rsidRPr="00B74EB7">
        <w:rPr>
          <w:rFonts w:ascii="Times New Roman" w:hAnsi="Times New Roman"/>
          <w:sz w:val="24"/>
          <w:szCs w:val="24"/>
        </w:rPr>
        <w:t>2011</w:t>
      </w:r>
      <w:r>
        <w:rPr>
          <w:rFonts w:ascii="Times New Roman" w:hAnsi="Times New Roman"/>
          <w:sz w:val="24"/>
          <w:szCs w:val="24"/>
        </w:rPr>
        <w:t> ;</w:t>
      </w:r>
    </w:p>
    <w:p w:rsidR="00554A0B" w:rsidRPr="00B74EB7" w:rsidRDefault="00B74EB7" w:rsidP="00501B15">
      <w:pPr>
        <w:pStyle w:val="Sansinterligne1"/>
        <w:ind w:left="142" w:hanging="142"/>
        <w:rPr>
          <w:rFonts w:ascii="Times New Roman" w:hAnsi="Times New Roman"/>
          <w:sz w:val="24"/>
          <w:szCs w:val="24"/>
        </w:rPr>
      </w:pPr>
      <w:r>
        <w:rPr>
          <w:rFonts w:ascii="Times New Roman" w:hAnsi="Times New Roman"/>
          <w:sz w:val="24"/>
          <w:szCs w:val="24"/>
        </w:rPr>
        <w:t>- a</w:t>
      </w:r>
      <w:r w:rsidR="00554A0B" w:rsidRPr="00B74EB7">
        <w:rPr>
          <w:rFonts w:ascii="Times New Roman" w:hAnsi="Times New Roman"/>
          <w:sz w:val="24"/>
          <w:szCs w:val="24"/>
        </w:rPr>
        <w:t>ugmentation</w:t>
      </w:r>
      <w:r>
        <w:rPr>
          <w:rFonts w:ascii="Times New Roman" w:hAnsi="Times New Roman"/>
          <w:sz w:val="24"/>
          <w:szCs w:val="24"/>
        </w:rPr>
        <w:t xml:space="preserve"> individuelle</w:t>
      </w:r>
      <w:r w:rsidR="00554A0B" w:rsidRPr="00B74EB7">
        <w:rPr>
          <w:rFonts w:ascii="Times New Roman" w:hAnsi="Times New Roman"/>
          <w:sz w:val="24"/>
          <w:szCs w:val="24"/>
        </w:rPr>
        <w:t xml:space="preserve"> des salaires : 0,94 % de la masse salariale de décembre </w:t>
      </w:r>
      <w:r w:rsidR="00831BC7" w:rsidRPr="00B74EB7">
        <w:rPr>
          <w:rFonts w:ascii="Times New Roman" w:hAnsi="Times New Roman"/>
          <w:sz w:val="24"/>
          <w:szCs w:val="24"/>
        </w:rPr>
        <w:t>2010</w:t>
      </w:r>
      <w:r w:rsidR="00554A0B" w:rsidRPr="00B74EB7">
        <w:rPr>
          <w:rFonts w:ascii="Times New Roman" w:hAnsi="Times New Roman"/>
          <w:sz w:val="24"/>
          <w:szCs w:val="24"/>
        </w:rPr>
        <w:t>, accordée le 1</w:t>
      </w:r>
      <w:r w:rsidR="00554A0B" w:rsidRPr="00B74EB7">
        <w:rPr>
          <w:rFonts w:ascii="Times New Roman" w:hAnsi="Times New Roman"/>
          <w:sz w:val="24"/>
          <w:szCs w:val="24"/>
          <w:vertAlign w:val="superscript"/>
        </w:rPr>
        <w:t>er</w:t>
      </w:r>
      <w:r w:rsidR="00554A0B" w:rsidRPr="00B74EB7">
        <w:rPr>
          <w:rFonts w:ascii="Times New Roman" w:hAnsi="Times New Roman"/>
          <w:sz w:val="24"/>
          <w:szCs w:val="24"/>
        </w:rPr>
        <w:t xml:space="preserve"> juillet </w:t>
      </w:r>
      <w:r w:rsidR="00831BC7" w:rsidRPr="00B74EB7">
        <w:rPr>
          <w:rFonts w:ascii="Times New Roman" w:hAnsi="Times New Roman"/>
          <w:sz w:val="24"/>
          <w:szCs w:val="24"/>
        </w:rPr>
        <w:t>2011</w:t>
      </w:r>
      <w:r w:rsidR="00554A0B" w:rsidRPr="00B74EB7">
        <w:rPr>
          <w:rFonts w:ascii="Times New Roman" w:hAnsi="Times New Roman"/>
          <w:sz w:val="24"/>
          <w:szCs w:val="24"/>
        </w:rPr>
        <w:t>.</w:t>
      </w:r>
      <w:r>
        <w:rPr>
          <w:rFonts w:ascii="Times New Roman" w:hAnsi="Times New Roman"/>
          <w:sz w:val="24"/>
          <w:szCs w:val="24"/>
        </w:rPr>
        <w:t xml:space="preserve"> </w:t>
      </w:r>
      <w:r w:rsidR="00554A0B" w:rsidRPr="00B74EB7">
        <w:rPr>
          <w:rFonts w:ascii="Times New Roman" w:hAnsi="Times New Roman"/>
          <w:sz w:val="24"/>
          <w:szCs w:val="24"/>
        </w:rPr>
        <w:t>Ni les salariés devant partir en cours d’année, ni ceux embauchés en cours d’année ne bénéficieront des augmentations individuelles de salaire.</w:t>
      </w:r>
    </w:p>
    <w:p w:rsidR="00554A0B" w:rsidRPr="001D5D3A" w:rsidRDefault="00554A0B" w:rsidP="00501B15">
      <w:pPr>
        <w:pStyle w:val="Sansinterligne1"/>
        <w:rPr>
          <w:rFonts w:ascii="Times New Roman" w:hAnsi="Times New Roman"/>
          <w:sz w:val="22"/>
        </w:rPr>
      </w:pPr>
    </w:p>
    <w:p w:rsidR="00554A0B" w:rsidRPr="00B74EB7" w:rsidRDefault="00554A0B" w:rsidP="00501B15">
      <w:pPr>
        <w:pStyle w:val="Sansinterligne1"/>
        <w:rPr>
          <w:rFonts w:ascii="Times New Roman" w:hAnsi="Times New Roman"/>
          <w:b/>
          <w:sz w:val="24"/>
          <w:szCs w:val="24"/>
        </w:rPr>
      </w:pPr>
      <w:r w:rsidRPr="00B74EB7">
        <w:rPr>
          <w:rFonts w:ascii="Times New Roman" w:hAnsi="Times New Roman"/>
          <w:b/>
          <w:sz w:val="24"/>
          <w:szCs w:val="24"/>
        </w:rPr>
        <w:t xml:space="preserve">Mouvements du personnel : </w:t>
      </w:r>
    </w:p>
    <w:p w:rsidR="00554A0B" w:rsidRPr="00B74EB7" w:rsidRDefault="00B74EB7" w:rsidP="00501B15">
      <w:pPr>
        <w:pStyle w:val="Sansinterligne1"/>
        <w:numPr>
          <w:ilvl w:val="0"/>
          <w:numId w:val="2"/>
        </w:numPr>
        <w:ind w:left="284" w:hanging="284"/>
        <w:rPr>
          <w:rFonts w:ascii="Times New Roman" w:hAnsi="Times New Roman"/>
          <w:sz w:val="24"/>
          <w:szCs w:val="24"/>
        </w:rPr>
      </w:pPr>
      <w:r>
        <w:rPr>
          <w:rFonts w:ascii="Times New Roman" w:hAnsi="Times New Roman"/>
          <w:sz w:val="24"/>
          <w:szCs w:val="24"/>
        </w:rPr>
        <w:t>a</w:t>
      </w:r>
      <w:r w:rsidR="00554A0B" w:rsidRPr="00B74EB7">
        <w:rPr>
          <w:rFonts w:ascii="Times New Roman" w:hAnsi="Times New Roman"/>
          <w:sz w:val="24"/>
          <w:szCs w:val="24"/>
        </w:rPr>
        <w:t xml:space="preserve">ucune promotion n’est prévue pour </w:t>
      </w:r>
      <w:r w:rsidR="00831BC7" w:rsidRPr="00B74EB7">
        <w:rPr>
          <w:rFonts w:ascii="Times New Roman" w:hAnsi="Times New Roman"/>
          <w:sz w:val="24"/>
          <w:szCs w:val="24"/>
        </w:rPr>
        <w:t>2011</w:t>
      </w:r>
      <w:r>
        <w:rPr>
          <w:rFonts w:ascii="Times New Roman" w:hAnsi="Times New Roman"/>
          <w:sz w:val="24"/>
          <w:szCs w:val="24"/>
        </w:rPr>
        <w:t> ;</w:t>
      </w:r>
    </w:p>
    <w:p w:rsidR="00554A0B" w:rsidRPr="00B74EB7" w:rsidRDefault="00B74EB7" w:rsidP="00501B15">
      <w:pPr>
        <w:pStyle w:val="Sansinterligne1"/>
        <w:numPr>
          <w:ilvl w:val="0"/>
          <w:numId w:val="2"/>
        </w:numPr>
        <w:ind w:left="284" w:hanging="284"/>
        <w:rPr>
          <w:rFonts w:ascii="Times New Roman" w:hAnsi="Times New Roman"/>
          <w:sz w:val="24"/>
          <w:szCs w:val="24"/>
        </w:rPr>
      </w:pPr>
      <w:r>
        <w:rPr>
          <w:rFonts w:ascii="Times New Roman" w:hAnsi="Times New Roman"/>
          <w:sz w:val="24"/>
          <w:szCs w:val="24"/>
        </w:rPr>
        <w:t>d</w:t>
      </w:r>
      <w:r w:rsidR="00554A0B" w:rsidRPr="00B74EB7">
        <w:rPr>
          <w:rFonts w:ascii="Times New Roman" w:hAnsi="Times New Roman"/>
          <w:sz w:val="24"/>
          <w:szCs w:val="24"/>
        </w:rPr>
        <w:t>eux départs à la retraite sont prévus :</w:t>
      </w:r>
    </w:p>
    <w:p w:rsidR="00554A0B" w:rsidRPr="00B74EB7" w:rsidRDefault="00554A0B" w:rsidP="00501B15">
      <w:pPr>
        <w:pStyle w:val="Sansinterligne1"/>
        <w:ind w:left="709"/>
        <w:rPr>
          <w:rFonts w:ascii="Times New Roman" w:hAnsi="Times New Roman"/>
          <w:sz w:val="24"/>
          <w:szCs w:val="24"/>
        </w:rPr>
      </w:pPr>
      <w:r w:rsidRPr="00B74EB7">
        <w:rPr>
          <w:rFonts w:ascii="Times New Roman" w:hAnsi="Times New Roman"/>
          <w:sz w:val="24"/>
          <w:szCs w:val="24"/>
        </w:rPr>
        <w:sym w:font="Wingdings" w:char="F0FC"/>
      </w:r>
      <w:r w:rsidRPr="00B74EB7">
        <w:rPr>
          <w:rFonts w:ascii="Times New Roman" w:hAnsi="Times New Roman"/>
          <w:sz w:val="24"/>
          <w:szCs w:val="24"/>
        </w:rPr>
        <w:t xml:space="preserve"> départ le 31 mai </w:t>
      </w:r>
      <w:r w:rsidR="00831BC7" w:rsidRPr="00B74EB7">
        <w:rPr>
          <w:rFonts w:ascii="Times New Roman" w:hAnsi="Times New Roman"/>
          <w:sz w:val="24"/>
          <w:szCs w:val="24"/>
        </w:rPr>
        <w:t>2011</w:t>
      </w:r>
      <w:r w:rsidRPr="00B74EB7">
        <w:rPr>
          <w:rFonts w:ascii="Times New Roman" w:hAnsi="Times New Roman"/>
          <w:sz w:val="24"/>
          <w:szCs w:val="24"/>
        </w:rPr>
        <w:t xml:space="preserve"> d’un ouvrier au salaire mensuel brut de 1 725 €, en valeur au 31/12/</w:t>
      </w:r>
      <w:r w:rsidR="00831BC7" w:rsidRPr="00B74EB7">
        <w:rPr>
          <w:rFonts w:ascii="Times New Roman" w:hAnsi="Times New Roman"/>
          <w:sz w:val="24"/>
          <w:szCs w:val="24"/>
        </w:rPr>
        <w:t>2010</w:t>
      </w:r>
      <w:r w:rsidRPr="00B74EB7">
        <w:rPr>
          <w:rFonts w:ascii="Times New Roman" w:hAnsi="Times New Roman"/>
          <w:sz w:val="24"/>
          <w:szCs w:val="24"/>
        </w:rPr>
        <w:t>.</w:t>
      </w:r>
    </w:p>
    <w:p w:rsidR="00554A0B" w:rsidRPr="00B74EB7" w:rsidRDefault="00554A0B" w:rsidP="00501B15">
      <w:pPr>
        <w:pStyle w:val="Sansinterligne1"/>
        <w:ind w:left="709"/>
        <w:rPr>
          <w:rFonts w:ascii="Times New Roman" w:hAnsi="Times New Roman"/>
          <w:sz w:val="24"/>
          <w:szCs w:val="24"/>
        </w:rPr>
      </w:pPr>
      <w:r w:rsidRPr="00B74EB7">
        <w:rPr>
          <w:rFonts w:ascii="Times New Roman" w:hAnsi="Times New Roman"/>
          <w:sz w:val="24"/>
          <w:szCs w:val="24"/>
        </w:rPr>
        <w:sym w:font="Wingdings" w:char="F0FC"/>
      </w:r>
      <w:r w:rsidRPr="00B74EB7">
        <w:rPr>
          <w:rFonts w:ascii="Times New Roman" w:hAnsi="Times New Roman"/>
          <w:sz w:val="24"/>
          <w:szCs w:val="24"/>
        </w:rPr>
        <w:t xml:space="preserve"> départ le 31 août </w:t>
      </w:r>
      <w:r w:rsidR="00831BC7" w:rsidRPr="00B74EB7">
        <w:rPr>
          <w:rFonts w:ascii="Times New Roman" w:hAnsi="Times New Roman"/>
          <w:sz w:val="24"/>
          <w:szCs w:val="24"/>
        </w:rPr>
        <w:t>2011</w:t>
      </w:r>
      <w:r w:rsidRPr="00B74EB7">
        <w:rPr>
          <w:rFonts w:ascii="Times New Roman" w:hAnsi="Times New Roman"/>
          <w:sz w:val="24"/>
          <w:szCs w:val="24"/>
        </w:rPr>
        <w:t xml:space="preserve"> d’un cadre au salaire mensuel brut de 3 570 €, en valeur au 31/12/</w:t>
      </w:r>
      <w:r w:rsidR="00831BC7" w:rsidRPr="00B74EB7">
        <w:rPr>
          <w:rFonts w:ascii="Times New Roman" w:hAnsi="Times New Roman"/>
          <w:sz w:val="24"/>
          <w:szCs w:val="24"/>
        </w:rPr>
        <w:t>2010</w:t>
      </w:r>
      <w:r w:rsidRPr="00B74EB7">
        <w:rPr>
          <w:rFonts w:ascii="Times New Roman" w:hAnsi="Times New Roman"/>
          <w:sz w:val="24"/>
          <w:szCs w:val="24"/>
        </w:rPr>
        <w:t>.</w:t>
      </w:r>
    </w:p>
    <w:p w:rsidR="00554A0B" w:rsidRPr="00B74EB7" w:rsidRDefault="00B74EB7" w:rsidP="00501B15">
      <w:pPr>
        <w:pStyle w:val="Sansinterligne1"/>
        <w:tabs>
          <w:tab w:val="left" w:pos="284"/>
        </w:tabs>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r</w:t>
      </w:r>
      <w:r w:rsidR="00554A0B" w:rsidRPr="00B74EB7">
        <w:rPr>
          <w:rFonts w:ascii="Times New Roman" w:hAnsi="Times New Roman"/>
          <w:sz w:val="24"/>
          <w:szCs w:val="24"/>
        </w:rPr>
        <w:t>ecrutement : un ouvrier sera recruté le 1</w:t>
      </w:r>
      <w:r w:rsidR="00554A0B" w:rsidRPr="00B74EB7">
        <w:rPr>
          <w:rFonts w:ascii="Times New Roman" w:hAnsi="Times New Roman"/>
          <w:sz w:val="24"/>
          <w:szCs w:val="24"/>
          <w:vertAlign w:val="superscript"/>
        </w:rPr>
        <w:t>er</w:t>
      </w:r>
      <w:r w:rsidR="00554A0B" w:rsidRPr="00B74EB7">
        <w:rPr>
          <w:rFonts w:ascii="Times New Roman" w:hAnsi="Times New Roman"/>
          <w:sz w:val="24"/>
          <w:szCs w:val="24"/>
        </w:rPr>
        <w:t xml:space="preserve"> juin </w:t>
      </w:r>
      <w:r w:rsidR="00831BC7" w:rsidRPr="00B74EB7">
        <w:rPr>
          <w:rFonts w:ascii="Times New Roman" w:hAnsi="Times New Roman"/>
          <w:sz w:val="24"/>
          <w:szCs w:val="24"/>
        </w:rPr>
        <w:t>2011</w:t>
      </w:r>
      <w:r w:rsidR="00554A0B" w:rsidRPr="00B74EB7">
        <w:rPr>
          <w:rFonts w:ascii="Times New Roman" w:hAnsi="Times New Roman"/>
          <w:sz w:val="24"/>
          <w:szCs w:val="24"/>
        </w:rPr>
        <w:t xml:space="preserve"> au salaire mensuel brut de 1 380 €.</w:t>
      </w:r>
    </w:p>
    <w:p w:rsidR="00554A0B" w:rsidRPr="00B74EB7" w:rsidRDefault="00554A0B" w:rsidP="00501B15">
      <w:pPr>
        <w:jc w:val="center"/>
        <w:rPr>
          <w:b/>
          <w:szCs w:val="24"/>
        </w:rPr>
      </w:pPr>
    </w:p>
    <w:p w:rsidR="00554A0B" w:rsidRPr="00B74EB7" w:rsidRDefault="00554A0B" w:rsidP="00501B15">
      <w:pPr>
        <w:rPr>
          <w:b/>
          <w:szCs w:val="24"/>
        </w:rPr>
      </w:pPr>
      <w:r w:rsidRPr="00B74EB7">
        <w:rPr>
          <w:b/>
          <w:szCs w:val="24"/>
        </w:rPr>
        <w:t>La masse salariale de l’effectif</w:t>
      </w:r>
      <w:r w:rsidR="00831BC7" w:rsidRPr="00B74EB7">
        <w:rPr>
          <w:b/>
          <w:szCs w:val="24"/>
        </w:rPr>
        <w:t xml:space="preserve"> </w:t>
      </w:r>
      <w:r w:rsidRPr="00B74EB7">
        <w:rPr>
          <w:b/>
          <w:szCs w:val="24"/>
        </w:rPr>
        <w:t xml:space="preserve">stable pour l’exercice </w:t>
      </w:r>
      <w:r w:rsidR="00831BC7" w:rsidRPr="00B74EB7">
        <w:rPr>
          <w:b/>
          <w:szCs w:val="24"/>
        </w:rPr>
        <w:t>2011</w:t>
      </w:r>
      <w:r w:rsidRPr="00B74EB7">
        <w:rPr>
          <w:b/>
          <w:szCs w:val="24"/>
        </w:rPr>
        <w:t xml:space="preserve"> a été évaluée à 1 866 020 €.</w:t>
      </w:r>
    </w:p>
    <w:p w:rsidR="00554A0B" w:rsidRPr="00B74EB7" w:rsidRDefault="00554A0B" w:rsidP="00501B15">
      <w:pPr>
        <w:rPr>
          <w:szCs w:val="24"/>
        </w:rPr>
      </w:pPr>
    </w:p>
    <w:p w:rsidR="00554A0B" w:rsidRPr="004B2B99" w:rsidRDefault="00554A0B" w:rsidP="00501B15">
      <w:pPr>
        <w:rPr>
          <w:sz w:val="22"/>
        </w:rPr>
      </w:pPr>
    </w:p>
    <w:p w:rsidR="00554A0B" w:rsidRDefault="00554A0B" w:rsidP="00501B15">
      <w:pPr>
        <w:jc w:val="center"/>
        <w:rPr>
          <w:b/>
        </w:rPr>
      </w:pPr>
      <w:r>
        <w:rPr>
          <w:b/>
        </w:rPr>
        <w:t>Annexe 7</w:t>
      </w:r>
    </w:p>
    <w:p w:rsidR="00554A0B" w:rsidRDefault="00554A0B" w:rsidP="00501B15">
      <w:pPr>
        <w:jc w:val="center"/>
        <w:rPr>
          <w:b/>
        </w:rPr>
      </w:pPr>
    </w:p>
    <w:p w:rsidR="00554A0B" w:rsidRPr="00B74EB7" w:rsidRDefault="00554A0B" w:rsidP="00501B15">
      <w:pPr>
        <w:jc w:val="center"/>
        <w:rPr>
          <w:b/>
          <w:szCs w:val="24"/>
          <w:u w:val="single"/>
        </w:rPr>
      </w:pPr>
      <w:r w:rsidRPr="00B74EB7">
        <w:rPr>
          <w:b/>
          <w:szCs w:val="24"/>
          <w:u w:val="single"/>
        </w:rPr>
        <w:t xml:space="preserve">Informations relatives à la gestion du stock de la collection </w:t>
      </w:r>
      <w:r w:rsidRPr="00B74EB7">
        <w:rPr>
          <w:b/>
          <w:i/>
          <w:szCs w:val="24"/>
          <w:u w:val="single"/>
        </w:rPr>
        <w:t>15</w:t>
      </w:r>
    </w:p>
    <w:p w:rsidR="00554A0B" w:rsidRPr="00B74EB7" w:rsidRDefault="00554A0B" w:rsidP="00501B15">
      <w:pPr>
        <w:spacing w:after="120"/>
        <w:rPr>
          <w:b/>
          <w:szCs w:val="24"/>
        </w:rPr>
      </w:pPr>
    </w:p>
    <w:p w:rsidR="00554A0B" w:rsidRPr="00B74EB7" w:rsidRDefault="00554A0B" w:rsidP="00501B15">
      <w:pPr>
        <w:spacing w:after="120"/>
        <w:rPr>
          <w:szCs w:val="24"/>
        </w:rPr>
      </w:pPr>
      <w:r w:rsidRPr="00B74EB7">
        <w:rPr>
          <w:szCs w:val="24"/>
        </w:rPr>
        <w:t xml:space="preserve">Le stock de livres pour la collection </w:t>
      </w:r>
      <w:r w:rsidRPr="00B74EB7">
        <w:rPr>
          <w:i/>
          <w:szCs w:val="24"/>
        </w:rPr>
        <w:t xml:space="preserve">15 </w:t>
      </w:r>
      <w:r w:rsidRPr="00B74EB7">
        <w:rPr>
          <w:szCs w:val="24"/>
        </w:rPr>
        <w:t>était de 20 000 unités au 1</w:t>
      </w:r>
      <w:r w:rsidRPr="00B74EB7">
        <w:rPr>
          <w:szCs w:val="24"/>
          <w:vertAlign w:val="superscript"/>
        </w:rPr>
        <w:t>er</w:t>
      </w:r>
      <w:r w:rsidRPr="00B74EB7">
        <w:rPr>
          <w:szCs w:val="24"/>
        </w:rPr>
        <w:t xml:space="preserve"> janvier </w:t>
      </w:r>
      <w:r w:rsidR="00831BC7" w:rsidRPr="00B74EB7">
        <w:rPr>
          <w:szCs w:val="24"/>
        </w:rPr>
        <w:t>2010</w:t>
      </w:r>
      <w:r w:rsidRPr="00B74EB7">
        <w:rPr>
          <w:szCs w:val="24"/>
        </w:rPr>
        <w:t xml:space="preserve"> et il devra être porté à 35</w:t>
      </w:r>
      <w:r w:rsidR="001A5759">
        <w:rPr>
          <w:szCs w:val="24"/>
        </w:rPr>
        <w:t> </w:t>
      </w:r>
      <w:r w:rsidRPr="00B74EB7">
        <w:rPr>
          <w:szCs w:val="24"/>
        </w:rPr>
        <w:t xml:space="preserve">000 unités au 31 décembre </w:t>
      </w:r>
      <w:r w:rsidR="00831BC7" w:rsidRPr="00B74EB7">
        <w:rPr>
          <w:szCs w:val="24"/>
        </w:rPr>
        <w:t>2010</w:t>
      </w:r>
      <w:r w:rsidRPr="00B74EB7">
        <w:rPr>
          <w:szCs w:val="24"/>
        </w:rPr>
        <w:t>.</w:t>
      </w:r>
    </w:p>
    <w:p w:rsidR="00554A0B" w:rsidRPr="00B74EB7" w:rsidRDefault="00554A0B" w:rsidP="00501B15">
      <w:pPr>
        <w:spacing w:after="120"/>
        <w:rPr>
          <w:szCs w:val="24"/>
        </w:rPr>
      </w:pPr>
      <w:r w:rsidRPr="00B74EB7">
        <w:rPr>
          <w:szCs w:val="24"/>
        </w:rPr>
        <w:t xml:space="preserve">On prévoit des ventes de 900 000 exemplaires pour </w:t>
      </w:r>
      <w:r w:rsidR="00831BC7" w:rsidRPr="00B74EB7">
        <w:rPr>
          <w:szCs w:val="24"/>
        </w:rPr>
        <w:t>2010</w:t>
      </w:r>
      <w:r w:rsidRPr="00B74EB7">
        <w:rPr>
          <w:szCs w:val="24"/>
        </w:rPr>
        <w:t>.</w:t>
      </w:r>
    </w:p>
    <w:p w:rsidR="00554A0B" w:rsidRPr="00B74EB7" w:rsidRDefault="00554A0B" w:rsidP="00501B15">
      <w:pPr>
        <w:spacing w:after="120"/>
        <w:rPr>
          <w:szCs w:val="24"/>
        </w:rPr>
      </w:pPr>
      <w:r w:rsidRPr="00B74EB7">
        <w:rPr>
          <w:szCs w:val="24"/>
        </w:rPr>
        <w:t>Le coût de gestion d’une commande est de 658,80 €.</w:t>
      </w:r>
    </w:p>
    <w:p w:rsidR="00554A0B" w:rsidRPr="00B74EB7" w:rsidRDefault="00554A0B" w:rsidP="00501B15">
      <w:pPr>
        <w:spacing w:after="120"/>
        <w:rPr>
          <w:szCs w:val="24"/>
        </w:rPr>
      </w:pPr>
      <w:r w:rsidRPr="00B74EB7">
        <w:rPr>
          <w:szCs w:val="24"/>
        </w:rPr>
        <w:t>Le prix d’achat unitaire d’un livre de cette collection est de 12,80 €.</w:t>
      </w:r>
    </w:p>
    <w:p w:rsidR="00554A0B" w:rsidRPr="00B74EB7" w:rsidRDefault="00554A0B" w:rsidP="00501B15">
      <w:pPr>
        <w:spacing w:after="120"/>
        <w:rPr>
          <w:szCs w:val="24"/>
        </w:rPr>
      </w:pPr>
      <w:r w:rsidRPr="00B74EB7">
        <w:rPr>
          <w:szCs w:val="24"/>
        </w:rPr>
        <w:t>Le coût de possession est de 18 € pour 100 € stockés pendant un an.</w:t>
      </w:r>
    </w:p>
    <w:p w:rsidR="00554A0B" w:rsidRPr="00B74EB7" w:rsidRDefault="00554A0B" w:rsidP="00501B15">
      <w:pPr>
        <w:spacing w:after="120"/>
        <w:rPr>
          <w:szCs w:val="24"/>
        </w:rPr>
      </w:pPr>
      <w:r w:rsidRPr="00B74EB7">
        <w:rPr>
          <w:szCs w:val="24"/>
        </w:rPr>
        <w:t>On retient une année de 360 jours.</w:t>
      </w:r>
    </w:p>
    <w:p w:rsidR="00554A0B" w:rsidRPr="00B74EB7" w:rsidRDefault="00554A0B" w:rsidP="00501B15">
      <w:pPr>
        <w:spacing w:after="120"/>
        <w:rPr>
          <w:szCs w:val="24"/>
        </w:rPr>
      </w:pPr>
      <w:r w:rsidRPr="00B74EB7">
        <w:rPr>
          <w:szCs w:val="24"/>
        </w:rPr>
        <w:t>En se basant sur l’expérience acquise par d’autres professionnels du secteur, on estim</w:t>
      </w:r>
      <w:r w:rsidR="001A5759">
        <w:rPr>
          <w:szCs w:val="24"/>
        </w:rPr>
        <w:t xml:space="preserve">e le coût de pénurie </w:t>
      </w:r>
      <w:r w:rsidRPr="00B74EB7">
        <w:rPr>
          <w:szCs w:val="24"/>
        </w:rPr>
        <w:t>à 0,02 € par article manquant et par jour de retard.</w:t>
      </w:r>
    </w:p>
    <w:p w:rsidR="00554A0B" w:rsidRPr="00B74EB7" w:rsidRDefault="00554A0B">
      <w:pPr>
        <w:rPr>
          <w:szCs w:val="24"/>
        </w:rPr>
      </w:pPr>
    </w:p>
    <w:sectPr w:rsidR="00554A0B" w:rsidRPr="00B74EB7" w:rsidSect="00316871">
      <w:headerReference w:type="default" r:id="rId9"/>
      <w:footerReference w:type="default" r:id="rId10"/>
      <w:pgSz w:w="11906" w:h="16838"/>
      <w:pgMar w:top="680" w:right="567" w:bottom="686" w:left="1134" w:header="567" w:footer="73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B26" w:rsidRDefault="00981B26">
      <w:r>
        <w:separator/>
      </w:r>
    </w:p>
  </w:endnote>
  <w:endnote w:type="continuationSeparator" w:id="0">
    <w:p w:rsidR="00981B26" w:rsidRDefault="0098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71" w:rsidRPr="00316871" w:rsidRDefault="00316871" w:rsidP="00316871">
    <w:pPr>
      <w:pStyle w:val="Pieddepage"/>
      <w:tabs>
        <w:tab w:val="left" w:pos="709"/>
      </w:tabs>
      <w:ind w:right="357"/>
      <w:jc w:val="left"/>
      <w:rPr>
        <w:sz w:val="18"/>
      </w:rPr>
    </w:pPr>
    <w:r w:rsidRPr="00392E47">
      <w:rPr>
        <w:bCs/>
        <w:sz w:val="22"/>
      </w:rPr>
      <w:t>©Comptazine – Reproduction Interdi</w:t>
    </w:r>
    <w:r>
      <w:rPr>
        <w:bCs/>
        <w:sz w:val="22"/>
      </w:rPr>
      <w:t xml:space="preserve">te </w:t>
    </w:r>
    <w:r>
      <w:rPr>
        <w:bCs/>
        <w:sz w:val="22"/>
      </w:rPr>
      <w:tab/>
      <w:t xml:space="preserve">        </w:t>
    </w:r>
    <w:r w:rsidRPr="00392E47">
      <w:rPr>
        <w:bCs/>
        <w:sz w:val="22"/>
      </w:rPr>
      <w:t>DCG  20</w:t>
    </w:r>
    <w:r>
      <w:rPr>
        <w:bCs/>
        <w:sz w:val="22"/>
      </w:rPr>
      <w:t>1</w:t>
    </w:r>
    <w:r w:rsidR="00216CEA">
      <w:rPr>
        <w:bCs/>
        <w:sz w:val="22"/>
      </w:rPr>
      <w:t>1</w:t>
    </w:r>
    <w:r w:rsidRPr="00392E47">
      <w:rPr>
        <w:bCs/>
        <w:sz w:val="22"/>
      </w:rPr>
      <w:t xml:space="preserve"> UE11 – Contrôle de gestion</w:t>
    </w:r>
    <w:r>
      <w:rPr>
        <w:bCs/>
        <w:sz w:val="22"/>
      </w:rPr>
      <w:tab/>
    </w:r>
    <w:r w:rsidRPr="00392E47">
      <w:rPr>
        <w:bCs/>
        <w:sz w:val="22"/>
      </w:rPr>
      <w:tab/>
    </w:r>
    <w:r w:rsidRPr="00392E47">
      <w:rPr>
        <w:rStyle w:val="Numrodepage"/>
        <w:bCs/>
        <w:sz w:val="22"/>
      </w:rPr>
      <w:fldChar w:fldCharType="begin"/>
    </w:r>
    <w:r w:rsidRPr="00392E47">
      <w:rPr>
        <w:rStyle w:val="Numrodepage"/>
        <w:bCs/>
        <w:sz w:val="22"/>
      </w:rPr>
      <w:instrText xml:space="preserve"> PAGE </w:instrText>
    </w:r>
    <w:r w:rsidRPr="00392E47">
      <w:rPr>
        <w:rStyle w:val="Numrodepage"/>
        <w:bCs/>
        <w:sz w:val="22"/>
      </w:rPr>
      <w:fldChar w:fldCharType="separate"/>
    </w:r>
    <w:r w:rsidR="00216CEA">
      <w:rPr>
        <w:rStyle w:val="Numrodepage"/>
        <w:bCs/>
        <w:noProof/>
        <w:sz w:val="22"/>
      </w:rPr>
      <w:t>2</w:t>
    </w:r>
    <w:r w:rsidRPr="00392E47">
      <w:rPr>
        <w:rStyle w:val="Numrodepage"/>
        <w:bCs/>
        <w:sz w:val="22"/>
      </w:rPr>
      <w:fldChar w:fldCharType="end"/>
    </w:r>
    <w:r w:rsidRPr="00392E47">
      <w:rPr>
        <w:rStyle w:val="Numrodepage"/>
        <w:bCs/>
        <w:sz w:val="22"/>
      </w:rPr>
      <w:t>/</w:t>
    </w:r>
    <w:r w:rsidRPr="00392E47">
      <w:rPr>
        <w:rStyle w:val="Numrodepage"/>
        <w:bCs/>
        <w:sz w:val="22"/>
      </w:rPr>
      <w:fldChar w:fldCharType="begin"/>
    </w:r>
    <w:r w:rsidRPr="00392E47">
      <w:rPr>
        <w:rStyle w:val="Numrodepage"/>
        <w:bCs/>
        <w:sz w:val="22"/>
      </w:rPr>
      <w:instrText xml:space="preserve">  NUMPAGES</w:instrText>
    </w:r>
    <w:r w:rsidRPr="00392E47">
      <w:rPr>
        <w:rStyle w:val="Numrodepage"/>
        <w:bCs/>
        <w:sz w:val="22"/>
      </w:rPr>
      <w:fldChar w:fldCharType="separate"/>
    </w:r>
    <w:r w:rsidR="00216CEA">
      <w:rPr>
        <w:rStyle w:val="Numrodepage"/>
        <w:bCs/>
        <w:noProof/>
        <w:sz w:val="22"/>
      </w:rPr>
      <w:t>7</w:t>
    </w:r>
    <w:r w:rsidRPr="00392E47">
      <w:rPr>
        <w:rStyle w:val="Numrodepage"/>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B26" w:rsidRDefault="00981B26">
      <w:r>
        <w:separator/>
      </w:r>
    </w:p>
  </w:footnote>
  <w:footnote w:type="continuationSeparator" w:id="0">
    <w:p w:rsidR="00981B26" w:rsidRDefault="00981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0B" w:rsidRDefault="00981B26" w:rsidP="00316871">
    <w:pPr>
      <w:pStyle w:val="En-tte"/>
      <w:ind w:right="849"/>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2051" type="#_x0000_t75" alt="Description : C:\Mes documents\ACCOUNTANCY SIMPLY\Projet\logos_Comptazine_FB_TW-40-x-40.jpg" style="position:absolute;left:0;text-align:left;margin-left:480.45pt;margin-top:-30pt;width:30pt;height:30pt;z-index:-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v:imagedata r:id="rId1" o:title="logos_Comptazine_FB_TW-40-x-40"/>
          <w10:wrap anchorx="margin" anchory="margin"/>
        </v:shape>
      </w:pict>
    </w:r>
    <w:hyperlink r:id="rId2" w:history="1">
      <w:r w:rsidR="00316871" w:rsidRPr="00D067F9">
        <w:rPr>
          <w:rStyle w:val="Lienhypertexte"/>
          <w:rFonts w:ascii="Calibri" w:hAnsi="Calibri" w:cs="Calibri"/>
          <w:color w:val="E36C0A"/>
          <w:sz w:val="18"/>
        </w:rPr>
        <w:t>www.comptazine.fr</w:t>
      </w:r>
    </w:hyperlink>
    <w:r>
      <w:rPr>
        <w:noProof/>
      </w:rPr>
      <w:pict>
        <v:shape id="_x0000_s2050" type="#_x0000_t75" style="position:absolute;left:0;text-align:left;margin-left:0;margin-top:0;width:495.9pt;height:495.9pt;z-index:-2;mso-position-horizontal:center;mso-position-horizontal-relative:margin;mso-position-vertical:center;mso-position-vertical-relative:margin" o:allowincell="f">
          <v:imagedata r:id="rId3" o:title="logos_Comptazine_NB-OPACITE-20-200-x-200"/>
          <w10:wrap anchorx="margin" anchory="margin"/>
        </v:shape>
      </w:pict>
    </w:r>
    <w:r>
      <w:rPr>
        <w:noProof/>
      </w:rPr>
      <w:pict>
        <v:shape id="_x0000_s2049" type="#_x0000_t75" style="position:absolute;left:0;text-align:left;margin-left:0;margin-top:0;width:510pt;height:510pt;z-index:-3;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B2964"/>
    <w:multiLevelType w:val="hybridMultilevel"/>
    <w:tmpl w:val="E5209EE4"/>
    <w:lvl w:ilvl="0" w:tplc="174C1368">
      <w:start w:val="1"/>
      <w:numFmt w:val="decimal"/>
      <w:lvlText w:val="%1."/>
      <w:lvlJc w:val="left"/>
      <w:pPr>
        <w:ind w:left="720" w:hanging="360"/>
      </w:pPr>
      <w:rPr>
        <w:rFonts w:cs="Times New Roman" w:hint="default"/>
        <w:b/>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
    <w:nsid w:val="4D283143"/>
    <w:multiLevelType w:val="hybridMultilevel"/>
    <w:tmpl w:val="E6B65A40"/>
    <w:lvl w:ilvl="0" w:tplc="10B8A1D4">
      <w:start w:val="1"/>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abstractNum w:abstractNumId="2">
    <w:nsid w:val="56414D82"/>
    <w:multiLevelType w:val="hybridMultilevel"/>
    <w:tmpl w:val="8D0CAF5C"/>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
    <w:nsid w:val="7C0224C5"/>
    <w:multiLevelType w:val="hybridMultilevel"/>
    <w:tmpl w:val="3000E71A"/>
    <w:lvl w:ilvl="0" w:tplc="3A043972">
      <w:numFmt w:val="bullet"/>
      <w:lvlText w:val="-"/>
      <w:lvlJc w:val="left"/>
      <w:pPr>
        <w:ind w:left="720" w:hanging="360"/>
      </w:pPr>
      <w:rPr>
        <w:rFonts w:ascii="Cambria" w:eastAsia="Times New Roman" w:hAnsi="Cambri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7DEE5E7B"/>
    <w:multiLevelType w:val="hybridMultilevel"/>
    <w:tmpl w:val="8D0CAF5C"/>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5EE"/>
    <w:rsid w:val="000056EC"/>
    <w:rsid w:val="0000677E"/>
    <w:rsid w:val="00020EA9"/>
    <w:rsid w:val="000725F9"/>
    <w:rsid w:val="001758E4"/>
    <w:rsid w:val="00175EEC"/>
    <w:rsid w:val="001A3DE0"/>
    <w:rsid w:val="001A5759"/>
    <w:rsid w:val="001D5D3A"/>
    <w:rsid w:val="00203830"/>
    <w:rsid w:val="00216CEA"/>
    <w:rsid w:val="0022431B"/>
    <w:rsid w:val="0023176C"/>
    <w:rsid w:val="00236043"/>
    <w:rsid w:val="002924A3"/>
    <w:rsid w:val="002B1A22"/>
    <w:rsid w:val="002E3FE2"/>
    <w:rsid w:val="00316871"/>
    <w:rsid w:val="0034685C"/>
    <w:rsid w:val="003840DF"/>
    <w:rsid w:val="003949BF"/>
    <w:rsid w:val="003A4E53"/>
    <w:rsid w:val="003C040E"/>
    <w:rsid w:val="003F137C"/>
    <w:rsid w:val="00475B08"/>
    <w:rsid w:val="004777CA"/>
    <w:rsid w:val="00485DF7"/>
    <w:rsid w:val="00495525"/>
    <w:rsid w:val="004A2F64"/>
    <w:rsid w:val="004B2B99"/>
    <w:rsid w:val="004C1E4E"/>
    <w:rsid w:val="004E19B6"/>
    <w:rsid w:val="004E40C9"/>
    <w:rsid w:val="004F009A"/>
    <w:rsid w:val="004F266F"/>
    <w:rsid w:val="00501B15"/>
    <w:rsid w:val="00502029"/>
    <w:rsid w:val="005101BE"/>
    <w:rsid w:val="005247E7"/>
    <w:rsid w:val="0053460E"/>
    <w:rsid w:val="00536B28"/>
    <w:rsid w:val="00554A0B"/>
    <w:rsid w:val="00561791"/>
    <w:rsid w:val="0058635F"/>
    <w:rsid w:val="005B35EE"/>
    <w:rsid w:val="005D0810"/>
    <w:rsid w:val="006232CF"/>
    <w:rsid w:val="0063658A"/>
    <w:rsid w:val="00641EC9"/>
    <w:rsid w:val="006560EB"/>
    <w:rsid w:val="00704C78"/>
    <w:rsid w:val="007054C5"/>
    <w:rsid w:val="007221C6"/>
    <w:rsid w:val="00764550"/>
    <w:rsid w:val="007D2571"/>
    <w:rsid w:val="007E497E"/>
    <w:rsid w:val="007F47D4"/>
    <w:rsid w:val="00802138"/>
    <w:rsid w:val="008115B2"/>
    <w:rsid w:val="00831BC7"/>
    <w:rsid w:val="00844CAF"/>
    <w:rsid w:val="00850DF9"/>
    <w:rsid w:val="0086418E"/>
    <w:rsid w:val="00865B86"/>
    <w:rsid w:val="00867B9E"/>
    <w:rsid w:val="0087580B"/>
    <w:rsid w:val="00887EBE"/>
    <w:rsid w:val="008D0043"/>
    <w:rsid w:val="008D4766"/>
    <w:rsid w:val="00925EAE"/>
    <w:rsid w:val="009305C4"/>
    <w:rsid w:val="00967CBC"/>
    <w:rsid w:val="00981B26"/>
    <w:rsid w:val="00994057"/>
    <w:rsid w:val="009C5936"/>
    <w:rsid w:val="009E27B3"/>
    <w:rsid w:val="009F08F1"/>
    <w:rsid w:val="00A02EE1"/>
    <w:rsid w:val="00A24F52"/>
    <w:rsid w:val="00AC4D36"/>
    <w:rsid w:val="00AC6F50"/>
    <w:rsid w:val="00AD2F8B"/>
    <w:rsid w:val="00AD4C03"/>
    <w:rsid w:val="00B0581A"/>
    <w:rsid w:val="00B07042"/>
    <w:rsid w:val="00B24E2B"/>
    <w:rsid w:val="00B62C68"/>
    <w:rsid w:val="00B74EB7"/>
    <w:rsid w:val="00B86427"/>
    <w:rsid w:val="00B92F26"/>
    <w:rsid w:val="00B97DF4"/>
    <w:rsid w:val="00BB63C0"/>
    <w:rsid w:val="00BD3443"/>
    <w:rsid w:val="00BD7EC2"/>
    <w:rsid w:val="00C1094B"/>
    <w:rsid w:val="00C524B4"/>
    <w:rsid w:val="00C56808"/>
    <w:rsid w:val="00C77E2B"/>
    <w:rsid w:val="00CA13DF"/>
    <w:rsid w:val="00CC4162"/>
    <w:rsid w:val="00CD44CC"/>
    <w:rsid w:val="00D11A9A"/>
    <w:rsid w:val="00D31415"/>
    <w:rsid w:val="00D32247"/>
    <w:rsid w:val="00D521C0"/>
    <w:rsid w:val="00D57B10"/>
    <w:rsid w:val="00D65AD1"/>
    <w:rsid w:val="00D77362"/>
    <w:rsid w:val="00D9148E"/>
    <w:rsid w:val="00D94D79"/>
    <w:rsid w:val="00DB29AF"/>
    <w:rsid w:val="00DB75EA"/>
    <w:rsid w:val="00DF4289"/>
    <w:rsid w:val="00E02E3D"/>
    <w:rsid w:val="00E163F7"/>
    <w:rsid w:val="00E41961"/>
    <w:rsid w:val="00E569EE"/>
    <w:rsid w:val="00E57B00"/>
    <w:rsid w:val="00E94F48"/>
    <w:rsid w:val="00EA79A6"/>
    <w:rsid w:val="00F24E38"/>
    <w:rsid w:val="00F81CA3"/>
    <w:rsid w:val="00F8618C"/>
    <w:rsid w:val="00F864F0"/>
    <w:rsid w:val="00FA29A9"/>
    <w:rsid w:val="00FC72BE"/>
    <w:rsid w:val="00FD6AB1"/>
    <w:rsid w:val="00FF34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33"/>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link w:val="PieddepageCar"/>
    <w:pPr>
      <w:tabs>
        <w:tab w:val="center" w:pos="4536"/>
        <w:tab w:val="right" w:pos="9072"/>
      </w:tabs>
    </w:pPr>
  </w:style>
  <w:style w:type="character" w:styleId="Numrodepage">
    <w:name w:val="page number"/>
    <w:rPr>
      <w:rFonts w:cs="Times New Roman"/>
    </w:rPr>
  </w:style>
  <w:style w:type="paragraph" w:styleId="En-tte">
    <w:name w:val="header"/>
    <w:basedOn w:val="Normal"/>
    <w:pPr>
      <w:tabs>
        <w:tab w:val="center" w:pos="4536"/>
        <w:tab w:val="right" w:pos="9072"/>
      </w:tabs>
    </w:pPr>
  </w:style>
  <w:style w:type="paragraph" w:customStyle="1" w:styleId="Sansinterligne1">
    <w:name w:val="Sans interligne1"/>
    <w:pPr>
      <w:jc w:val="both"/>
    </w:pPr>
    <w:rPr>
      <w:rFonts w:ascii="Arial" w:hAnsi="Arial"/>
      <w:szCs w:val="22"/>
    </w:rPr>
  </w:style>
  <w:style w:type="paragraph" w:customStyle="1" w:styleId="Listecouleur-Accent11">
    <w:name w:val="Liste couleur - Accent 11"/>
    <w:basedOn w:val="Normal"/>
    <w:pPr>
      <w:ind w:left="720"/>
      <w:jc w:val="left"/>
    </w:pPr>
    <w:rPr>
      <w:rFonts w:ascii="Cambria" w:hAnsi="Cambria"/>
      <w:szCs w:val="24"/>
      <w:lang w:eastAsia="en-US"/>
    </w:rPr>
  </w:style>
  <w:style w:type="paragraph" w:customStyle="1" w:styleId="Sansinterligne11">
    <w:name w:val="Sans interligne11"/>
    <w:pPr>
      <w:jc w:val="both"/>
    </w:pPr>
    <w:rPr>
      <w:rFonts w:ascii="Arial" w:hAnsi="Arial"/>
      <w:szCs w:val="22"/>
    </w:rPr>
  </w:style>
  <w:style w:type="paragraph" w:customStyle="1" w:styleId="Listecouleur-Accent111">
    <w:name w:val="Liste couleur - Accent 111"/>
    <w:basedOn w:val="Normal"/>
    <w:pPr>
      <w:ind w:left="720"/>
      <w:jc w:val="left"/>
    </w:pPr>
    <w:rPr>
      <w:rFonts w:ascii="Cambria" w:hAnsi="Cambria"/>
      <w:szCs w:val="24"/>
      <w:lang w:eastAsia="en-US"/>
    </w:rPr>
  </w:style>
  <w:style w:type="table" w:styleId="Grilledutableau">
    <w:name w:val="Table Grid"/>
    <w:basedOn w:val="TableauNormal"/>
    <w:pPr>
      <w:ind w:left="714" w:hanging="357"/>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claire-Accent11">
    <w:name w:val="Trame claire - Accent 11"/>
    <w:rsid w:val="00B24E2B"/>
    <w:rPr>
      <w:rFonts w:ascii="Calibri" w:eastAsia="SimSun" w:hAnsi="Calibri" w:cs="Arial"/>
      <w:color w:val="365F91"/>
      <w:sz w:val="22"/>
      <w:szCs w:val="22"/>
      <w:lang w:eastAsia="zh-CN"/>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styleId="Lienhypertexte">
    <w:name w:val="Hyperlink"/>
    <w:rsid w:val="00316871"/>
    <w:rPr>
      <w:color w:val="0000FF"/>
      <w:u w:val="single"/>
    </w:rPr>
  </w:style>
  <w:style w:type="character" w:customStyle="1" w:styleId="PieddepageCar">
    <w:name w:val="Pied de page Car"/>
    <w:link w:val="Pieddepage"/>
    <w:rsid w:val="00316871"/>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6BD63-7DDB-45F3-B416-47B64873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2476</Words>
  <Characters>13620</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16064</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3</cp:revision>
  <cp:lastPrinted>2011-03-18T13:42:00Z</cp:lastPrinted>
  <dcterms:created xsi:type="dcterms:W3CDTF">2012-12-18T12:04:00Z</dcterms:created>
  <dcterms:modified xsi:type="dcterms:W3CDTF">2012-12-18T12:06:00Z</dcterms:modified>
</cp:coreProperties>
</file>