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E" w:rsidRPr="001C2C1B" w:rsidRDefault="0056273E" w:rsidP="001C2C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1C2C1B">
        <w:rPr>
          <w:rFonts w:ascii="Times New Roman" w:hAnsi="Times New Roman"/>
          <w:b/>
          <w:bCs/>
          <w:sz w:val="56"/>
          <w:szCs w:val="56"/>
        </w:rPr>
        <w:t>SESSION 2012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1C2C1B">
        <w:rPr>
          <w:rFonts w:ascii="Times New Roman" w:hAnsi="Times New Roman"/>
          <w:b/>
          <w:bCs/>
          <w:sz w:val="56"/>
          <w:szCs w:val="56"/>
        </w:rPr>
        <w:t>UE 6 - FINANCE D'ENTREPRISE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8E3F5A" w:rsidRPr="001C2C1B" w:rsidRDefault="0056273E" w:rsidP="0056273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1C2C1B">
        <w:rPr>
          <w:rFonts w:ascii="Times New Roman" w:hAnsi="Times New Roman"/>
          <w:b/>
          <w:bCs/>
          <w:sz w:val="36"/>
          <w:szCs w:val="36"/>
        </w:rPr>
        <w:t>Durée de l’épreuve : 3 heures – Coefficient : 1</w:t>
      </w:r>
    </w:p>
    <w:p w:rsidR="0056273E" w:rsidRPr="001C2C1B" w:rsidRDefault="0056273E" w:rsidP="0056273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C1B">
        <w:rPr>
          <w:rFonts w:ascii="Times New Roman" w:hAnsi="Times New Roman"/>
          <w:b/>
          <w:bCs/>
          <w:sz w:val="28"/>
          <w:szCs w:val="28"/>
        </w:rPr>
        <w:lastRenderedPageBreak/>
        <w:t>SESSION 2012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2C1B">
        <w:rPr>
          <w:rFonts w:ascii="Times New Roman" w:hAnsi="Times New Roman"/>
          <w:b/>
          <w:bCs/>
          <w:sz w:val="28"/>
          <w:szCs w:val="28"/>
        </w:rPr>
        <w:t>UE 6 – FINANCE D’ENTREPRISE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73E" w:rsidRPr="001C2C1B" w:rsidRDefault="0056273E" w:rsidP="0056273E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1C2C1B">
        <w:rPr>
          <w:rFonts w:ascii="Times New Roman" w:hAnsi="Times New Roman"/>
          <w:b/>
          <w:bCs/>
          <w:sz w:val="24"/>
          <w:szCs w:val="24"/>
        </w:rPr>
        <w:t>Durée de l’épreuve : 3 heures – coefficient 1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Document autorisé :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Aucun.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Matériel autorisé :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Une calculatrice de poche à fonctionnement autonome sans imprimante et sans aucun moyen de</w:t>
      </w:r>
      <w:r w:rsidR="00B15C9E" w:rsidRPr="001C2C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2C1B">
        <w:rPr>
          <w:rFonts w:ascii="Times New Roman" w:hAnsi="Times New Roman"/>
          <w:b/>
          <w:bCs/>
          <w:sz w:val="20"/>
          <w:szCs w:val="20"/>
        </w:rPr>
        <w:t>transmission, à l'exclusion de tout autre élément matériel ou documentaire (circulaire n°99-186 du</w:t>
      </w:r>
      <w:r w:rsidR="00B15C9E" w:rsidRPr="001C2C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2C1B">
        <w:rPr>
          <w:rFonts w:ascii="Times New Roman" w:hAnsi="Times New Roman"/>
          <w:b/>
          <w:bCs/>
          <w:sz w:val="20"/>
          <w:szCs w:val="20"/>
        </w:rPr>
        <w:t>16/11/99 ; BOEN n°42).</w:t>
      </w:r>
    </w:p>
    <w:p w:rsidR="00B15C9E" w:rsidRPr="001C2C1B" w:rsidRDefault="00B15C9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Document remis au candidat :</w:t>
      </w:r>
    </w:p>
    <w:p w:rsidR="0056273E" w:rsidRPr="001C2C1B" w:rsidRDefault="00FA771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Le sujet comporte 11</w:t>
      </w:r>
      <w:r w:rsidR="0056273E" w:rsidRPr="001C2C1B">
        <w:rPr>
          <w:rFonts w:ascii="Times New Roman" w:hAnsi="Times New Roman"/>
          <w:b/>
          <w:bCs/>
          <w:sz w:val="20"/>
          <w:szCs w:val="20"/>
        </w:rPr>
        <w:t xml:space="preserve"> pag</w:t>
      </w:r>
      <w:r>
        <w:rPr>
          <w:rFonts w:ascii="Times New Roman" w:hAnsi="Times New Roman"/>
          <w:b/>
          <w:bCs/>
          <w:sz w:val="20"/>
          <w:szCs w:val="20"/>
        </w:rPr>
        <w:t>es numérotées de 1/11 à 11/11</w:t>
      </w:r>
      <w:bookmarkStart w:id="0" w:name="_GoBack"/>
      <w:bookmarkEnd w:id="0"/>
      <w:r w:rsidR="0056273E" w:rsidRPr="001C2C1B">
        <w:rPr>
          <w:rFonts w:ascii="Times New Roman" w:hAnsi="Times New Roman"/>
          <w:b/>
          <w:bCs/>
          <w:sz w:val="20"/>
          <w:szCs w:val="20"/>
        </w:rPr>
        <w:t>, dont 3 annexes à rendre notées A, B et C.</w:t>
      </w:r>
    </w:p>
    <w:p w:rsidR="00B15C9E" w:rsidRPr="001C2C1B" w:rsidRDefault="00B15C9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6273E" w:rsidRPr="001C2C1B" w:rsidRDefault="0056273E" w:rsidP="0056273E">
      <w:pPr>
        <w:jc w:val="center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Il vous est demandé de vérifier que le sujet est complet dès sa mise à votre disposition.</w:t>
      </w:r>
    </w:p>
    <w:p w:rsidR="0056273E" w:rsidRPr="001C2C1B" w:rsidRDefault="0056273E" w:rsidP="005B0D5F">
      <w:pPr>
        <w:pBdr>
          <w:bottom w:val="single" w:sz="4" w:space="1" w:color="auto"/>
        </w:pBdr>
        <w:rPr>
          <w:rFonts w:ascii="Times New Roman" w:hAnsi="Times New Roman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C2C1B">
        <w:rPr>
          <w:rFonts w:ascii="Times New Roman" w:hAnsi="Times New Roman"/>
          <w:b/>
          <w:bCs/>
          <w:i/>
          <w:iCs/>
          <w:sz w:val="20"/>
          <w:szCs w:val="20"/>
        </w:rPr>
        <w:t>Le sujet se présente sous la forme de trois dossiers indépendants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 xml:space="preserve">DOSSIER 1 – DIAGNOSTIC FINANCIER </w:t>
      </w:r>
      <w:r w:rsidRPr="001C2C1B">
        <w:rPr>
          <w:rFonts w:ascii="Times New Roman" w:hAnsi="Times New Roman"/>
          <w:sz w:val="20"/>
          <w:szCs w:val="20"/>
        </w:rPr>
        <w:t xml:space="preserve">................... (11 points) .................................................... </w:t>
      </w:r>
      <w:r w:rsidRPr="001C2C1B">
        <w:rPr>
          <w:rFonts w:ascii="Times New Roman" w:hAnsi="Times New Roman"/>
          <w:b/>
          <w:bCs/>
          <w:sz w:val="20"/>
          <w:szCs w:val="20"/>
        </w:rPr>
        <w:t>page 2</w:t>
      </w:r>
    </w:p>
    <w:p w:rsidR="0056273E" w:rsidRPr="001C2C1B" w:rsidRDefault="0056273E" w:rsidP="0056273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 xml:space="preserve">DOSSIER 2 – PROJET D’INVESTISSEMENT </w:t>
      </w:r>
      <w:r w:rsidRPr="001C2C1B">
        <w:rPr>
          <w:rFonts w:ascii="Times New Roman" w:hAnsi="Times New Roman"/>
          <w:sz w:val="20"/>
          <w:szCs w:val="20"/>
        </w:rPr>
        <w:t xml:space="preserve">............ (6 points) ...................................................... </w:t>
      </w:r>
      <w:r w:rsidRPr="001C2C1B">
        <w:rPr>
          <w:rFonts w:ascii="Times New Roman" w:hAnsi="Times New Roman"/>
          <w:b/>
          <w:bCs/>
          <w:sz w:val="20"/>
          <w:szCs w:val="20"/>
        </w:rPr>
        <w:t>page 3</w:t>
      </w:r>
    </w:p>
    <w:p w:rsidR="0056273E" w:rsidRPr="001C2C1B" w:rsidRDefault="0056273E" w:rsidP="0056273E">
      <w:pPr>
        <w:pBdr>
          <w:bottom w:val="single" w:sz="4" w:space="1" w:color="auto"/>
        </w:pBdr>
        <w:ind w:right="-426"/>
        <w:jc w:val="center"/>
        <w:rPr>
          <w:rFonts w:ascii="Times New Roman" w:hAnsi="Times New Roman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 xml:space="preserve">DOSSIER 3 – GESTION DU RISQUE DE </w:t>
      </w:r>
      <w:proofErr w:type="gramStart"/>
      <w:r w:rsidRPr="001C2C1B">
        <w:rPr>
          <w:rFonts w:ascii="Times New Roman" w:hAnsi="Times New Roman"/>
          <w:b/>
          <w:bCs/>
          <w:sz w:val="20"/>
          <w:szCs w:val="20"/>
        </w:rPr>
        <w:t xml:space="preserve">CHANGE </w:t>
      </w:r>
      <w:r w:rsidRPr="001C2C1B">
        <w:rPr>
          <w:rFonts w:ascii="Times New Roman" w:hAnsi="Times New Roman"/>
          <w:sz w:val="20"/>
          <w:szCs w:val="20"/>
        </w:rPr>
        <w:t>..</w:t>
      </w:r>
      <w:proofErr w:type="gramEnd"/>
      <w:r w:rsidRPr="001C2C1B">
        <w:rPr>
          <w:rFonts w:ascii="Times New Roman" w:hAnsi="Times New Roman"/>
          <w:sz w:val="20"/>
          <w:szCs w:val="20"/>
        </w:rPr>
        <w:t xml:space="preserve"> (3 points) ...................................................... </w:t>
      </w:r>
      <w:r w:rsidRPr="001C2C1B">
        <w:rPr>
          <w:rFonts w:ascii="Times New Roman" w:hAnsi="Times New Roman"/>
          <w:b/>
          <w:bCs/>
          <w:sz w:val="20"/>
          <w:szCs w:val="20"/>
        </w:rPr>
        <w:t>page 3</w:t>
      </w:r>
    </w:p>
    <w:p w:rsidR="0056273E" w:rsidRPr="001C2C1B" w:rsidRDefault="00FB7ACC" w:rsidP="0056273E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1C2C1B">
        <w:rPr>
          <w:rFonts w:ascii="Times New Roman" w:hAnsi="Times New Roman"/>
          <w:i/>
          <w:iCs/>
          <w:sz w:val="20"/>
          <w:szCs w:val="20"/>
        </w:rPr>
        <w:t>Le sujet comporte les annexes suivantes :</w:t>
      </w:r>
    </w:p>
    <w:p w:rsidR="00FB7ACC" w:rsidRPr="001C2C1B" w:rsidRDefault="00FB7ACC" w:rsidP="0056273E">
      <w:pPr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B7ACC" w:rsidRPr="001C2C1B" w:rsidRDefault="00FB7ACC" w:rsidP="00FB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DOSSIER 1</w:t>
      </w: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Annexe 1 – Actif des bilans 2010 et 2011 ..................................................................................... page 4</w:t>
      </w: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Annexe 2 – Passif des bilans 2010 et 2011 .................................................................................. page 5</w:t>
      </w: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Annexe 3 – Compte de résultat des exercices 2009, 2010 et 2011 ............................................. page 6</w:t>
      </w: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 xml:space="preserve">Annexe 4 - Informations complémentaires sur la société THERMOCLIM ................................... </w:t>
      </w:r>
      <w:proofErr w:type="gramStart"/>
      <w:r w:rsidRPr="001C2C1B">
        <w:rPr>
          <w:rFonts w:ascii="Times New Roman" w:hAnsi="Times New Roman"/>
          <w:sz w:val="20"/>
          <w:szCs w:val="20"/>
        </w:rPr>
        <w:t>page</w:t>
      </w:r>
      <w:proofErr w:type="gramEnd"/>
      <w:r w:rsidRPr="001C2C1B">
        <w:rPr>
          <w:rFonts w:ascii="Times New Roman" w:hAnsi="Times New Roman"/>
          <w:sz w:val="20"/>
          <w:szCs w:val="20"/>
        </w:rPr>
        <w:t xml:space="preserve"> 7</w:t>
      </w: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Annexe 5 – Soldes intermédiaires de gestion des exercices 2009, 2010 et 2011 ........................ page 7</w:t>
      </w:r>
    </w:p>
    <w:p w:rsidR="002B301B" w:rsidRPr="001C2C1B" w:rsidRDefault="002B301B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b/>
          <w:bCs/>
          <w:sz w:val="20"/>
          <w:szCs w:val="20"/>
        </w:rPr>
      </w:pP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Annexe A – Tableau de financement (à rendre avec la copie)................................................ page 9</w:t>
      </w: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Annexe B – Tableau de calcul de ratios (à rendre avec la copie) .......................................... page 10</w:t>
      </w: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Annexe C – Extrait du tableau des flux de la Centrale des bilans de la Banque de France</w:t>
      </w:r>
    </w:p>
    <w:p w:rsidR="00FB7ACC" w:rsidRPr="001C2C1B" w:rsidRDefault="00FB7ACC" w:rsidP="005B0D5F">
      <w:pPr>
        <w:autoSpaceDE w:val="0"/>
        <w:autoSpaceDN w:val="0"/>
        <w:adjustRightInd w:val="0"/>
        <w:spacing w:after="0" w:line="240" w:lineRule="auto"/>
        <w:ind w:left="1418" w:right="-567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 w:rsidRPr="001C2C1B">
        <w:rPr>
          <w:rFonts w:ascii="Times New Roman" w:hAnsi="Times New Roman"/>
          <w:b/>
          <w:bCs/>
          <w:sz w:val="20"/>
          <w:szCs w:val="20"/>
        </w:rPr>
        <w:t>à</w:t>
      </w:r>
      <w:proofErr w:type="gramEnd"/>
      <w:r w:rsidRPr="001C2C1B">
        <w:rPr>
          <w:rFonts w:ascii="Times New Roman" w:hAnsi="Times New Roman"/>
          <w:b/>
          <w:bCs/>
          <w:sz w:val="20"/>
          <w:szCs w:val="20"/>
        </w:rPr>
        <w:t xml:space="preserve"> rendre avec la copie) .......................................................................................... page 10</w:t>
      </w:r>
    </w:p>
    <w:p w:rsidR="00FB7ACC" w:rsidRPr="001C2C1B" w:rsidRDefault="00FB7ACC" w:rsidP="002B301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/>
          <w:b/>
          <w:bCs/>
          <w:sz w:val="20"/>
          <w:szCs w:val="20"/>
        </w:rPr>
      </w:pPr>
    </w:p>
    <w:p w:rsidR="00FB7ACC" w:rsidRPr="001C2C1B" w:rsidRDefault="00FB7ACC" w:rsidP="00FB7AC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DOSSIER 2</w:t>
      </w:r>
    </w:p>
    <w:p w:rsidR="00FB7ACC" w:rsidRPr="001C2C1B" w:rsidRDefault="00FB7ACC" w:rsidP="005B0D5F">
      <w:pPr>
        <w:autoSpaceDE w:val="0"/>
        <w:autoSpaceDN w:val="0"/>
        <w:adjustRightInd w:val="0"/>
        <w:spacing w:after="0" w:line="240" w:lineRule="auto"/>
        <w:ind w:left="426" w:right="-284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Annexe 6 – Projet d’investissement de la société SUPIBEN .............................................. page 8</w:t>
      </w:r>
    </w:p>
    <w:p w:rsidR="00FB7ACC" w:rsidRPr="001C2C1B" w:rsidRDefault="00FB7ACC" w:rsidP="00FB7AC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bCs/>
          <w:sz w:val="20"/>
          <w:szCs w:val="20"/>
        </w:rPr>
      </w:pPr>
    </w:p>
    <w:p w:rsidR="00FB7ACC" w:rsidRPr="001C2C1B" w:rsidRDefault="00FB7ACC" w:rsidP="00FB7AC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DOSSIER 3</w:t>
      </w:r>
    </w:p>
    <w:p w:rsidR="00FB7ACC" w:rsidRPr="001C2C1B" w:rsidRDefault="00FB7ACC" w:rsidP="005B0D5F">
      <w:pPr>
        <w:autoSpaceDE w:val="0"/>
        <w:autoSpaceDN w:val="0"/>
        <w:adjustRightInd w:val="0"/>
        <w:spacing w:after="0" w:line="240" w:lineRule="auto"/>
        <w:ind w:left="426" w:right="-851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Annexe 7 – État des créances et dettes libellées en USD à échéance du 31 mars 2012 ............ page 8</w:t>
      </w:r>
    </w:p>
    <w:p w:rsidR="00FB7ACC" w:rsidRPr="001C2C1B" w:rsidRDefault="00FB7ACC" w:rsidP="005B0D5F">
      <w:pPr>
        <w:ind w:left="426" w:right="-851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Annexe 8 – Données relatives au contrat commercial à échéance du 15 février 2012 ................ page 8</w:t>
      </w:r>
    </w:p>
    <w:p w:rsidR="002B301B" w:rsidRPr="001C2C1B" w:rsidRDefault="002B301B" w:rsidP="002B301B">
      <w:pPr>
        <w:ind w:right="-851"/>
        <w:rPr>
          <w:rFonts w:ascii="Times New Roman" w:hAnsi="Times New Roman"/>
          <w:sz w:val="20"/>
          <w:szCs w:val="20"/>
        </w:rPr>
      </w:pPr>
    </w:p>
    <w:p w:rsidR="002B301B" w:rsidRPr="001C2C1B" w:rsidRDefault="002B301B" w:rsidP="002B301B">
      <w:pPr>
        <w:ind w:right="-851"/>
        <w:rPr>
          <w:rFonts w:ascii="Times New Roman" w:hAnsi="Times New Roman"/>
          <w:sz w:val="20"/>
          <w:szCs w:val="20"/>
        </w:rPr>
      </w:pPr>
    </w:p>
    <w:p w:rsidR="005B0D5F" w:rsidRPr="001C2C1B" w:rsidRDefault="002B301B" w:rsidP="005B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AVERTISSEMENT</w:t>
      </w:r>
    </w:p>
    <w:p w:rsidR="002B301B" w:rsidRPr="001C2C1B" w:rsidRDefault="002B301B" w:rsidP="005B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Si le texte du sujet, de ses questions ou de ses annexes, vous conduit à formuler une ou plusieurs hypothèses, il vous est demandé de la (ou les) mentionner explicitement dans votre copie.</w:t>
      </w:r>
    </w:p>
    <w:p w:rsidR="00B15C9E" w:rsidRPr="001C2C1B" w:rsidRDefault="00B15C9E" w:rsidP="002B301B">
      <w:pPr>
        <w:ind w:left="426" w:right="708"/>
        <w:jc w:val="center"/>
        <w:rPr>
          <w:rFonts w:ascii="Times New Roman" w:hAnsi="Times New Roman"/>
          <w:b/>
          <w:bCs/>
        </w:rPr>
      </w:pPr>
    </w:p>
    <w:p w:rsidR="002B301B" w:rsidRPr="001C2C1B" w:rsidRDefault="002B301B" w:rsidP="002B301B">
      <w:pPr>
        <w:ind w:left="426" w:right="708"/>
        <w:jc w:val="center"/>
        <w:rPr>
          <w:rFonts w:ascii="Times New Roman" w:hAnsi="Times New Roman"/>
          <w:b/>
          <w:bCs/>
        </w:rPr>
      </w:pPr>
      <w:r w:rsidRPr="001C2C1B">
        <w:rPr>
          <w:rFonts w:ascii="Times New Roman" w:hAnsi="Times New Roman"/>
          <w:b/>
          <w:bCs/>
        </w:rPr>
        <w:lastRenderedPageBreak/>
        <w:t>SUJET</w:t>
      </w:r>
    </w:p>
    <w:p w:rsidR="002B301B" w:rsidRPr="001C2C1B" w:rsidRDefault="002B301B" w:rsidP="002B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Il vous est demandé d’apporter un soin particulier à la présentation de votre copie et à la qualité</w:t>
      </w:r>
    </w:p>
    <w:p w:rsidR="002B301B" w:rsidRPr="001C2C1B" w:rsidRDefault="00582ECF" w:rsidP="002B3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Rédactionnelle</w:t>
      </w:r>
      <w:r w:rsidR="002B301B" w:rsidRPr="001C2C1B">
        <w:rPr>
          <w:rFonts w:ascii="Times New Roman" w:hAnsi="Times New Roman"/>
          <w:sz w:val="20"/>
          <w:szCs w:val="20"/>
        </w:rPr>
        <w:t>. Il sera tenu compte de ces éléments dans l’évaluation de votre travail.</w:t>
      </w:r>
      <w:r w:rsidRPr="001C2C1B">
        <w:rPr>
          <w:rFonts w:ascii="Times New Roman" w:hAnsi="Times New Roman"/>
          <w:sz w:val="20"/>
          <w:szCs w:val="20"/>
        </w:rPr>
        <w:t xml:space="preserve"> </w:t>
      </w:r>
      <w:r w:rsidR="002B301B" w:rsidRPr="001C2C1B">
        <w:rPr>
          <w:rFonts w:ascii="Times New Roman" w:hAnsi="Times New Roman"/>
          <w:sz w:val="20"/>
          <w:szCs w:val="20"/>
        </w:rPr>
        <w:t>Toute information calculée devra être justifiée.</w:t>
      </w:r>
    </w:p>
    <w:p w:rsidR="002B301B" w:rsidRPr="001C2C1B" w:rsidRDefault="002B301B" w:rsidP="002B301B">
      <w:pPr>
        <w:ind w:left="709" w:right="-851"/>
        <w:rPr>
          <w:rFonts w:ascii="Times New Roman" w:hAnsi="Times New Roman"/>
          <w:sz w:val="20"/>
          <w:szCs w:val="20"/>
        </w:rPr>
      </w:pPr>
    </w:p>
    <w:p w:rsidR="00582ECF" w:rsidRPr="001C2C1B" w:rsidRDefault="00582ECF" w:rsidP="00582ECF">
      <w:pPr>
        <w:ind w:left="709" w:right="283"/>
        <w:jc w:val="center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b/>
          <w:bCs/>
          <w:sz w:val="24"/>
          <w:szCs w:val="24"/>
          <w:bdr w:val="single" w:sz="4" w:space="0" w:color="auto"/>
        </w:rPr>
        <w:t>DOSSIER 1 – DIAGNOSTIC FINANCIER</w:t>
      </w:r>
    </w:p>
    <w:p w:rsidR="00582ECF" w:rsidRPr="001C2C1B" w:rsidRDefault="00582ECF" w:rsidP="002D38E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La société THERMOCLIM est spécialisée dans l'installation et la maintenance d'équipements de génie</w:t>
      </w:r>
      <w:r w:rsidR="005B0D5F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 xml:space="preserve">climatique et énergies renouvelables. Installée depuis 2003 dans le sud-ouest de la France, elle </w:t>
      </w:r>
      <w:r w:rsidR="005B0D5F" w:rsidRPr="001C2C1B">
        <w:rPr>
          <w:rFonts w:ascii="Times New Roman" w:hAnsi="Times New Roman"/>
          <w:sz w:val="20"/>
          <w:szCs w:val="20"/>
        </w:rPr>
        <w:t xml:space="preserve"> s</w:t>
      </w:r>
      <w:r w:rsidRPr="001C2C1B">
        <w:rPr>
          <w:rFonts w:ascii="Times New Roman" w:hAnsi="Times New Roman"/>
          <w:sz w:val="20"/>
          <w:szCs w:val="20"/>
        </w:rPr>
        <w:t>'adresse</w:t>
      </w:r>
      <w:r w:rsidR="002D38E8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>à un marché de professionnels régionaux, des secteurs privé et public. Elle a connu depuis sa création</w:t>
      </w:r>
      <w:r w:rsidR="002D38E8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>un développement rapide, avec une croissance du chiffre d'affaires de l'ordre de 20 % par an.</w:t>
      </w:r>
    </w:p>
    <w:p w:rsidR="002D38E8" w:rsidRPr="001C2C1B" w:rsidRDefault="002D38E8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2ECF" w:rsidRPr="001C2C1B" w:rsidRDefault="00582EC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Ces derniers mois, la conjoncture est plus difficile sur ce secteur très concurrentiel, et a entraîné une</w:t>
      </w:r>
      <w:r w:rsidR="005B0D5F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>baisse sensible des prix. Néanmoins, son volume d'activité continue de croître, avec un chiffre d'affaires</w:t>
      </w:r>
      <w:r w:rsidR="002D38E8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>2011 qui s'élève à 10,2 millions d'euros.</w:t>
      </w:r>
    </w:p>
    <w:p w:rsidR="002D38E8" w:rsidRPr="001C2C1B" w:rsidRDefault="002D38E8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2ECF" w:rsidRPr="001C2C1B" w:rsidRDefault="00582ECF" w:rsidP="002D38E8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Pour les années à venir, les dirigeants de la société THERMOCLIM pensent pouvoir maintenir une</w:t>
      </w:r>
      <w:r w:rsidR="005B0D5F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>croissance à deux chiffres en renforçant ses positions sur les marchés actuels et en étendant ses</w:t>
      </w:r>
      <w:r w:rsidR="005B0D5F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>activités dans le sud-est. Cependant, ils s'interrogent sur le financement de ce développement car la</w:t>
      </w:r>
      <w:r w:rsidR="005B0D5F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>trésorerie de l'entreprise s'est considérablement dégradée au cours du dernier exercice. Ils vous</w:t>
      </w:r>
      <w:r w:rsidR="002D38E8" w:rsidRPr="001C2C1B">
        <w:rPr>
          <w:rFonts w:ascii="Times New Roman" w:hAnsi="Times New Roman"/>
          <w:sz w:val="20"/>
          <w:szCs w:val="20"/>
        </w:rPr>
        <w:t xml:space="preserve"> </w:t>
      </w:r>
      <w:r w:rsidRPr="001C2C1B">
        <w:rPr>
          <w:rFonts w:ascii="Times New Roman" w:hAnsi="Times New Roman"/>
          <w:sz w:val="20"/>
          <w:szCs w:val="20"/>
        </w:rPr>
        <w:t>demandent d'analyser l'évolution de l'activité et de la structure financière de l'entreprise.</w:t>
      </w:r>
    </w:p>
    <w:p w:rsidR="002D38E8" w:rsidRPr="001C2C1B" w:rsidRDefault="002D38E8" w:rsidP="00582ECF">
      <w:pPr>
        <w:ind w:left="709" w:right="425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82ECF" w:rsidRPr="001C2C1B" w:rsidRDefault="00582ECF" w:rsidP="00582ECF">
      <w:pPr>
        <w:ind w:left="709" w:right="425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Travail à faire</w:t>
      </w:r>
    </w:p>
    <w:p w:rsidR="00582ECF" w:rsidRPr="001C2C1B" w:rsidRDefault="00582ECF" w:rsidP="00582ECF">
      <w:pPr>
        <w:ind w:left="709" w:right="425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582ECF" w:rsidRPr="001C2C1B" w:rsidRDefault="00582EC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C2C1B">
        <w:rPr>
          <w:rFonts w:ascii="Times New Roman" w:hAnsi="Times New Roman"/>
          <w:b/>
          <w:bCs/>
          <w:i/>
          <w:iCs/>
          <w:sz w:val="20"/>
          <w:szCs w:val="20"/>
        </w:rPr>
        <w:t>À l’aide des annexes 1 à 5,</w:t>
      </w:r>
    </w:p>
    <w:p w:rsidR="00582ECF" w:rsidRPr="001C2C1B" w:rsidRDefault="00582EC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582ECF" w:rsidRPr="001C2C1B" w:rsidRDefault="00582ECF" w:rsidP="00582EC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Compléter le tableau de financement de l'exercice 2011 (annexe A à rendre avec la copie).</w:t>
      </w:r>
    </w:p>
    <w:p w:rsidR="00582ECF" w:rsidRPr="001C2C1B" w:rsidRDefault="00582ECF" w:rsidP="00FA25D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82ECF" w:rsidRPr="001C2C1B" w:rsidRDefault="00582ECF" w:rsidP="005B0D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2. Compléter le tableau de calcul de ratios pour l'exercice 2011 (annexe B à rendre avec la</w:t>
      </w:r>
      <w:r w:rsidR="005B0D5F" w:rsidRPr="001C2C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2C1B">
        <w:rPr>
          <w:rFonts w:ascii="Times New Roman" w:hAnsi="Times New Roman"/>
          <w:b/>
          <w:bCs/>
          <w:sz w:val="20"/>
          <w:szCs w:val="20"/>
        </w:rPr>
        <w:t>copie).</w:t>
      </w:r>
    </w:p>
    <w:p w:rsidR="005B0D5F" w:rsidRPr="001C2C1B" w:rsidRDefault="005B0D5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82ECF" w:rsidRPr="001C2C1B" w:rsidRDefault="00582EC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3. Calculer le flux de trésorerie interne du tableau des flux de la centrale des bilans de la</w:t>
      </w:r>
    </w:p>
    <w:p w:rsidR="00582ECF" w:rsidRPr="001C2C1B" w:rsidRDefault="00582EC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Banque de France en complétant l'annexe C (à rendre avec la copie).</w:t>
      </w:r>
    </w:p>
    <w:p w:rsidR="005B0D5F" w:rsidRPr="001C2C1B" w:rsidRDefault="005B0D5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82ECF" w:rsidRPr="001C2C1B" w:rsidRDefault="00582EC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4. Montrer l’intérêt de la notion de flux interne utilisée dans le tableau des flux de la centrale des</w:t>
      </w:r>
      <w:r w:rsidR="005B0D5F" w:rsidRPr="001C2C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2C1B">
        <w:rPr>
          <w:rFonts w:ascii="Times New Roman" w:hAnsi="Times New Roman"/>
          <w:b/>
          <w:bCs/>
          <w:sz w:val="20"/>
          <w:szCs w:val="20"/>
        </w:rPr>
        <w:t>bilans de la Banque de France.</w:t>
      </w:r>
    </w:p>
    <w:p w:rsidR="005B0D5F" w:rsidRPr="001C2C1B" w:rsidRDefault="005B0D5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82ECF" w:rsidRPr="001C2C1B" w:rsidRDefault="00582EC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5. Présenter un diagnostic structuré, d'environ une page, de la société THERMOCLIM en</w:t>
      </w:r>
      <w:r w:rsidR="005B0D5F" w:rsidRPr="001C2C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2C1B">
        <w:rPr>
          <w:rFonts w:ascii="Times New Roman" w:hAnsi="Times New Roman"/>
          <w:b/>
          <w:bCs/>
          <w:sz w:val="20"/>
          <w:szCs w:val="20"/>
        </w:rPr>
        <w:t>utilisant les résultats des questions précédentes. Ce diagnostic mettra en évidence les points</w:t>
      </w:r>
      <w:r w:rsidR="005B0D5F" w:rsidRPr="001C2C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2C1B">
        <w:rPr>
          <w:rFonts w:ascii="Times New Roman" w:hAnsi="Times New Roman"/>
          <w:b/>
          <w:bCs/>
          <w:sz w:val="20"/>
          <w:szCs w:val="20"/>
        </w:rPr>
        <w:t>suivants :</w:t>
      </w:r>
      <w:r w:rsidR="005B0D5F" w:rsidRPr="001C2C1B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B0D5F" w:rsidRPr="001C2C1B" w:rsidRDefault="005B0D5F" w:rsidP="00582E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82ECF" w:rsidRPr="001C2C1B" w:rsidRDefault="00582ECF" w:rsidP="005B0D5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- évolution de la profitabilité ;</w:t>
      </w:r>
    </w:p>
    <w:p w:rsidR="00582ECF" w:rsidRPr="001C2C1B" w:rsidRDefault="00582ECF" w:rsidP="005B0D5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- évolution de l'équilibre financier ;</w:t>
      </w:r>
    </w:p>
    <w:p w:rsidR="00582ECF" w:rsidRPr="001C2C1B" w:rsidRDefault="00582ECF" w:rsidP="005B0D5F">
      <w:pPr>
        <w:ind w:left="426" w:right="425"/>
        <w:rPr>
          <w:rFonts w:ascii="Times New Roman" w:hAnsi="Times New Roman"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- évolution de la trésorerie.</w:t>
      </w:r>
    </w:p>
    <w:p w:rsidR="002B301B" w:rsidRPr="001C2C1B" w:rsidRDefault="002B301B" w:rsidP="002B301B">
      <w:pPr>
        <w:ind w:left="709" w:right="-851"/>
        <w:rPr>
          <w:rFonts w:ascii="Times New Roman" w:hAnsi="Times New Roman"/>
          <w:sz w:val="20"/>
          <w:szCs w:val="20"/>
        </w:rPr>
      </w:pPr>
    </w:p>
    <w:p w:rsidR="002B301B" w:rsidRPr="001C2C1B" w:rsidRDefault="002B301B" w:rsidP="002B301B">
      <w:pPr>
        <w:ind w:left="709" w:right="-851"/>
        <w:rPr>
          <w:rFonts w:ascii="Times New Roman" w:hAnsi="Times New Roman"/>
          <w:sz w:val="20"/>
          <w:szCs w:val="20"/>
        </w:rPr>
      </w:pPr>
    </w:p>
    <w:p w:rsidR="00B15C9E" w:rsidRPr="001C2C1B" w:rsidRDefault="00B15C9E">
      <w:pPr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br w:type="page"/>
      </w:r>
    </w:p>
    <w:p w:rsidR="002B301B" w:rsidRPr="001C2C1B" w:rsidRDefault="002B301B" w:rsidP="002B301B">
      <w:pPr>
        <w:ind w:left="709" w:right="-851"/>
        <w:rPr>
          <w:rFonts w:ascii="Times New Roman" w:hAnsi="Times New Roman"/>
          <w:sz w:val="20"/>
          <w:szCs w:val="20"/>
        </w:rPr>
      </w:pPr>
    </w:p>
    <w:p w:rsidR="002B301B" w:rsidRPr="001C2C1B" w:rsidRDefault="008E3F5A" w:rsidP="008E3F5A">
      <w:pPr>
        <w:tabs>
          <w:tab w:val="left" w:pos="7797"/>
        </w:tabs>
        <w:ind w:left="709" w:right="1134"/>
        <w:jc w:val="center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b/>
          <w:bCs/>
          <w:sz w:val="24"/>
          <w:szCs w:val="24"/>
          <w:bdr w:val="single" w:sz="4" w:space="0" w:color="auto"/>
        </w:rPr>
        <w:t xml:space="preserve">DOSSIER 2 – PROJET D’INVESTISSEMENT                      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301B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 xml:space="preserve">La société SUPIBEN envisage de diversifier sa production en fabriquant un nouveau produit. Les modalités de l'investissement et de son financement ainsi que les prévisions d’exploitation sont présentées en </w:t>
      </w:r>
      <w:r w:rsidRPr="001C2C1B">
        <w:rPr>
          <w:rFonts w:ascii="Times New Roman" w:hAnsi="Times New Roman"/>
          <w:b/>
          <w:bCs/>
          <w:sz w:val="20"/>
          <w:szCs w:val="20"/>
        </w:rPr>
        <w:t>annexe 6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Travail à faire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C2C1B">
        <w:rPr>
          <w:rFonts w:ascii="Times New Roman" w:hAnsi="Times New Roman"/>
          <w:b/>
          <w:bCs/>
          <w:i/>
          <w:iCs/>
          <w:sz w:val="20"/>
          <w:szCs w:val="20"/>
        </w:rPr>
        <w:t>À l’aide de l’annexe 6,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1. Calculer le seuil de rentabilité d'exploitation, l'indice de sécurité (ou taux de marge de sécurité) et</w:t>
      </w:r>
    </w:p>
    <w:p w:rsidR="008E3F5A" w:rsidRPr="001C2C1B" w:rsidRDefault="008E3F5A" w:rsidP="001C2C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C2C1B">
        <w:rPr>
          <w:rFonts w:ascii="Times New Roman" w:hAnsi="Times New Roman"/>
          <w:b/>
          <w:bCs/>
          <w:sz w:val="20"/>
          <w:szCs w:val="20"/>
        </w:rPr>
        <w:t>le</w:t>
      </w:r>
      <w:proofErr w:type="gramEnd"/>
      <w:r w:rsidRPr="001C2C1B">
        <w:rPr>
          <w:rFonts w:ascii="Times New Roman" w:hAnsi="Times New Roman"/>
          <w:b/>
          <w:bCs/>
          <w:sz w:val="20"/>
          <w:szCs w:val="20"/>
        </w:rPr>
        <w:t xml:space="preserve"> levier d'exploitation (ou levier opérationnel).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E3F5A" w:rsidRPr="001C2C1B" w:rsidRDefault="008E3F5A" w:rsidP="008E3F5A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2.</w:t>
      </w:r>
      <w:r w:rsidR="002D38E8" w:rsidRPr="001C2C1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2C1B">
        <w:rPr>
          <w:rFonts w:ascii="Times New Roman" w:hAnsi="Times New Roman"/>
          <w:b/>
          <w:bCs/>
          <w:sz w:val="20"/>
          <w:szCs w:val="20"/>
        </w:rPr>
        <w:t>Commenter les résultats obtenus en précisant la signification et l'intérêt de chacun de ces calculs.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3. Déterminer la valeur actuelle nette en justifiant le choix du taux d'actualisation, puis le taux</w:t>
      </w:r>
    </w:p>
    <w:p w:rsidR="008E3F5A" w:rsidRPr="001C2C1B" w:rsidRDefault="008E3F5A" w:rsidP="001C2C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C2C1B">
        <w:rPr>
          <w:rFonts w:ascii="Times New Roman" w:hAnsi="Times New Roman"/>
          <w:b/>
          <w:bCs/>
          <w:sz w:val="20"/>
          <w:szCs w:val="20"/>
        </w:rPr>
        <w:t>interne</w:t>
      </w:r>
      <w:proofErr w:type="gramEnd"/>
      <w:r w:rsidRPr="001C2C1B">
        <w:rPr>
          <w:rFonts w:ascii="Times New Roman" w:hAnsi="Times New Roman"/>
          <w:b/>
          <w:bCs/>
          <w:sz w:val="20"/>
          <w:szCs w:val="20"/>
        </w:rPr>
        <w:t xml:space="preserve"> de rentabilité du projet.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4. Conclure sur l'opportunité de ce projet.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3F5A" w:rsidRPr="001C2C1B" w:rsidRDefault="008E3F5A" w:rsidP="008E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C1B">
        <w:rPr>
          <w:rFonts w:ascii="Times New Roman" w:hAnsi="Times New Roman"/>
          <w:b/>
          <w:bCs/>
          <w:sz w:val="24"/>
          <w:szCs w:val="24"/>
        </w:rPr>
        <w:t>DOSSIER 3 – GESTION DU RISQUE DE CHANGE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La société CROQUE est implantée dans la région toulousaine. Elle est spécialisée dans la conception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C2C1B">
        <w:rPr>
          <w:rFonts w:ascii="Times New Roman" w:hAnsi="Times New Roman"/>
          <w:sz w:val="20"/>
          <w:szCs w:val="20"/>
        </w:rPr>
        <w:t>et</w:t>
      </w:r>
      <w:proofErr w:type="gramEnd"/>
      <w:r w:rsidRPr="001C2C1B">
        <w:rPr>
          <w:rFonts w:ascii="Times New Roman" w:hAnsi="Times New Roman"/>
          <w:sz w:val="20"/>
          <w:szCs w:val="20"/>
        </w:rPr>
        <w:t xml:space="preserve"> la fabrication de moules en polyester destinés à l'industrie.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Sa spécialisation l'a conduite à réaliser une part importante de son activité avec des sociétés hors zone euro.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Elle est ainsi exposée au risque de change à la fois sur une partie de ses ventes et de ses achats.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F5A" w:rsidRPr="001C2C1B" w:rsidRDefault="008E3F5A" w:rsidP="00CF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Première partie - Position de change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Travail à faire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C2C1B">
        <w:rPr>
          <w:rFonts w:ascii="Times New Roman" w:hAnsi="Times New Roman"/>
          <w:b/>
          <w:bCs/>
          <w:i/>
          <w:iCs/>
          <w:sz w:val="20"/>
          <w:szCs w:val="20"/>
        </w:rPr>
        <w:t>À l’aide de l’annexe 7,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1. Déterminer et caractériser la position de change de l'entreprise en USD (dollar américain) à</w:t>
      </w:r>
    </w:p>
    <w:p w:rsidR="008E3F5A" w:rsidRPr="001C2C1B" w:rsidRDefault="008E3F5A" w:rsidP="001C2C1B">
      <w:pPr>
        <w:autoSpaceDE w:val="0"/>
        <w:autoSpaceDN w:val="0"/>
        <w:adjustRightInd w:val="0"/>
        <w:spacing w:after="0" w:line="240" w:lineRule="auto"/>
        <w:ind w:left="142" w:right="-284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C2C1B">
        <w:rPr>
          <w:rFonts w:ascii="Times New Roman" w:hAnsi="Times New Roman"/>
          <w:b/>
          <w:bCs/>
          <w:sz w:val="20"/>
          <w:szCs w:val="20"/>
        </w:rPr>
        <w:t>l'échéance</w:t>
      </w:r>
      <w:proofErr w:type="gramEnd"/>
      <w:r w:rsidRPr="001C2C1B">
        <w:rPr>
          <w:rFonts w:ascii="Times New Roman" w:hAnsi="Times New Roman"/>
          <w:b/>
          <w:bCs/>
          <w:sz w:val="20"/>
          <w:szCs w:val="20"/>
        </w:rPr>
        <w:t xml:space="preserve"> du 31 mars 2012.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bCs/>
          <w:sz w:val="20"/>
          <w:szCs w:val="20"/>
        </w:rPr>
      </w:pPr>
    </w:p>
    <w:p w:rsidR="008E3F5A" w:rsidRPr="001C2C1B" w:rsidRDefault="008E3F5A" w:rsidP="001C2C1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b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2. Déterminer la nature du risque encouru par l'entreprise et le type de couverture adaptée.</w:t>
      </w:r>
    </w:p>
    <w:p w:rsidR="008E3F5A" w:rsidRPr="001C2C1B" w:rsidRDefault="008E3F5A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E3F5A" w:rsidRPr="001C2C1B" w:rsidRDefault="008E3F5A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Deuxième partie – Choix d’une couverture</w:t>
      </w:r>
    </w:p>
    <w:p w:rsidR="008E3F5A" w:rsidRPr="001C2C1B" w:rsidRDefault="008E3F5A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 15 décembre 2011, la société CROQUE signe un contrat commercial avec un client anglais à échéance du 15 février 2012, d'un montant de 150 000 GBP (livre britannique).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Travail à faire</w:t>
      </w: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3F5A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proofErr w:type="gramStart"/>
      <w:r w:rsidRPr="001C2C1B">
        <w:rPr>
          <w:rFonts w:ascii="Times New Roman" w:hAnsi="Times New Roman"/>
          <w:b/>
          <w:bCs/>
          <w:i/>
          <w:iCs/>
          <w:sz w:val="20"/>
          <w:szCs w:val="20"/>
        </w:rPr>
        <w:t>l’aide</w:t>
      </w:r>
      <w:proofErr w:type="gramEnd"/>
      <w:r w:rsidRPr="001C2C1B">
        <w:rPr>
          <w:rFonts w:ascii="Times New Roman" w:hAnsi="Times New Roman"/>
          <w:b/>
          <w:bCs/>
          <w:i/>
          <w:iCs/>
          <w:sz w:val="20"/>
          <w:szCs w:val="20"/>
        </w:rPr>
        <w:t xml:space="preserve"> de l’annexe 8,</w:t>
      </w:r>
    </w:p>
    <w:p w:rsidR="001C2C1B" w:rsidRPr="001C2C1B" w:rsidRDefault="001C2C1B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E3F5A" w:rsidRPr="001C2C1B" w:rsidRDefault="008E3F5A" w:rsidP="008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1. Chiffrer l'équivalent en euros encaissé le 15 février 2012 et le résultat de la couverture pour</w:t>
      </w:r>
    </w:p>
    <w:p w:rsidR="008E3F5A" w:rsidRPr="001C2C1B" w:rsidRDefault="008E3F5A" w:rsidP="001C2C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1C2C1B">
        <w:rPr>
          <w:rFonts w:ascii="Times New Roman" w:hAnsi="Times New Roman"/>
          <w:b/>
          <w:bCs/>
          <w:sz w:val="20"/>
          <w:szCs w:val="20"/>
        </w:rPr>
        <w:t>chacune</w:t>
      </w:r>
      <w:proofErr w:type="gramEnd"/>
      <w:r w:rsidRPr="001C2C1B">
        <w:rPr>
          <w:rFonts w:ascii="Times New Roman" w:hAnsi="Times New Roman"/>
          <w:b/>
          <w:bCs/>
          <w:sz w:val="20"/>
          <w:szCs w:val="20"/>
        </w:rPr>
        <w:t xml:space="preserve"> des politiques envisagées par le trésorier sur la base d'un cours au 15 février 2012 de :</w:t>
      </w:r>
    </w:p>
    <w:p w:rsidR="008E3F5A" w:rsidRDefault="008E3F5A" w:rsidP="001C2C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1 € = 0,838 GBP.</w:t>
      </w:r>
    </w:p>
    <w:p w:rsidR="001C2C1B" w:rsidRPr="001C2C1B" w:rsidRDefault="001C2C1B" w:rsidP="001C2C1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</w:p>
    <w:p w:rsidR="008E3F5A" w:rsidRPr="001C2C1B" w:rsidRDefault="008E3F5A" w:rsidP="001C2C1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Déterminer le cours à partir duquel il devient intéressant pour l'entreprise de lever l'option.</w:t>
      </w:r>
    </w:p>
    <w:p w:rsidR="001C2C1B" w:rsidRDefault="001C2C1B" w:rsidP="001C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C2C1B" w:rsidRDefault="001C2C1B" w:rsidP="001C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C2C1B" w:rsidRPr="001C2C1B" w:rsidRDefault="001C2C1B" w:rsidP="001C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F6F21" w:rsidRPr="001C2C1B" w:rsidRDefault="00CF6F21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Annexe 1 - Actif des bilans au 31 décembre 2010 et 2011</w:t>
      </w:r>
    </w:p>
    <w:p w:rsidR="00CF6F21" w:rsidRPr="001C2C1B" w:rsidRDefault="00CF6F21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3"/>
        <w:gridCol w:w="992"/>
        <w:gridCol w:w="709"/>
        <w:gridCol w:w="992"/>
        <w:gridCol w:w="992"/>
        <w:gridCol w:w="709"/>
        <w:gridCol w:w="992"/>
      </w:tblGrid>
      <w:tr w:rsidR="00314939" w:rsidRPr="00D040CC" w:rsidTr="00D040CC">
        <w:tc>
          <w:tcPr>
            <w:tcW w:w="4503" w:type="dxa"/>
            <w:gridSpan w:val="2"/>
            <w:vMerge w:val="restart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2011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2010</w:t>
            </w:r>
          </w:p>
        </w:tc>
      </w:tr>
      <w:tr w:rsidR="00404698" w:rsidRPr="00D040CC" w:rsidTr="00D040CC">
        <w:tc>
          <w:tcPr>
            <w:tcW w:w="4503" w:type="dxa"/>
            <w:gridSpan w:val="2"/>
            <w:vMerge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Brut</w:t>
            </w:r>
          </w:p>
        </w:tc>
        <w:tc>
          <w:tcPr>
            <w:tcW w:w="709" w:type="dxa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Amortissements</w:t>
            </w:r>
          </w:p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et dépréciations</w:t>
            </w:r>
          </w:p>
        </w:tc>
        <w:tc>
          <w:tcPr>
            <w:tcW w:w="992" w:type="dxa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Net</w:t>
            </w:r>
          </w:p>
        </w:tc>
        <w:tc>
          <w:tcPr>
            <w:tcW w:w="992" w:type="dxa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Brut</w:t>
            </w:r>
          </w:p>
        </w:tc>
        <w:tc>
          <w:tcPr>
            <w:tcW w:w="709" w:type="dxa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Amortissements</w:t>
            </w:r>
          </w:p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et dépréciations</w:t>
            </w:r>
          </w:p>
        </w:tc>
        <w:tc>
          <w:tcPr>
            <w:tcW w:w="992" w:type="dxa"/>
            <w:shd w:val="clear" w:color="auto" w:fill="auto"/>
          </w:tcPr>
          <w:p w:rsidR="00314939" w:rsidRPr="00D040CC" w:rsidRDefault="00314939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Net</w:t>
            </w:r>
          </w:p>
        </w:tc>
      </w:tr>
      <w:tr w:rsidR="00404698" w:rsidRPr="00D040CC" w:rsidTr="00D040CC">
        <w:tc>
          <w:tcPr>
            <w:tcW w:w="250" w:type="dxa"/>
            <w:vMerge w:val="restart"/>
            <w:shd w:val="clear" w:color="auto" w:fill="auto"/>
            <w:textDirection w:val="btLr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ACTIF IMMOBILISE  </w:t>
            </w: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ACTIF CIRCULANT</w:t>
            </w: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 xml:space="preserve">Capital souscrit non appelé                                   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0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Immobilisations incorporelles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Frais d'établissements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Frais de recherche et développement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Concessions, brevets, licences …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33 077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1 343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31 734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Fonds commercial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immobilisations incorporelles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Immobilisations incorporelles en cours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Avances et acomptes sur immobilisations incorporelles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Immobilisations corporelles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Terrains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Constructions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Installations techniques, matériel et outillage industriels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80 148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26 393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53 755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35 252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22 260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12 992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immobilisations corporelles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376 695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58 083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318 612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227 907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26 662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201 245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Immobilisations en cours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Avances et acomptes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Immobilisations financières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Participations évaluées par équivalence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participations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Créances rattachées à des participations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Titres immobilisés de l'activité de portefeuille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titres immobilisés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1 955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1 955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1 955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1 955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Prêts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32 600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32 600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12 600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12 600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immobilisations financières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 w:val="restart"/>
            <w:shd w:val="clear" w:color="auto" w:fill="auto"/>
            <w:textDirection w:val="btLr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ACTIF CIRCULANT</w:t>
            </w: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524 475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85 819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438 656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277 714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48 922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228 792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Stocks et en-cours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Matières premières, approvisionnements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63 610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63 610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37 288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37 288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En cours de production de biens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En cours de production de services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Produits intermédiaires et finis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Marchandises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Avances et acomptes versés sur commandes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Créances d'exploitation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Créances clients et comptes rattachés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1 492 442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8 510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1 492 442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997 961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997 961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créances d'exploitation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259 187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259 187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219 179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219 179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Capital souscrit et appelé, non versé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Valeurs mobilières de placement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Actions propres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titres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Disponibilités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64 834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64 834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94 786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94 786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Charges constatées d'avance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56 328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56 328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16 433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16 433</w:t>
            </w: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1 936 401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8 510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1 927 891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1 365 647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1 365 647</w:t>
            </w:r>
          </w:p>
        </w:tc>
      </w:tr>
      <w:tr w:rsidR="00404698" w:rsidRPr="00D040CC" w:rsidTr="00D040CC">
        <w:trPr>
          <w:trHeight w:val="216"/>
        </w:trPr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Frais d'émission d'emprunt à étaler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6A6A6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6A6A6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Primes de remboursement des obligations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6A6A6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6A6A6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 xml:space="preserve">Ecarts de conversion </w:t>
            </w:r>
            <w:proofErr w:type="gramStart"/>
            <w:r w:rsidRPr="00D040CC">
              <w:rPr>
                <w:rFonts w:ascii="Times New Roman" w:hAnsi="Times New Roman"/>
                <w:sz w:val="16"/>
                <w:szCs w:val="16"/>
              </w:rPr>
              <w:t>actif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6 266</w:t>
            </w:r>
          </w:p>
        </w:tc>
        <w:tc>
          <w:tcPr>
            <w:tcW w:w="709" w:type="dxa"/>
            <w:shd w:val="clear" w:color="auto" w:fill="A6A6A6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/>
                <w:sz w:val="20"/>
                <w:szCs w:val="20"/>
                <w:highlight w:val="lightGray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6 266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6A6A6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250" w:type="dxa"/>
            <w:vMerge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3" w:type="dxa"/>
            <w:shd w:val="clear" w:color="auto" w:fill="auto"/>
          </w:tcPr>
          <w:p w:rsidR="00C5570E" w:rsidRPr="00D040CC" w:rsidRDefault="00C5570E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GENERAL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2 467 142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94 329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2 372 813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1 643 361</w:t>
            </w:r>
          </w:p>
        </w:tc>
        <w:tc>
          <w:tcPr>
            <w:tcW w:w="709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48 922</w:t>
            </w:r>
          </w:p>
        </w:tc>
        <w:tc>
          <w:tcPr>
            <w:tcW w:w="992" w:type="dxa"/>
            <w:shd w:val="clear" w:color="auto" w:fill="auto"/>
          </w:tcPr>
          <w:p w:rsidR="00C5570E" w:rsidRPr="00D040CC" w:rsidRDefault="00DA2EB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1 594 439</w:t>
            </w:r>
          </w:p>
        </w:tc>
      </w:tr>
    </w:tbl>
    <w:p w:rsidR="00CF6F21" w:rsidRPr="001C2C1B" w:rsidRDefault="00CF6F21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20A5" w:rsidRPr="001C2C1B" w:rsidRDefault="001820A5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20A5" w:rsidRPr="001C2C1B" w:rsidRDefault="001820A5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20A5" w:rsidRPr="001C2C1B" w:rsidRDefault="001820A5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20A5" w:rsidRPr="001C2C1B" w:rsidRDefault="001820A5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20A5" w:rsidRPr="001C2C1B" w:rsidRDefault="001820A5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20A5" w:rsidRPr="001C2C1B" w:rsidRDefault="001820A5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20A5" w:rsidRPr="001C2C1B" w:rsidRDefault="003C2E5F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Annexe 2 – Passif des bilans au 31 décembre 2010 et 2011</w:t>
      </w:r>
    </w:p>
    <w:p w:rsidR="003C2E5F" w:rsidRPr="001C2C1B" w:rsidRDefault="003C2E5F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552"/>
        <w:gridCol w:w="2409"/>
        <w:gridCol w:w="2376"/>
      </w:tblGrid>
      <w:tr w:rsidR="003C2E5F" w:rsidRPr="00D040CC" w:rsidTr="00D040CC">
        <w:tc>
          <w:tcPr>
            <w:tcW w:w="4503" w:type="dxa"/>
            <w:gridSpan w:val="2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PASSIF (avant répartition)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2011</w:t>
            </w: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2010</w:t>
            </w:r>
          </w:p>
        </w:tc>
      </w:tr>
      <w:tr w:rsidR="00404698" w:rsidRPr="00D040CC" w:rsidTr="00D040CC">
        <w:tc>
          <w:tcPr>
            <w:tcW w:w="951" w:type="dxa"/>
            <w:vMerge w:val="restart"/>
            <w:shd w:val="clear" w:color="auto" w:fill="auto"/>
            <w:textDirection w:val="btLr"/>
          </w:tcPr>
          <w:p w:rsidR="003C2E5F" w:rsidRPr="00D040CC" w:rsidRDefault="00CE657C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CAPITAUX PROPRES</w:t>
            </w:r>
          </w:p>
        </w:tc>
        <w:tc>
          <w:tcPr>
            <w:tcW w:w="3552" w:type="dxa"/>
            <w:shd w:val="clear" w:color="auto" w:fill="auto"/>
          </w:tcPr>
          <w:p w:rsidR="003C2E5F" w:rsidRPr="00D040CC" w:rsidRDefault="00CE657C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Capital social ou individuel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400 000</w:t>
            </w:r>
          </w:p>
        </w:tc>
        <w:tc>
          <w:tcPr>
            <w:tcW w:w="2376" w:type="dxa"/>
            <w:shd w:val="clear" w:color="auto" w:fill="auto"/>
          </w:tcPr>
          <w:p w:rsidR="003C2E5F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200 000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CE657C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Primes d'émission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CE657C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Ecarts de réévaluation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CE657C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Ecarts d'équivalence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CE657C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Réserves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CE657C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Réserve légale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2376" w:type="dxa"/>
            <w:shd w:val="clear" w:color="auto" w:fill="auto"/>
          </w:tcPr>
          <w:p w:rsidR="003C2E5F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4 000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Réserves statutaires ou contractuelles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378 929</w:t>
            </w:r>
          </w:p>
        </w:tc>
        <w:tc>
          <w:tcPr>
            <w:tcW w:w="2376" w:type="dxa"/>
            <w:shd w:val="clear" w:color="auto" w:fill="auto"/>
          </w:tcPr>
          <w:p w:rsidR="003C2E5F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335 643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Réserves réglementées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Report à nouveau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Résultat de l'exercice (bénéfice ou perte)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78 826</w:t>
            </w:r>
          </w:p>
        </w:tc>
        <w:tc>
          <w:tcPr>
            <w:tcW w:w="2376" w:type="dxa"/>
            <w:shd w:val="clear" w:color="auto" w:fill="auto"/>
          </w:tcPr>
          <w:p w:rsidR="003C2E5F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359 286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Subventions d'investissement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10 000</w:t>
            </w:r>
          </w:p>
        </w:tc>
        <w:tc>
          <w:tcPr>
            <w:tcW w:w="2376" w:type="dxa"/>
            <w:shd w:val="clear" w:color="auto" w:fill="auto"/>
          </w:tcPr>
          <w:p w:rsidR="003C2E5F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2 000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Provisions réglementées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3C2E5F" w:rsidRPr="00D040CC" w:rsidRDefault="003C2E5F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3C2E5F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2409" w:type="dxa"/>
            <w:shd w:val="clear" w:color="auto" w:fill="auto"/>
          </w:tcPr>
          <w:p w:rsidR="003C2E5F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887 755</w:t>
            </w:r>
          </w:p>
        </w:tc>
        <w:tc>
          <w:tcPr>
            <w:tcW w:w="2376" w:type="dxa"/>
            <w:shd w:val="clear" w:color="auto" w:fill="auto"/>
          </w:tcPr>
          <w:p w:rsidR="003C2E5F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900 929</w:t>
            </w:r>
          </w:p>
        </w:tc>
      </w:tr>
      <w:tr w:rsidR="00404698" w:rsidRPr="00D040CC" w:rsidTr="00D040CC">
        <w:tc>
          <w:tcPr>
            <w:tcW w:w="951" w:type="dxa"/>
            <w:vMerge w:val="restart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Autres</w:t>
            </w:r>
          </w:p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fond</w:t>
            </w:r>
          </w:p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propres </w:t>
            </w:r>
          </w:p>
        </w:tc>
        <w:tc>
          <w:tcPr>
            <w:tcW w:w="3552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Produit des émissions de titres participatifs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Avances conditionnées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I bis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04698" w:rsidRPr="00D040CC" w:rsidTr="00D040CC">
        <w:trPr>
          <w:trHeight w:val="284"/>
        </w:trPr>
        <w:tc>
          <w:tcPr>
            <w:tcW w:w="951" w:type="dxa"/>
            <w:vMerge w:val="restart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Provision</w:t>
            </w:r>
          </w:p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pour</w:t>
            </w:r>
          </w:p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risques</w:t>
            </w:r>
          </w:p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et charges</w:t>
            </w:r>
          </w:p>
        </w:tc>
        <w:tc>
          <w:tcPr>
            <w:tcW w:w="3552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Provisions pour risques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24 591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18 325</w:t>
            </w:r>
          </w:p>
        </w:tc>
      </w:tr>
      <w:tr w:rsidR="00404698" w:rsidRPr="00D040CC" w:rsidTr="00D040CC">
        <w:trPr>
          <w:trHeight w:val="284"/>
        </w:trPr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Provisions pour charges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84"/>
        </w:trPr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24 591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18 325</w:t>
            </w:r>
          </w:p>
        </w:tc>
      </w:tr>
      <w:tr w:rsidR="00404698" w:rsidRPr="00D040CC" w:rsidTr="00D040CC">
        <w:tc>
          <w:tcPr>
            <w:tcW w:w="951" w:type="dxa"/>
            <w:vMerge w:val="restart"/>
            <w:shd w:val="clear" w:color="auto" w:fill="auto"/>
            <w:textDirection w:val="btLr"/>
          </w:tcPr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DETTES</w:t>
            </w: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Dettes financières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Emprunts obligataires convertibles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emprunts obligataires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Emprunts et dettes auprès des établissements de crédit (1)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482 290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82 978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Emprunts et dettes financières divers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28 402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11 772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Avances et acomptes reçus sur commandes en cours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Dettes d'exploitation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Dettes fournisseurs et comptes rattachés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657 440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374 797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Dettes fiscales et sociales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247 795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114 308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dettes d'exploitation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Dettes diverses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Dettes sur immobilisations et comptes rattachés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8 926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Dettes fiscales (impôts sur les bénéfices)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4 230</w:t>
            </w: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dettes diverses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Instruments de trésorerie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951" w:type="dxa"/>
            <w:vMerge/>
            <w:shd w:val="clear" w:color="auto" w:fill="auto"/>
          </w:tcPr>
          <w:p w:rsidR="00241443" w:rsidRPr="00D040CC" w:rsidRDefault="0024144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Produits constatés d'avance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35 614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73 925</w:t>
            </w:r>
          </w:p>
        </w:tc>
      </w:tr>
      <w:tr w:rsidR="00241443" w:rsidRPr="00D040CC" w:rsidTr="00D040CC">
        <w:tc>
          <w:tcPr>
            <w:tcW w:w="4503" w:type="dxa"/>
            <w:gridSpan w:val="2"/>
            <w:shd w:val="clear" w:color="auto" w:fill="auto"/>
          </w:tcPr>
          <w:p w:rsidR="00241443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III</w:t>
            </w:r>
          </w:p>
        </w:tc>
        <w:tc>
          <w:tcPr>
            <w:tcW w:w="2409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1 460 467</w:t>
            </w:r>
          </w:p>
        </w:tc>
        <w:tc>
          <w:tcPr>
            <w:tcW w:w="2376" w:type="dxa"/>
            <w:shd w:val="clear" w:color="auto" w:fill="auto"/>
          </w:tcPr>
          <w:p w:rsidR="00241443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662 010</w:t>
            </w:r>
          </w:p>
        </w:tc>
      </w:tr>
      <w:tr w:rsidR="00404698" w:rsidRPr="00D040CC" w:rsidTr="00D040CC">
        <w:tc>
          <w:tcPr>
            <w:tcW w:w="951" w:type="dxa"/>
            <w:shd w:val="clear" w:color="auto" w:fill="auto"/>
          </w:tcPr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52" w:type="dxa"/>
            <w:shd w:val="clear" w:color="auto" w:fill="auto"/>
          </w:tcPr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 xml:space="preserve">Ecarts de conversion </w:t>
            </w:r>
            <w:proofErr w:type="gramStart"/>
            <w:r w:rsidRPr="00D040CC">
              <w:rPr>
                <w:rFonts w:ascii="Times New Roman" w:hAnsi="Times New Roman"/>
                <w:sz w:val="16"/>
                <w:szCs w:val="16"/>
              </w:rPr>
              <w:t>passif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:rsidR="00FF7CCE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13 175</w:t>
            </w:r>
          </w:p>
        </w:tc>
      </w:tr>
      <w:tr w:rsidR="00FF7CCE" w:rsidRPr="00D040CC" w:rsidTr="00D040CC">
        <w:tc>
          <w:tcPr>
            <w:tcW w:w="4503" w:type="dxa"/>
            <w:gridSpan w:val="2"/>
            <w:shd w:val="clear" w:color="auto" w:fill="auto"/>
          </w:tcPr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GENERAL</w:t>
            </w:r>
          </w:p>
        </w:tc>
        <w:tc>
          <w:tcPr>
            <w:tcW w:w="2409" w:type="dxa"/>
            <w:shd w:val="clear" w:color="auto" w:fill="auto"/>
          </w:tcPr>
          <w:p w:rsidR="00FF7CCE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2 372 813</w:t>
            </w:r>
          </w:p>
        </w:tc>
        <w:tc>
          <w:tcPr>
            <w:tcW w:w="2376" w:type="dxa"/>
            <w:shd w:val="clear" w:color="auto" w:fill="auto"/>
          </w:tcPr>
          <w:p w:rsidR="00FF7CCE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1 594 439</w:t>
            </w:r>
          </w:p>
        </w:tc>
      </w:tr>
      <w:tr w:rsidR="00404698" w:rsidRPr="00D040CC" w:rsidTr="00D040CC">
        <w:tc>
          <w:tcPr>
            <w:tcW w:w="951" w:type="dxa"/>
            <w:shd w:val="clear" w:color="auto" w:fill="auto"/>
          </w:tcPr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2" w:type="dxa"/>
            <w:shd w:val="clear" w:color="auto" w:fill="auto"/>
          </w:tcPr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(1) Dont concours bancaires courants,</w:t>
            </w:r>
          </w:p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et soldes créditeurs de banques et CCP</w:t>
            </w:r>
          </w:p>
        </w:tc>
        <w:tc>
          <w:tcPr>
            <w:tcW w:w="2409" w:type="dxa"/>
            <w:shd w:val="clear" w:color="auto" w:fill="auto"/>
          </w:tcPr>
          <w:p w:rsidR="00FF7CCE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289 884</w:t>
            </w:r>
          </w:p>
        </w:tc>
        <w:tc>
          <w:tcPr>
            <w:tcW w:w="2376" w:type="dxa"/>
            <w:shd w:val="clear" w:color="auto" w:fill="auto"/>
          </w:tcPr>
          <w:p w:rsidR="00FF7CCE" w:rsidRPr="00D040CC" w:rsidRDefault="00FF7CC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1820A5" w:rsidRPr="001C2C1B" w:rsidRDefault="001820A5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820A5" w:rsidRPr="001C2C1B" w:rsidRDefault="001820A5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C2C1B" w:rsidRDefault="001C2C1B" w:rsidP="00BC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C2C1B" w:rsidRDefault="001C2C1B" w:rsidP="00BC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C2C1B" w:rsidRDefault="001C2C1B" w:rsidP="00BC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C2C1B" w:rsidRDefault="001C2C1B" w:rsidP="00BC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C2C1B" w:rsidRDefault="001C2C1B" w:rsidP="00BC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B08CC" w:rsidRPr="001C2C1B" w:rsidRDefault="000B08CC" w:rsidP="00BC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Annexe 3 – Compte de résultat des exercices 2009, 2010 et 2011</w:t>
      </w:r>
    </w:p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42"/>
        <w:gridCol w:w="3827"/>
        <w:gridCol w:w="1276"/>
        <w:gridCol w:w="1134"/>
        <w:gridCol w:w="1307"/>
      </w:tblGrid>
      <w:tr w:rsidR="00404698" w:rsidRPr="00D040CC" w:rsidTr="00D040CC">
        <w:tc>
          <w:tcPr>
            <w:tcW w:w="675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0B08CC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Exercice 2011</w:t>
            </w:r>
          </w:p>
        </w:tc>
        <w:tc>
          <w:tcPr>
            <w:tcW w:w="1134" w:type="dxa"/>
            <w:shd w:val="clear" w:color="auto" w:fill="auto"/>
          </w:tcPr>
          <w:p w:rsidR="000B08CC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Exercice 2010</w:t>
            </w:r>
          </w:p>
        </w:tc>
        <w:tc>
          <w:tcPr>
            <w:tcW w:w="1307" w:type="dxa"/>
            <w:shd w:val="clear" w:color="auto" w:fill="auto"/>
          </w:tcPr>
          <w:p w:rsidR="000B08CC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Exercice 2009</w:t>
            </w:r>
          </w:p>
        </w:tc>
      </w:tr>
      <w:tr w:rsidR="00404698" w:rsidRPr="00D040CC" w:rsidTr="00D040CC">
        <w:tc>
          <w:tcPr>
            <w:tcW w:w="675" w:type="dxa"/>
            <w:vMerge w:val="restart"/>
            <w:shd w:val="clear" w:color="auto" w:fill="auto"/>
            <w:textDirection w:val="btLr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Produits d'exploitation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Ventes de marchandises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10 244 740</w:t>
            </w:r>
          </w:p>
        </w:tc>
        <w:tc>
          <w:tcPr>
            <w:tcW w:w="1134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7 988 397</w:t>
            </w:r>
          </w:p>
        </w:tc>
        <w:tc>
          <w:tcPr>
            <w:tcW w:w="1307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5 563 178</w:t>
            </w:r>
          </w:p>
        </w:tc>
      </w:tr>
      <w:tr w:rsidR="00404698" w:rsidRPr="00D040CC" w:rsidTr="00D040CC">
        <w:trPr>
          <w:trHeight w:val="187"/>
        </w:trPr>
        <w:tc>
          <w:tcPr>
            <w:tcW w:w="675" w:type="dxa"/>
            <w:vMerge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Production vendue (biens et services)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91"/>
        </w:trPr>
        <w:tc>
          <w:tcPr>
            <w:tcW w:w="675" w:type="dxa"/>
            <w:vMerge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Production stockée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675" w:type="dxa"/>
            <w:vMerge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Production immobilisée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39 000</w:t>
            </w:r>
          </w:p>
        </w:tc>
        <w:tc>
          <w:tcPr>
            <w:tcW w:w="1307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675" w:type="dxa"/>
            <w:vMerge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Subventions d'exploitation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7 769</w:t>
            </w:r>
          </w:p>
        </w:tc>
        <w:tc>
          <w:tcPr>
            <w:tcW w:w="1134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7 914</w:t>
            </w:r>
          </w:p>
        </w:tc>
        <w:tc>
          <w:tcPr>
            <w:tcW w:w="1307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6 633</w:t>
            </w:r>
          </w:p>
        </w:tc>
      </w:tr>
      <w:tr w:rsidR="00404698" w:rsidRPr="00D040CC" w:rsidTr="00D040CC">
        <w:tc>
          <w:tcPr>
            <w:tcW w:w="675" w:type="dxa"/>
            <w:vMerge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Reprises sur provisions, transfert de charges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675" w:type="dxa"/>
            <w:vMerge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Autres produits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829</w:t>
            </w:r>
          </w:p>
        </w:tc>
        <w:tc>
          <w:tcPr>
            <w:tcW w:w="1134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910</w:t>
            </w:r>
          </w:p>
        </w:tc>
        <w:tc>
          <w:tcPr>
            <w:tcW w:w="1307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404698" w:rsidRPr="00D040CC" w:rsidTr="00D040CC">
        <w:tc>
          <w:tcPr>
            <w:tcW w:w="675" w:type="dxa"/>
            <w:vMerge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Total I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10 253 338</w:t>
            </w:r>
          </w:p>
        </w:tc>
        <w:tc>
          <w:tcPr>
            <w:tcW w:w="1134" w:type="dxa"/>
            <w:shd w:val="clear" w:color="auto" w:fill="auto"/>
          </w:tcPr>
          <w:p w:rsidR="00B91C56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8 036 221</w:t>
            </w:r>
          </w:p>
        </w:tc>
        <w:tc>
          <w:tcPr>
            <w:tcW w:w="1307" w:type="dxa"/>
            <w:shd w:val="clear" w:color="auto" w:fill="auto"/>
          </w:tcPr>
          <w:p w:rsidR="00B91C56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5 569 817</w:t>
            </w: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Achats de marchandises</w:t>
            </w:r>
          </w:p>
        </w:tc>
        <w:tc>
          <w:tcPr>
            <w:tcW w:w="1276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Variation de stock de marchandises</w:t>
            </w:r>
          </w:p>
        </w:tc>
        <w:tc>
          <w:tcPr>
            <w:tcW w:w="1276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Achats de matières premières et approvisionnements</w:t>
            </w:r>
          </w:p>
        </w:tc>
        <w:tc>
          <w:tcPr>
            <w:tcW w:w="1276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3 982 489</w:t>
            </w:r>
          </w:p>
        </w:tc>
        <w:tc>
          <w:tcPr>
            <w:tcW w:w="1134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2 752 950</w:t>
            </w:r>
          </w:p>
        </w:tc>
        <w:tc>
          <w:tcPr>
            <w:tcW w:w="1307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1 822 147</w:t>
            </w: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Variation de stock de matières premières et approvisionnements</w:t>
            </w:r>
          </w:p>
        </w:tc>
        <w:tc>
          <w:tcPr>
            <w:tcW w:w="1276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-26 322</w:t>
            </w:r>
          </w:p>
        </w:tc>
        <w:tc>
          <w:tcPr>
            <w:tcW w:w="1134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-16 859</w:t>
            </w:r>
          </w:p>
        </w:tc>
        <w:tc>
          <w:tcPr>
            <w:tcW w:w="1307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11 753</w:t>
            </w: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Autres achats et charges externes</w:t>
            </w:r>
          </w:p>
        </w:tc>
        <w:tc>
          <w:tcPr>
            <w:tcW w:w="1276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3 983 073</w:t>
            </w:r>
          </w:p>
        </w:tc>
        <w:tc>
          <w:tcPr>
            <w:tcW w:w="1134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3 285 276</w:t>
            </w:r>
          </w:p>
        </w:tc>
        <w:tc>
          <w:tcPr>
            <w:tcW w:w="1307" w:type="dxa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2 210 224</w:t>
            </w: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Impôts, taxes et versements assimilés</w:t>
            </w:r>
          </w:p>
        </w:tc>
        <w:tc>
          <w:tcPr>
            <w:tcW w:w="1276" w:type="dxa"/>
            <w:shd w:val="clear" w:color="auto" w:fill="auto"/>
          </w:tcPr>
          <w:p w:rsidR="000B08CC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79 155</w:t>
            </w:r>
          </w:p>
        </w:tc>
        <w:tc>
          <w:tcPr>
            <w:tcW w:w="1134" w:type="dxa"/>
            <w:shd w:val="clear" w:color="auto" w:fill="auto"/>
          </w:tcPr>
          <w:p w:rsidR="000B08CC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58 996</w:t>
            </w:r>
          </w:p>
        </w:tc>
        <w:tc>
          <w:tcPr>
            <w:tcW w:w="1307" w:type="dxa"/>
            <w:shd w:val="clear" w:color="auto" w:fill="auto"/>
          </w:tcPr>
          <w:p w:rsidR="000B08CC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40 323</w:t>
            </w: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0B08CC" w:rsidRPr="00D040CC" w:rsidRDefault="000B08CC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0B08CC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Salaires et traitements</w:t>
            </w:r>
          </w:p>
        </w:tc>
        <w:tc>
          <w:tcPr>
            <w:tcW w:w="1276" w:type="dxa"/>
            <w:shd w:val="clear" w:color="auto" w:fill="auto"/>
          </w:tcPr>
          <w:p w:rsidR="000B08CC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1 281 434</w:t>
            </w:r>
          </w:p>
        </w:tc>
        <w:tc>
          <w:tcPr>
            <w:tcW w:w="1134" w:type="dxa"/>
            <w:shd w:val="clear" w:color="auto" w:fill="auto"/>
          </w:tcPr>
          <w:p w:rsidR="000B08CC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941 814</w:t>
            </w:r>
          </w:p>
        </w:tc>
        <w:tc>
          <w:tcPr>
            <w:tcW w:w="1307" w:type="dxa"/>
            <w:shd w:val="clear" w:color="auto" w:fill="auto"/>
          </w:tcPr>
          <w:p w:rsidR="000B08CC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684 944</w:t>
            </w: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9E321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Charges sociales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770 598</w:t>
            </w:r>
          </w:p>
        </w:tc>
        <w:tc>
          <w:tcPr>
            <w:tcW w:w="1134" w:type="dxa"/>
            <w:shd w:val="clear" w:color="auto" w:fill="auto"/>
          </w:tcPr>
          <w:p w:rsidR="00B91C56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597 230</w:t>
            </w:r>
          </w:p>
        </w:tc>
        <w:tc>
          <w:tcPr>
            <w:tcW w:w="1307" w:type="dxa"/>
            <w:shd w:val="clear" w:color="auto" w:fill="auto"/>
          </w:tcPr>
          <w:p w:rsidR="00B91C56" w:rsidRPr="00D040CC" w:rsidRDefault="00DE555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415 428</w:t>
            </w:r>
          </w:p>
        </w:tc>
      </w:tr>
      <w:tr w:rsidR="00404698" w:rsidRPr="00D040CC" w:rsidTr="00D040CC">
        <w:trPr>
          <w:trHeight w:val="64"/>
        </w:trPr>
        <w:tc>
          <w:tcPr>
            <w:tcW w:w="675" w:type="dxa"/>
            <w:vMerge w:val="restart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Dotations</w:t>
            </w:r>
          </w:p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4"/>
                <w:szCs w:val="14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d'exploitation</w:t>
            </w:r>
          </w:p>
        </w:tc>
        <w:tc>
          <w:tcPr>
            <w:tcW w:w="382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ind w:right="-81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Sur immobilisations : dotations aux amortissements</w:t>
            </w:r>
          </w:p>
        </w:tc>
        <w:tc>
          <w:tcPr>
            <w:tcW w:w="1276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46 062</w:t>
            </w:r>
          </w:p>
        </w:tc>
        <w:tc>
          <w:tcPr>
            <w:tcW w:w="1134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26 025</w:t>
            </w:r>
          </w:p>
        </w:tc>
        <w:tc>
          <w:tcPr>
            <w:tcW w:w="130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16 273</w:t>
            </w:r>
          </w:p>
        </w:tc>
      </w:tr>
      <w:tr w:rsidR="00404698" w:rsidRPr="00D040CC" w:rsidTr="00D040CC">
        <w:trPr>
          <w:trHeight w:val="63"/>
        </w:trPr>
        <w:tc>
          <w:tcPr>
            <w:tcW w:w="675" w:type="dxa"/>
            <w:vMerge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Sur immobilisations : dotations aux dépréciations</w:t>
            </w:r>
          </w:p>
        </w:tc>
        <w:tc>
          <w:tcPr>
            <w:tcW w:w="1276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63"/>
        </w:trPr>
        <w:tc>
          <w:tcPr>
            <w:tcW w:w="675" w:type="dxa"/>
            <w:vMerge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Sur actif circulant : dotations aux dépréciations</w:t>
            </w:r>
          </w:p>
        </w:tc>
        <w:tc>
          <w:tcPr>
            <w:tcW w:w="1276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8 510</w:t>
            </w:r>
          </w:p>
        </w:tc>
        <w:tc>
          <w:tcPr>
            <w:tcW w:w="1134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2 416</w:t>
            </w:r>
          </w:p>
        </w:tc>
      </w:tr>
      <w:tr w:rsidR="00404698" w:rsidRPr="00D040CC" w:rsidTr="00D040CC">
        <w:trPr>
          <w:trHeight w:val="82"/>
        </w:trPr>
        <w:tc>
          <w:tcPr>
            <w:tcW w:w="675" w:type="dxa"/>
            <w:vMerge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ind w:right="-67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Pour risques et charges : dotations aux provisions</w:t>
            </w:r>
          </w:p>
        </w:tc>
        <w:tc>
          <w:tcPr>
            <w:tcW w:w="1276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Autres charges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B91C56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286</w:t>
            </w:r>
          </w:p>
        </w:tc>
        <w:tc>
          <w:tcPr>
            <w:tcW w:w="1307" w:type="dxa"/>
            <w:shd w:val="clear" w:color="auto" w:fill="auto"/>
          </w:tcPr>
          <w:p w:rsidR="00B91C56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404698" w:rsidRPr="00D040CC" w:rsidTr="00D040CC">
        <w:tc>
          <w:tcPr>
            <w:tcW w:w="675" w:type="dxa"/>
            <w:shd w:val="clear" w:color="auto" w:fill="auto"/>
          </w:tcPr>
          <w:p w:rsidR="00B91C56" w:rsidRPr="00D040CC" w:rsidRDefault="00B91C56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B91C56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Total II</w:t>
            </w:r>
          </w:p>
        </w:tc>
        <w:tc>
          <w:tcPr>
            <w:tcW w:w="1276" w:type="dxa"/>
            <w:shd w:val="clear" w:color="auto" w:fill="auto"/>
          </w:tcPr>
          <w:p w:rsidR="00B91C56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10 125 056</w:t>
            </w:r>
          </w:p>
        </w:tc>
        <w:tc>
          <w:tcPr>
            <w:tcW w:w="1134" w:type="dxa"/>
            <w:shd w:val="clear" w:color="auto" w:fill="auto"/>
          </w:tcPr>
          <w:p w:rsidR="00B91C56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7 645 718</w:t>
            </w:r>
          </w:p>
        </w:tc>
        <w:tc>
          <w:tcPr>
            <w:tcW w:w="1307" w:type="dxa"/>
            <w:shd w:val="clear" w:color="auto" w:fill="auto"/>
          </w:tcPr>
          <w:p w:rsidR="00B91C56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5 203 520</w:t>
            </w:r>
          </w:p>
        </w:tc>
      </w:tr>
      <w:tr w:rsidR="00404698" w:rsidRPr="00D040CC" w:rsidTr="00D040CC">
        <w:tc>
          <w:tcPr>
            <w:tcW w:w="5495" w:type="dxa"/>
            <w:gridSpan w:val="4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1 - RESULTAT D'EXPLOITATION (I - II)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128 282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390 503</w:t>
            </w:r>
          </w:p>
        </w:tc>
        <w:tc>
          <w:tcPr>
            <w:tcW w:w="1307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366 297</w:t>
            </w:r>
          </w:p>
        </w:tc>
      </w:tr>
      <w:tr w:rsidR="00404698" w:rsidRPr="00D040CC" w:rsidTr="00D040CC">
        <w:trPr>
          <w:cantSplit/>
          <w:trHeight w:val="17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Produits financiers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Produits financiers de participations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D'autres valeurs mobilières et créances de l'actif immobilisé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Autres intérêts et produits assimilés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753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221</w:t>
            </w:r>
          </w:p>
        </w:tc>
        <w:tc>
          <w:tcPr>
            <w:tcW w:w="1307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262</w:t>
            </w:r>
          </w:p>
        </w:tc>
      </w:tr>
      <w:tr w:rsidR="00404698" w:rsidRPr="00D040CC" w:rsidTr="00D040CC">
        <w:trPr>
          <w:cantSplit/>
          <w:trHeight w:val="1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Reprises sur provisions, transferts de charges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3 254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Différences positives de change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Produits nets sur cessions de valeurs mobilières de placement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Total V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4 007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221</w:t>
            </w:r>
          </w:p>
        </w:tc>
        <w:tc>
          <w:tcPr>
            <w:tcW w:w="1307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262</w:t>
            </w:r>
          </w:p>
        </w:tc>
      </w:tr>
      <w:tr w:rsidR="00404698" w:rsidRPr="00D040CC" w:rsidTr="00D040CC">
        <w:trPr>
          <w:cantSplit/>
          <w:trHeight w:val="253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Charges</w:t>
            </w:r>
          </w:p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financières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Dotations aux amortissements et provisions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9 520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250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Intérêts et charges assimilées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26 849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11 730</w:t>
            </w:r>
          </w:p>
        </w:tc>
        <w:tc>
          <w:tcPr>
            <w:tcW w:w="1307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17 356</w:t>
            </w:r>
          </w:p>
        </w:tc>
      </w:tr>
      <w:tr w:rsidR="00404698" w:rsidRPr="00D040CC" w:rsidTr="00D040CC">
        <w:trPr>
          <w:cantSplit/>
          <w:trHeight w:val="250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Différences négatives de change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250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Charges nettes sur cessions de valeurs mobilières de placement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49"/>
        </w:trPr>
        <w:tc>
          <w:tcPr>
            <w:tcW w:w="675" w:type="dxa"/>
            <w:vMerge/>
            <w:shd w:val="clear" w:color="auto" w:fill="auto"/>
            <w:textDirection w:val="btLr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Total VI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36 369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11 730</w:t>
            </w:r>
          </w:p>
        </w:tc>
        <w:tc>
          <w:tcPr>
            <w:tcW w:w="1307" w:type="dxa"/>
            <w:shd w:val="clear" w:color="auto" w:fill="auto"/>
          </w:tcPr>
          <w:p w:rsidR="00BC7FE2" w:rsidRPr="00D040CC" w:rsidRDefault="00BC7FE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17 356</w:t>
            </w:r>
          </w:p>
        </w:tc>
      </w:tr>
      <w:tr w:rsidR="00404698" w:rsidRPr="00D040CC" w:rsidTr="00D040CC">
        <w:tc>
          <w:tcPr>
            <w:tcW w:w="5495" w:type="dxa"/>
            <w:gridSpan w:val="4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2 - RESULTAT FINANCIER (V - VI)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-32 362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-11 509</w:t>
            </w:r>
          </w:p>
        </w:tc>
        <w:tc>
          <w:tcPr>
            <w:tcW w:w="1307" w:type="dxa"/>
            <w:shd w:val="clear" w:color="auto" w:fill="auto"/>
          </w:tcPr>
          <w:p w:rsidR="00D94D53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-17 094</w:t>
            </w:r>
          </w:p>
        </w:tc>
      </w:tr>
      <w:tr w:rsidR="00404698" w:rsidRPr="00D040CC" w:rsidTr="00D040CC">
        <w:trPr>
          <w:trHeight w:val="76"/>
        </w:trPr>
        <w:tc>
          <w:tcPr>
            <w:tcW w:w="5495" w:type="dxa"/>
            <w:gridSpan w:val="4"/>
            <w:shd w:val="clear" w:color="auto" w:fill="auto"/>
          </w:tcPr>
          <w:p w:rsidR="00D94D53" w:rsidRPr="00D040CC" w:rsidRDefault="00D94D53" w:rsidP="00D040CC">
            <w:pPr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3 - RESULTAT COURANT AVANTS IMPÔTS (I - II + III - IV + V - VI)</w:t>
            </w:r>
          </w:p>
        </w:tc>
        <w:tc>
          <w:tcPr>
            <w:tcW w:w="1276" w:type="dxa"/>
            <w:shd w:val="clear" w:color="auto" w:fill="auto"/>
          </w:tcPr>
          <w:p w:rsidR="00D94D53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95 920</w:t>
            </w:r>
          </w:p>
        </w:tc>
        <w:tc>
          <w:tcPr>
            <w:tcW w:w="1134" w:type="dxa"/>
            <w:shd w:val="clear" w:color="auto" w:fill="auto"/>
          </w:tcPr>
          <w:p w:rsidR="00D94D53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378 994</w:t>
            </w:r>
          </w:p>
        </w:tc>
        <w:tc>
          <w:tcPr>
            <w:tcW w:w="1307" w:type="dxa"/>
            <w:shd w:val="clear" w:color="auto" w:fill="auto"/>
          </w:tcPr>
          <w:p w:rsidR="00D94D53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349 203</w:t>
            </w:r>
          </w:p>
        </w:tc>
      </w:tr>
      <w:tr w:rsidR="00404698" w:rsidRPr="00D040CC" w:rsidTr="00D040CC">
        <w:trPr>
          <w:cantSplit/>
          <w:trHeight w:val="197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Produits</w:t>
            </w:r>
          </w:p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exceptionnels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Sur opérations de gestion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1 141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94"/>
        </w:trPr>
        <w:tc>
          <w:tcPr>
            <w:tcW w:w="675" w:type="dxa"/>
            <w:vMerge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Sur opérations en capital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94"/>
        </w:trPr>
        <w:tc>
          <w:tcPr>
            <w:tcW w:w="675" w:type="dxa"/>
            <w:vMerge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Produits de cession d'éléments d'actif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14 560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3 602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94"/>
        </w:trPr>
        <w:tc>
          <w:tcPr>
            <w:tcW w:w="675" w:type="dxa"/>
            <w:vMerge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Quote-part de subvention virée au résultat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4 000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2 000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94"/>
        </w:trPr>
        <w:tc>
          <w:tcPr>
            <w:tcW w:w="675" w:type="dxa"/>
            <w:vMerge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Reprises sur provisions et transferts de charges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84"/>
        </w:trPr>
        <w:tc>
          <w:tcPr>
            <w:tcW w:w="675" w:type="dxa"/>
            <w:vMerge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Total VII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18 560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6 743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0</w:t>
            </w:r>
          </w:p>
        </w:tc>
      </w:tr>
      <w:tr w:rsidR="00404698" w:rsidRPr="00D040CC" w:rsidTr="00D040CC">
        <w:trPr>
          <w:cantSplit/>
          <w:trHeight w:val="131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Charges</w:t>
            </w:r>
          </w:p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proofErr w:type="spellStart"/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Exceptionnell</w:t>
            </w:r>
            <w:proofErr w:type="spellEnd"/>
          </w:p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2"/>
                <w:szCs w:val="12"/>
              </w:rPr>
              <w:t>es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Charges exceptionnelles sur opérations de gestion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1 585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3 404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3 910</w:t>
            </w:r>
          </w:p>
        </w:tc>
      </w:tr>
      <w:tr w:rsidR="00404698" w:rsidRPr="00D040CC" w:rsidTr="00D040CC">
        <w:trPr>
          <w:cantSplit/>
          <w:trHeight w:val="122"/>
        </w:trPr>
        <w:tc>
          <w:tcPr>
            <w:tcW w:w="675" w:type="dxa"/>
            <w:vMerge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Charges exceptionnelles sur opérations en capital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3 032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1 707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481</w:t>
            </w:r>
          </w:p>
        </w:tc>
      </w:tr>
      <w:tr w:rsidR="00404698" w:rsidRPr="00D040CC" w:rsidTr="00D040CC">
        <w:trPr>
          <w:cantSplit/>
          <w:trHeight w:val="2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4"/>
                <w:szCs w:val="14"/>
              </w:rPr>
              <w:t>Dotations exceptionnelles aux amortissements et provisions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cantSplit/>
          <w:trHeight w:val="120"/>
        </w:trPr>
        <w:tc>
          <w:tcPr>
            <w:tcW w:w="675" w:type="dxa"/>
            <w:vMerge/>
            <w:shd w:val="clear" w:color="auto" w:fill="auto"/>
            <w:textDirection w:val="btLr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Total VIII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4 617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5 111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4 391</w:t>
            </w:r>
          </w:p>
        </w:tc>
      </w:tr>
      <w:tr w:rsidR="00404698" w:rsidRPr="00D040CC" w:rsidTr="00D040CC">
        <w:tc>
          <w:tcPr>
            <w:tcW w:w="5495" w:type="dxa"/>
            <w:gridSpan w:val="4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4 - RESULTAT EXCEPTIONNEL (VII - VIII)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13 943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1 632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-4 391</w:t>
            </w:r>
          </w:p>
        </w:tc>
      </w:tr>
      <w:tr w:rsidR="00404698" w:rsidRPr="00D040CC" w:rsidTr="00D040CC">
        <w:trPr>
          <w:trHeight w:val="91"/>
        </w:trPr>
        <w:tc>
          <w:tcPr>
            <w:tcW w:w="5495" w:type="dxa"/>
            <w:gridSpan w:val="4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Participation des salariés aux résultats de l'entreprise (IX)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89"/>
        </w:trPr>
        <w:tc>
          <w:tcPr>
            <w:tcW w:w="5495" w:type="dxa"/>
            <w:gridSpan w:val="4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Impôts sur les bénéfices (X)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31 037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21 364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21 498</w:t>
            </w:r>
          </w:p>
        </w:tc>
      </w:tr>
      <w:tr w:rsidR="00404698" w:rsidRPr="00D040CC" w:rsidTr="00D040CC">
        <w:trPr>
          <w:trHeight w:val="89"/>
        </w:trPr>
        <w:tc>
          <w:tcPr>
            <w:tcW w:w="5495" w:type="dxa"/>
            <w:gridSpan w:val="4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TOTAL DES PRODUITS (I + III + V + VII)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10 275 905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8 043 185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5 570 079</w:t>
            </w:r>
          </w:p>
        </w:tc>
      </w:tr>
      <w:tr w:rsidR="00404698" w:rsidRPr="00D040CC" w:rsidTr="00D040CC">
        <w:trPr>
          <w:trHeight w:val="89"/>
        </w:trPr>
        <w:tc>
          <w:tcPr>
            <w:tcW w:w="5495" w:type="dxa"/>
            <w:gridSpan w:val="4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TOTAL DES CHARGES (II + IV + VI + VIII + IX + X)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10 197 079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7 683 923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5 246 765</w:t>
            </w:r>
          </w:p>
        </w:tc>
      </w:tr>
      <w:tr w:rsidR="00404698" w:rsidRPr="00D040CC" w:rsidTr="00D040CC">
        <w:trPr>
          <w:trHeight w:val="122"/>
        </w:trPr>
        <w:tc>
          <w:tcPr>
            <w:tcW w:w="5495" w:type="dxa"/>
            <w:gridSpan w:val="4"/>
            <w:shd w:val="clear" w:color="auto" w:fill="auto"/>
          </w:tcPr>
          <w:p w:rsidR="00DF37CB" w:rsidRPr="00D040CC" w:rsidRDefault="00DF37CB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BENEFICE OU PERTE</w:t>
            </w:r>
          </w:p>
        </w:tc>
        <w:tc>
          <w:tcPr>
            <w:tcW w:w="1276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78 826</w:t>
            </w:r>
          </w:p>
        </w:tc>
        <w:tc>
          <w:tcPr>
            <w:tcW w:w="1134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359 262</w:t>
            </w:r>
          </w:p>
        </w:tc>
        <w:tc>
          <w:tcPr>
            <w:tcW w:w="1307" w:type="dxa"/>
            <w:shd w:val="clear" w:color="auto" w:fill="auto"/>
          </w:tcPr>
          <w:p w:rsidR="00DF37CB" w:rsidRPr="00D040CC" w:rsidRDefault="0028109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4"/>
                <w:szCs w:val="14"/>
              </w:rPr>
              <w:t>323 314</w:t>
            </w:r>
          </w:p>
        </w:tc>
      </w:tr>
    </w:tbl>
    <w:p w:rsidR="000B08CC" w:rsidRPr="001C2C1B" w:rsidRDefault="000B08CC" w:rsidP="008E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Annexe 4 – Informations complémentaires sur la société THERMOCLIM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La société est soumise à un taux de TVA de 19,6 % aussi bien sur ses ventes que sur ses achats.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Les écarts de conversion concernent les dettes fournisseurs en 2011 comme en 2010.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Les charges et produits constatés d’avance relèvent de l’exploitation.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 xml:space="preserve">L’entreprise n’a pas de contrat de </w:t>
      </w:r>
      <w:r w:rsidR="008451A7" w:rsidRPr="001C2C1B">
        <w:rPr>
          <w:rFonts w:ascii="Times New Roman" w:hAnsi="Times New Roman"/>
          <w:sz w:val="20"/>
          <w:szCs w:val="20"/>
        </w:rPr>
        <w:t>crédit-bail</w:t>
      </w:r>
      <w:r w:rsidRPr="001C2C1B">
        <w:rPr>
          <w:rFonts w:ascii="Times New Roman" w:hAnsi="Times New Roman"/>
          <w:sz w:val="20"/>
          <w:szCs w:val="20"/>
        </w:rPr>
        <w:t xml:space="preserve"> en cours.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Les intérêts courus non échus sur emprunts s’élèvent à 18 300 € au 31 décembre 2011 et à 3 570 € au 31 décembre 2010.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Au cours de l’exercice 2011 la société THERMOCLIM :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a procédé à une augmentation de capital par incorporation de réserves ;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a remboursé un emprunt auprès des établissements de crédit pour un montant de 22 246 € ;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a cédé une immobilisation corporelle qu’elle a acquise en 2006 pour une valeur d’origine de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12 197 € et dont la valeur comptable nette au moment de la cession s’élevait à 3 032 € ;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a reçu le remboursement d’un prêt (immobilisations financières) pour 5 000 €.</w:t>
      </w: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Annexe 5 - Soldes intermédiaires de gestion des exercices 2009, 2010 et 2011</w:t>
      </w:r>
    </w:p>
    <w:p w:rsidR="008451A7" w:rsidRPr="001C2C1B" w:rsidRDefault="008451A7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1701"/>
        <w:gridCol w:w="1733"/>
      </w:tblGrid>
      <w:tr w:rsidR="00404698" w:rsidRPr="00D040CC" w:rsidTr="00D040CC">
        <w:trPr>
          <w:trHeight w:val="104"/>
        </w:trPr>
        <w:tc>
          <w:tcPr>
            <w:tcW w:w="4219" w:type="dxa"/>
            <w:vMerge w:val="restart"/>
            <w:shd w:val="clear" w:color="auto" w:fill="auto"/>
          </w:tcPr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Production vendue</w:t>
            </w:r>
          </w:p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Production stockée (ou déstockage)</w:t>
            </w:r>
          </w:p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Production immobilisée</w:t>
            </w:r>
          </w:p>
        </w:tc>
        <w:tc>
          <w:tcPr>
            <w:tcW w:w="1559" w:type="dxa"/>
            <w:shd w:val="clear" w:color="auto" w:fill="auto"/>
          </w:tcPr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2011</w:t>
            </w:r>
          </w:p>
        </w:tc>
        <w:tc>
          <w:tcPr>
            <w:tcW w:w="1701" w:type="dxa"/>
            <w:shd w:val="clear" w:color="auto" w:fill="auto"/>
          </w:tcPr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2010</w:t>
            </w:r>
          </w:p>
        </w:tc>
        <w:tc>
          <w:tcPr>
            <w:tcW w:w="1733" w:type="dxa"/>
            <w:shd w:val="clear" w:color="auto" w:fill="auto"/>
          </w:tcPr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2009</w:t>
            </w:r>
          </w:p>
        </w:tc>
      </w:tr>
      <w:tr w:rsidR="00404698" w:rsidRPr="00D040CC" w:rsidTr="00D040CC">
        <w:trPr>
          <w:trHeight w:val="103"/>
        </w:trPr>
        <w:tc>
          <w:tcPr>
            <w:tcW w:w="4219" w:type="dxa"/>
            <w:vMerge/>
            <w:shd w:val="clear" w:color="auto" w:fill="auto"/>
          </w:tcPr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10 244 740</w:t>
            </w:r>
          </w:p>
        </w:tc>
        <w:tc>
          <w:tcPr>
            <w:tcW w:w="1701" w:type="dxa"/>
            <w:shd w:val="clear" w:color="auto" w:fill="auto"/>
          </w:tcPr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7 988 397</w:t>
            </w:r>
          </w:p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39 000</w:t>
            </w:r>
          </w:p>
        </w:tc>
        <w:tc>
          <w:tcPr>
            <w:tcW w:w="1733" w:type="dxa"/>
            <w:shd w:val="clear" w:color="auto" w:fill="auto"/>
          </w:tcPr>
          <w:p w:rsidR="003E41A2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5 563 178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451A7" w:rsidRPr="00D040CC" w:rsidRDefault="003E41A2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PRODUCTION DE L'EXERCICE</w:t>
            </w: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10 244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740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8 027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5 563 178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Achat de matières premières</w:t>
            </w:r>
          </w:p>
          <w:p w:rsidR="006E12D9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Variation stock matières premières</w:t>
            </w:r>
          </w:p>
          <w:p w:rsidR="006E12D9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achats et charges externes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3 982 489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-26 322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3 983</w:t>
            </w:r>
            <w:r w:rsidR="008451A7" w:rsidRPr="00D040CC">
              <w:rPr>
                <w:rFonts w:ascii="Times New Roman" w:hAnsi="Times New Roman"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sz w:val="16"/>
                <w:szCs w:val="16"/>
              </w:rPr>
              <w:t>073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2 752 950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-16 859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3 285</w:t>
            </w:r>
            <w:r w:rsidR="008451A7" w:rsidRPr="00D040CC">
              <w:rPr>
                <w:rFonts w:ascii="Times New Roman" w:hAnsi="Times New Roman"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1 822 147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11 753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2 210 224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451A7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VALEUR AJOUTEE</w:t>
            </w: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2 305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2 006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1 519 054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Subventions d'exploitation</w:t>
            </w:r>
          </w:p>
          <w:p w:rsidR="006E12D9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Impôts, taxes et versements assimilés</w:t>
            </w:r>
          </w:p>
          <w:p w:rsidR="006E12D9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Charges de personnel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7 769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79 155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2 052 032</w:t>
            </w:r>
          </w:p>
        </w:tc>
        <w:tc>
          <w:tcPr>
            <w:tcW w:w="1701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7 914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58 996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1 539 044</w:t>
            </w:r>
          </w:p>
        </w:tc>
        <w:tc>
          <w:tcPr>
            <w:tcW w:w="1733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6 633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40 323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1 100 372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451A7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EXCEDENT BRUT D'EXPLOITATION</w:t>
            </w: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182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082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415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384 992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Reprises et transferts charges d'exploitation</w:t>
            </w:r>
          </w:p>
          <w:p w:rsidR="006E12D9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Autres produits</w:t>
            </w:r>
          </w:p>
          <w:p w:rsidR="006E12D9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Dotations aux amortissements</w:t>
            </w:r>
          </w:p>
          <w:p w:rsidR="006E12D9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Dotations aux dépréciations</w:t>
            </w:r>
          </w:p>
          <w:p w:rsidR="006E12D9" w:rsidRPr="00D040CC" w:rsidRDefault="006E12D9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 xml:space="preserve">Autres charges </w:t>
            </w: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829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46 062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8 510</w:t>
            </w:r>
          </w:p>
          <w:p w:rsidR="008451A7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910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26 025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738A8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38A8" w:rsidRPr="00D040CC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16 273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2 416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451A7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RESULTAT D'EXPLOITATION</w:t>
            </w: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128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390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503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738A8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366 297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Produits financiers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Charges financières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4 007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36</w:t>
            </w:r>
            <w:r w:rsidR="008451A7" w:rsidRPr="00D040CC">
              <w:rPr>
                <w:rFonts w:ascii="Times New Roman" w:hAnsi="Times New Roman"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221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11</w:t>
            </w:r>
            <w:r w:rsidR="008451A7" w:rsidRPr="00D040CC">
              <w:rPr>
                <w:rFonts w:ascii="Times New Roman" w:hAnsi="Times New Roman"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262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17 356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451A7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RESULTAT COURANT AVANT IMPOT</w:t>
            </w: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95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378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994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349 203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Produits exceptionnels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Charges exceptionnels</w:t>
            </w:r>
          </w:p>
        </w:tc>
        <w:tc>
          <w:tcPr>
            <w:tcW w:w="1559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18 560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4 617</w:t>
            </w:r>
          </w:p>
        </w:tc>
        <w:tc>
          <w:tcPr>
            <w:tcW w:w="1701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6 743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5 111</w:t>
            </w:r>
          </w:p>
        </w:tc>
        <w:tc>
          <w:tcPr>
            <w:tcW w:w="1733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4 391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451A7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RESULTAT EXCEPTIONNEL</w:t>
            </w: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943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632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-4 391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Participation des salariés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Impôts sur les bénéfices</w:t>
            </w:r>
          </w:p>
        </w:tc>
        <w:tc>
          <w:tcPr>
            <w:tcW w:w="1559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31 037</w:t>
            </w:r>
          </w:p>
        </w:tc>
        <w:tc>
          <w:tcPr>
            <w:tcW w:w="1701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21 364</w:t>
            </w:r>
          </w:p>
        </w:tc>
        <w:tc>
          <w:tcPr>
            <w:tcW w:w="1733" w:type="dxa"/>
            <w:shd w:val="clear" w:color="auto" w:fill="auto"/>
          </w:tcPr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21 498</w:t>
            </w:r>
          </w:p>
        </w:tc>
      </w:tr>
      <w:tr w:rsidR="00404698" w:rsidRPr="00D040CC" w:rsidTr="00D040CC">
        <w:tc>
          <w:tcPr>
            <w:tcW w:w="421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RESULTAT DE L'EXERCICE</w:t>
            </w:r>
          </w:p>
        </w:tc>
        <w:tc>
          <w:tcPr>
            <w:tcW w:w="155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78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826</w:t>
            </w:r>
          </w:p>
        </w:tc>
        <w:tc>
          <w:tcPr>
            <w:tcW w:w="1701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359</w:t>
            </w:r>
            <w:r w:rsidR="008451A7"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733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41A2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323 314</w:t>
            </w:r>
          </w:p>
        </w:tc>
      </w:tr>
    </w:tbl>
    <w:p w:rsidR="003E41A2" w:rsidRPr="001C2C1B" w:rsidRDefault="003E41A2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738A8" w:rsidRPr="001C2C1B" w:rsidRDefault="009738A8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738A8" w:rsidRPr="001C2C1B" w:rsidRDefault="009738A8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738A8" w:rsidRPr="001C2C1B" w:rsidRDefault="009738A8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738A8" w:rsidRPr="001C2C1B" w:rsidRDefault="009738A8" w:rsidP="003E4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Annexe 6 – Projet d’investissement de la société SUPIBEN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 projet d'investissement envisagé par la société SUPIBEN suppose l'acquisition d'un équipement pour un montant de 1 200 000 € amortissable en linéaire sur 5 ans.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Les prévisions d'exploitation pour les 5 prochains exercices sont les suivantes :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chiffre d’affaires annuel prévisionnel : 1 500 000 €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charges variables annuelles d’exploitation : 780 000 €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charges fixes annuelles hors amortissements : 360 000 €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 besoin en fonds de roulement d'exploitation prévisionnel est évalué à partir des principales composantes exprimées en jours de chiffre d'affaires hors taxes :</w:t>
      </w:r>
    </w:p>
    <w:p w:rsidR="008451A7" w:rsidRPr="001C2C1B" w:rsidRDefault="008451A7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38A8" w:rsidRPr="00D040CC" w:rsidTr="00D040CC">
        <w:trPr>
          <w:trHeight w:val="456"/>
        </w:trPr>
        <w:tc>
          <w:tcPr>
            <w:tcW w:w="4606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Composantes du BFR d'exploitation</w:t>
            </w:r>
          </w:p>
        </w:tc>
        <w:tc>
          <w:tcPr>
            <w:tcW w:w="4606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Jours de chiffre d'affaires hors taxes</w:t>
            </w:r>
          </w:p>
        </w:tc>
      </w:tr>
      <w:tr w:rsidR="009738A8" w:rsidRPr="00D040CC" w:rsidTr="00D040CC">
        <w:tc>
          <w:tcPr>
            <w:tcW w:w="4606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Stocks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Créances d'exploitation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Dettes d'exploitation</w:t>
            </w:r>
          </w:p>
        </w:tc>
        <w:tc>
          <w:tcPr>
            <w:tcW w:w="4606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451A7" w:rsidRPr="001C2C1B" w:rsidRDefault="008451A7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8451A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La valeur de cession de l'équipement au terme du projet est estimée à 300 000 €.</w:t>
      </w:r>
    </w:p>
    <w:p w:rsidR="009738A8" w:rsidRPr="001C2C1B" w:rsidRDefault="009738A8" w:rsidP="008451A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 projet serait en partie financé par un emprunt au taux de 9 %.</w:t>
      </w:r>
    </w:p>
    <w:p w:rsidR="009738A8" w:rsidRPr="001C2C1B" w:rsidRDefault="009738A8" w:rsidP="008451A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 coût du capital de l'entreprise est de 10 %.</w:t>
      </w:r>
    </w:p>
    <w:p w:rsidR="009738A8" w:rsidRPr="001C2C1B" w:rsidRDefault="009738A8" w:rsidP="008451A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On raisonnera sur la base d'un taux d'impôt sur les sociétés de 33 1/3 %.</w:t>
      </w:r>
    </w:p>
    <w:p w:rsidR="009738A8" w:rsidRPr="001C2C1B" w:rsidRDefault="009738A8" w:rsidP="008451A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8451A7" w:rsidRPr="001C2C1B" w:rsidRDefault="008451A7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451A7" w:rsidRPr="001C2C1B" w:rsidRDefault="008451A7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38A8" w:rsidRPr="001C2C1B" w:rsidRDefault="009738A8" w:rsidP="0084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Annexe 7 - État des créances et dettes libellées en USD à échéance du 31 mars 2012</w:t>
      </w:r>
    </w:p>
    <w:p w:rsidR="008451A7" w:rsidRPr="001C2C1B" w:rsidRDefault="008451A7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451A7" w:rsidRPr="001C2C1B" w:rsidRDefault="008451A7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738A8" w:rsidRPr="00D040CC" w:rsidTr="00D040CC">
        <w:tc>
          <w:tcPr>
            <w:tcW w:w="4606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Postes</w:t>
            </w:r>
          </w:p>
        </w:tc>
        <w:tc>
          <w:tcPr>
            <w:tcW w:w="4606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Montants</w:t>
            </w:r>
          </w:p>
        </w:tc>
      </w:tr>
      <w:tr w:rsidR="009738A8" w:rsidRPr="00D040CC" w:rsidTr="00D040CC">
        <w:tc>
          <w:tcPr>
            <w:tcW w:w="4606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Avances et acomptes versés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Dettes fournisseurs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Créances clients</w:t>
            </w:r>
          </w:p>
        </w:tc>
        <w:tc>
          <w:tcPr>
            <w:tcW w:w="4606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12 500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956 780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123 000</w:t>
            </w:r>
          </w:p>
        </w:tc>
      </w:tr>
    </w:tbl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8451A7" w:rsidRPr="001C2C1B" w:rsidRDefault="008451A7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451A7" w:rsidRPr="001C2C1B" w:rsidRDefault="008451A7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38A8" w:rsidRPr="001C2C1B" w:rsidRDefault="009738A8" w:rsidP="0084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1C2C1B">
        <w:rPr>
          <w:rFonts w:ascii="Times New Roman" w:hAnsi="Times New Roman"/>
          <w:b/>
          <w:bCs/>
          <w:sz w:val="20"/>
          <w:szCs w:val="20"/>
          <w:u w:val="single"/>
        </w:rPr>
        <w:t>Annexe 8 - Données relatives au contrat commercial à échéance du 15 février 2012</w:t>
      </w:r>
    </w:p>
    <w:p w:rsidR="008451A7" w:rsidRPr="001C2C1B" w:rsidRDefault="008451A7" w:rsidP="0084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 15 décembre 2011, le cours de la livre est de 1€ = 0,835 GBP.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Le trésorier dispose de deux solutions de couverture :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une couverture ferme au cours à terme de 0,840 GBP pour un euro ;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2C1B">
        <w:rPr>
          <w:rFonts w:ascii="Times New Roman" w:hAnsi="Times New Roman"/>
          <w:sz w:val="20"/>
          <w:szCs w:val="20"/>
        </w:rPr>
        <w:t>- une option au prix d'exercice de 0,842 GBP pour un euro et une prime de 0,2 %.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Default="009738A8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C1B" w:rsidRPr="001C2C1B" w:rsidRDefault="001C2C1B" w:rsidP="009738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Annexe A - Tableau de financement 2011 (à rendre avec la copie)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Tableau de financement (partie 1)</w:t>
      </w:r>
    </w:p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3015"/>
        <w:gridCol w:w="1591"/>
      </w:tblGrid>
      <w:tr w:rsidR="00404698" w:rsidRPr="00D040CC" w:rsidTr="00D040CC">
        <w:tc>
          <w:tcPr>
            <w:tcW w:w="3227" w:type="dxa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Emplois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2011</w:t>
            </w:r>
          </w:p>
        </w:tc>
        <w:tc>
          <w:tcPr>
            <w:tcW w:w="3015" w:type="dxa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Ressources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Exercice 2011</w:t>
            </w:r>
          </w:p>
        </w:tc>
      </w:tr>
      <w:tr w:rsidR="00404698" w:rsidRPr="00D040CC" w:rsidTr="00D040CC">
        <w:tc>
          <w:tcPr>
            <w:tcW w:w="3227" w:type="dxa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Distribution mises en paiement au cours de l'exercice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Acquisitions d'éléments de l'actif immobilisé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Immobilisations incorporelles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Immobilisations corporelles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Immobilisation financières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Charges à répartir sur plusieurs exercices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Réduction des capitaux propres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Remboursement des dettes financières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DES EMPLOIS</w:t>
            </w:r>
          </w:p>
        </w:tc>
        <w:tc>
          <w:tcPr>
            <w:tcW w:w="1379" w:type="dxa"/>
            <w:vMerge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15" w:type="dxa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Capacité d'autofinancement de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l'exercice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Cessions ou réductions d'actifs immobilisés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Cessions d'immobilisations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left="214" w:right="-108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Incorporelles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left="214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left="214" w:right="-108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Corporelles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Cessions ou réductions des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left="214" w:right="-108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immobilisations financières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Augmentation des capitaux propres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Augmentation de capital ou apport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- Augmentation des autres capitaux propres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Augmentation des dettes financières</w:t>
            </w:r>
          </w:p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TOTAL DES RESSOURCES</w:t>
            </w:r>
          </w:p>
        </w:tc>
        <w:tc>
          <w:tcPr>
            <w:tcW w:w="1591" w:type="dxa"/>
            <w:vMerge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c>
          <w:tcPr>
            <w:tcW w:w="3227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Solde créditeur : </w:t>
            </w:r>
            <w:r w:rsidRPr="00D040CC">
              <w:rPr>
                <w:rFonts w:ascii="Times New Roman" w:hAnsi="Times New Roman"/>
                <w:sz w:val="16"/>
                <w:szCs w:val="16"/>
              </w:rPr>
              <w:t>variation du Fonds de</w:t>
            </w:r>
          </w:p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 xml:space="preserve">Roulement Net Global : 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Ressource nette</w:t>
            </w:r>
          </w:p>
        </w:tc>
        <w:tc>
          <w:tcPr>
            <w:tcW w:w="1379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015" w:type="dxa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Solde débiteur : </w:t>
            </w:r>
            <w:r w:rsidRPr="00D040CC">
              <w:rPr>
                <w:rFonts w:ascii="Times New Roman" w:hAnsi="Times New Roman"/>
                <w:sz w:val="16"/>
                <w:szCs w:val="16"/>
              </w:rPr>
              <w:t>variation du Fonds de</w:t>
            </w:r>
          </w:p>
          <w:p w:rsidR="009738A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 xml:space="preserve">Roulement Net Global : </w:t>
            </w: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Emploi net</w:t>
            </w:r>
          </w:p>
        </w:tc>
        <w:tc>
          <w:tcPr>
            <w:tcW w:w="1591" w:type="dxa"/>
            <w:shd w:val="clear" w:color="auto" w:fill="auto"/>
          </w:tcPr>
          <w:p w:rsidR="009738A8" w:rsidRPr="00D040CC" w:rsidRDefault="009738A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9738A8" w:rsidRPr="001C2C1B" w:rsidRDefault="009738A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B91D68" w:rsidRPr="001C2C1B" w:rsidRDefault="00B91D6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Tableau de financement (partie 2)</w:t>
      </w:r>
    </w:p>
    <w:p w:rsidR="00B91D68" w:rsidRPr="001C2C1B" w:rsidRDefault="00B91D6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1191"/>
        <w:gridCol w:w="1348"/>
        <w:gridCol w:w="1203"/>
      </w:tblGrid>
      <w:tr w:rsidR="00404698" w:rsidRPr="00D040CC" w:rsidTr="00D040CC">
        <w:trPr>
          <w:trHeight w:val="29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Besoins</w:t>
            </w:r>
          </w:p>
        </w:tc>
        <w:tc>
          <w:tcPr>
            <w:tcW w:w="1348" w:type="dxa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Dégagements</w:t>
            </w:r>
          </w:p>
        </w:tc>
        <w:tc>
          <w:tcPr>
            <w:tcW w:w="1203" w:type="dxa"/>
            <w:shd w:val="clear" w:color="auto" w:fill="auto"/>
          </w:tcPr>
          <w:p w:rsidR="00B91D68" w:rsidRPr="00D040CC" w:rsidRDefault="00B91D68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Solde</w:t>
            </w:r>
          </w:p>
        </w:tc>
      </w:tr>
      <w:tr w:rsidR="00404698" w:rsidRPr="00D040CC" w:rsidTr="00D040CC">
        <w:trPr>
          <w:trHeight w:val="124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 "exploitation"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130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 des actifs d'exploitation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0CC">
              <w:rPr>
                <w:rFonts w:ascii="Times New Roman" w:hAnsi="Times New Roman"/>
                <w:sz w:val="18"/>
              </w:rPr>
              <w:t>26 322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54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Stocks et en-cours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Avances et acomptes versés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Créances clients et comptes rattachés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574 384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Variations des dettes d'exploitation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Avances et acomptes reçus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Dettes fournisseurs et comptes rattachés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35E53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358 378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TOTAUX</w:t>
            </w: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35E53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600 706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auto"/>
          </w:tcPr>
          <w:p w:rsidR="00035E53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358 378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 nette "exploitation"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35E53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- 242 328</w:t>
            </w: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 "hors exploitation"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Variation des autres débiteurs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Variation des autres créditeurs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35E53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19 426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TOTAUX</w:t>
            </w: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35E53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auto"/>
          </w:tcPr>
          <w:p w:rsidR="00035E53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19 426</w:t>
            </w: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 nette "hors exploitation"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035E53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19 426</w:t>
            </w: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Besoins de l'exercice en fonds de roulement ou Dégagement net de fonds de roulement de l'exercice (A+B)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 "trésorerie"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>Variation des disponibilités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D040CC">
              <w:rPr>
                <w:rFonts w:ascii="Times New Roman" w:hAnsi="Times New Roman"/>
                <w:sz w:val="16"/>
                <w:szCs w:val="16"/>
              </w:rPr>
              <w:t xml:space="preserve">Variation des concours bancaires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TOTAUX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bottom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 nette "trésorerie"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E53" w:rsidRPr="00D040CC" w:rsidRDefault="00035E53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228"/>
        </w:trPr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Variation du Fonds de Roulement Net Global</w:t>
            </w:r>
          </w:p>
          <w:p w:rsidR="008124BE" w:rsidRPr="00D040CC" w:rsidRDefault="008124BE" w:rsidP="00D040C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40CC">
              <w:rPr>
                <w:rFonts w:ascii="Times New Roman" w:hAnsi="Times New Roman"/>
                <w:b/>
                <w:bCs/>
                <w:sz w:val="16"/>
                <w:szCs w:val="16"/>
              </w:rPr>
              <w:t>(A + B + C) Emploi net ou Ressource nette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348" w:type="dxa"/>
            <w:tcBorders>
              <w:top w:val="nil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</w:tcPr>
          <w:p w:rsidR="008124BE" w:rsidRPr="00D040CC" w:rsidRDefault="008124BE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B91D68" w:rsidRPr="001C2C1B" w:rsidRDefault="00B91D68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124BE" w:rsidRPr="001C2C1B" w:rsidRDefault="008124BE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124BE" w:rsidRPr="001C2C1B" w:rsidRDefault="008124BE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124BE" w:rsidRPr="001C2C1B" w:rsidRDefault="008124BE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124BE" w:rsidRPr="001C2C1B" w:rsidRDefault="008124BE" w:rsidP="00973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C2C1B" w:rsidRDefault="001C2C1B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C2C1B" w:rsidRDefault="001C2C1B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24BE" w:rsidRPr="001C2C1B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ANNEXE B - TABLEAU DE CALCUL DE RATIOS</w:t>
      </w:r>
    </w:p>
    <w:p w:rsidR="008124BE" w:rsidRPr="001C2C1B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 w:rsidRPr="001C2C1B">
        <w:rPr>
          <w:rFonts w:ascii="Times New Roman" w:hAnsi="Times New Roman"/>
          <w:b/>
          <w:bCs/>
          <w:sz w:val="20"/>
          <w:szCs w:val="20"/>
        </w:rPr>
        <w:t>à</w:t>
      </w:r>
      <w:proofErr w:type="gramEnd"/>
      <w:r w:rsidRPr="001C2C1B">
        <w:rPr>
          <w:rFonts w:ascii="Times New Roman" w:hAnsi="Times New Roman"/>
          <w:b/>
          <w:bCs/>
          <w:sz w:val="20"/>
          <w:szCs w:val="20"/>
        </w:rPr>
        <w:t xml:space="preserve"> rendre avec la copie)</w:t>
      </w: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88"/>
        <w:gridCol w:w="1877"/>
        <w:gridCol w:w="1039"/>
        <w:gridCol w:w="1039"/>
      </w:tblGrid>
      <w:tr w:rsidR="00404698" w:rsidRPr="00D040CC" w:rsidTr="00D040CC">
        <w:trPr>
          <w:trHeight w:val="208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Ratios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Exercice 2011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Exercice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Exercice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2009</w:t>
            </w:r>
          </w:p>
        </w:tc>
      </w:tr>
      <w:tr w:rsidR="00404698" w:rsidRPr="00D040CC" w:rsidTr="00D040CC">
        <w:trPr>
          <w:trHeight w:val="20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1A7" w:rsidRPr="00D040CC" w:rsidRDefault="008451A7" w:rsidP="00D040CC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Calculs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1A7" w:rsidRPr="00D040CC" w:rsidRDefault="008451A7" w:rsidP="00D040CC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right="7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Résultats</w:t>
            </w:r>
          </w:p>
        </w:tc>
        <w:tc>
          <w:tcPr>
            <w:tcW w:w="10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4698" w:rsidRPr="00D040CC" w:rsidTr="00D040CC">
        <w:trPr>
          <w:trHeight w:val="682"/>
        </w:trPr>
        <w:tc>
          <w:tcPr>
            <w:tcW w:w="2235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ind w:right="-95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ind w:right="-95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Durée du crédit client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3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37,6 j</w:t>
            </w:r>
          </w:p>
        </w:tc>
        <w:tc>
          <w:tcPr>
            <w:tcW w:w="1039" w:type="dxa"/>
            <w:vMerge w:val="restart"/>
            <w:shd w:val="clear" w:color="auto" w:fill="A6A6A6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879"/>
        </w:trPr>
        <w:tc>
          <w:tcPr>
            <w:tcW w:w="2235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Durée du crédit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fournisseurs (1)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7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3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18,7 j</w:t>
            </w:r>
          </w:p>
        </w:tc>
        <w:tc>
          <w:tcPr>
            <w:tcW w:w="1039" w:type="dxa"/>
            <w:vMerge/>
            <w:shd w:val="clear" w:color="auto" w:fill="A6A6A6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404698" w:rsidRPr="00D040CC" w:rsidTr="00D040CC">
        <w:trPr>
          <w:trHeight w:val="523"/>
        </w:trPr>
        <w:tc>
          <w:tcPr>
            <w:tcW w:w="2235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VA/CA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7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3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25,1 %</w:t>
            </w:r>
          </w:p>
        </w:tc>
        <w:tc>
          <w:tcPr>
            <w:tcW w:w="103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27,3 %</w:t>
            </w:r>
          </w:p>
        </w:tc>
      </w:tr>
      <w:tr w:rsidR="00404698" w:rsidRPr="00D040CC" w:rsidTr="00D040CC">
        <w:trPr>
          <w:trHeight w:val="534"/>
        </w:trPr>
        <w:tc>
          <w:tcPr>
            <w:tcW w:w="2235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>E.B.E/CA</w:t>
            </w: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7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3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5,2 %</w:t>
            </w:r>
          </w:p>
        </w:tc>
        <w:tc>
          <w:tcPr>
            <w:tcW w:w="1039" w:type="dxa"/>
            <w:shd w:val="clear" w:color="auto" w:fill="auto"/>
          </w:tcPr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1A7" w:rsidRPr="00D040CC" w:rsidRDefault="008451A7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40CC">
              <w:rPr>
                <w:rFonts w:ascii="Times New Roman" w:hAnsi="Times New Roman"/>
                <w:sz w:val="20"/>
                <w:szCs w:val="20"/>
              </w:rPr>
              <w:t>6,9 %</w:t>
            </w:r>
          </w:p>
        </w:tc>
      </w:tr>
    </w:tbl>
    <w:p w:rsidR="008124BE" w:rsidRPr="001C2C1B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124BE" w:rsidRPr="001C2C1B" w:rsidRDefault="008124BE" w:rsidP="0081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669E1" w:rsidRPr="001C2C1B" w:rsidRDefault="001669E1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51A7" w:rsidRPr="001C2C1B" w:rsidRDefault="008451A7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69E1" w:rsidRPr="001C2C1B" w:rsidRDefault="001669E1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ANNEXE C - EXTRAIT DU TABLEAU DES FLUX DE LA CENTRALE DES BILANS DE LA</w:t>
      </w:r>
    </w:p>
    <w:p w:rsidR="001669E1" w:rsidRPr="001C2C1B" w:rsidRDefault="001669E1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C2C1B">
        <w:rPr>
          <w:rFonts w:ascii="Times New Roman" w:hAnsi="Times New Roman"/>
          <w:b/>
          <w:bCs/>
          <w:sz w:val="20"/>
          <w:szCs w:val="20"/>
        </w:rPr>
        <w:t>BANQUE DE FRANCE (à rendre avec la copie)</w:t>
      </w:r>
    </w:p>
    <w:p w:rsidR="001669E1" w:rsidRPr="001C2C1B" w:rsidRDefault="001669E1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1669E1" w:rsidRPr="00D040CC" w:rsidTr="00D040CC">
        <w:tc>
          <w:tcPr>
            <w:tcW w:w="719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18"/>
                <w:szCs w:val="18"/>
              </w:rPr>
              <w:t>Exercice 2011</w:t>
            </w:r>
          </w:p>
        </w:tc>
      </w:tr>
      <w:tr w:rsidR="001669E1" w:rsidRPr="00D040CC" w:rsidTr="00D040CC">
        <w:tc>
          <w:tcPr>
            <w:tcW w:w="719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40CC">
              <w:rPr>
                <w:rFonts w:ascii="Times New Roman" w:hAnsi="Times New Roman"/>
                <w:b/>
                <w:bCs/>
                <w:sz w:val="18"/>
                <w:szCs w:val="18"/>
              </w:rPr>
              <w:t>ACTIVITE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 xml:space="preserve">Chiffre d'affaires hors taxes et autres produits d'exploitation 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>Variation "clients" et autres créances d'exploitation</w:t>
            </w:r>
          </w:p>
        </w:tc>
        <w:tc>
          <w:tcPr>
            <w:tcW w:w="201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69E1" w:rsidRPr="00D040CC" w:rsidTr="00D040CC">
        <w:tc>
          <w:tcPr>
            <w:tcW w:w="719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40CC">
              <w:rPr>
                <w:rFonts w:ascii="Times New Roman" w:hAnsi="Times New Roman"/>
                <w:b/>
                <w:bCs/>
                <w:sz w:val="18"/>
                <w:szCs w:val="18"/>
              </w:rPr>
              <w:t>Encaissements sur produits d'exploitation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69E1" w:rsidRPr="00D040CC" w:rsidTr="00D040CC">
        <w:tc>
          <w:tcPr>
            <w:tcW w:w="719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>Achats et autres charges d'exploitation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>Variation "fournisseurs" et autres dettes d'exploitation</w:t>
            </w:r>
          </w:p>
        </w:tc>
        <w:tc>
          <w:tcPr>
            <w:tcW w:w="201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69E1" w:rsidRPr="00D040CC" w:rsidTr="00D040CC">
        <w:tc>
          <w:tcPr>
            <w:tcW w:w="719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40CC">
              <w:rPr>
                <w:rFonts w:ascii="Times New Roman" w:hAnsi="Times New Roman"/>
                <w:b/>
                <w:bCs/>
                <w:sz w:val="18"/>
                <w:szCs w:val="18"/>
              </w:rPr>
              <w:t>Décaissements sur charges d'exploitation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69E1" w:rsidRPr="00D040CC" w:rsidTr="00D040CC">
        <w:tc>
          <w:tcPr>
            <w:tcW w:w="719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40CC">
              <w:rPr>
                <w:rFonts w:ascii="Times New Roman" w:hAnsi="Times New Roman"/>
                <w:b/>
                <w:bCs/>
                <w:sz w:val="18"/>
                <w:szCs w:val="18"/>
              </w:rPr>
              <w:t>FLUX DE TRESORERIE D'EXPLOITATION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69E1" w:rsidRPr="00D040CC" w:rsidTr="00D040CC">
        <w:tc>
          <w:tcPr>
            <w:tcW w:w="719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>Flux liés aux opérations hors exploitation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>Charges d'intérêts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>Impôt sur les bénéfices décaissé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>Flux affecté à la participation des salariés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sz w:val="18"/>
                <w:szCs w:val="18"/>
              </w:rPr>
              <w:t>Distribution mise en paiement</w:t>
            </w:r>
          </w:p>
        </w:tc>
        <w:tc>
          <w:tcPr>
            <w:tcW w:w="201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69E1" w:rsidRPr="00D040CC" w:rsidTr="00D040CC">
        <w:tc>
          <w:tcPr>
            <w:tcW w:w="719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040CC">
              <w:rPr>
                <w:rFonts w:ascii="Times New Roman" w:hAnsi="Times New Roman"/>
                <w:b/>
                <w:bCs/>
                <w:sz w:val="18"/>
                <w:szCs w:val="18"/>
              </w:rPr>
              <w:t>FLUX DE TRESORERIE INTERNE</w:t>
            </w:r>
          </w:p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40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1669E1" w:rsidRPr="00D040CC" w:rsidRDefault="001669E1" w:rsidP="00D0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669E1" w:rsidRPr="001C2C1B" w:rsidRDefault="001669E1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669E1" w:rsidRPr="001C2C1B" w:rsidRDefault="001669E1" w:rsidP="0016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1669E1" w:rsidRPr="001C2C1B" w:rsidSect="00DB07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5F" w:rsidRDefault="005B0D5F" w:rsidP="00B15C9E">
      <w:pPr>
        <w:spacing w:after="0" w:line="240" w:lineRule="auto"/>
      </w:pPr>
      <w:r>
        <w:separator/>
      </w:r>
    </w:p>
  </w:endnote>
  <w:endnote w:type="continuationSeparator" w:id="0">
    <w:p w:rsidR="005B0D5F" w:rsidRDefault="005B0D5F" w:rsidP="00B1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5F" w:rsidRDefault="00404698" w:rsidP="00404698">
    <w:pPr>
      <w:pStyle w:val="Pieddepage"/>
      <w:ind w:right="360"/>
    </w:pPr>
    <w:r>
      <w:t xml:space="preserve">©Comptazine – Reproduction Interdite </w:t>
    </w:r>
    <w:r>
      <w:tab/>
      <w:t xml:space="preserve">                       </w:t>
    </w:r>
    <w:r w:rsidRPr="00207929">
      <w:t>DCG 201</w:t>
    </w:r>
    <w:r>
      <w:t>2</w:t>
    </w:r>
    <w:r w:rsidR="00FA771E">
      <w:t xml:space="preserve"> UE6</w:t>
    </w:r>
    <w:r w:rsidRPr="00207929">
      <w:t xml:space="preserve"> – </w:t>
    </w:r>
    <w:r w:rsidR="00FA771E">
      <w:t>Finance d’Entreprise</w:t>
    </w:r>
    <w:r>
      <w:tab/>
    </w:r>
    <w:r w:rsidR="005B0D5F">
      <w:fldChar w:fldCharType="begin"/>
    </w:r>
    <w:r w:rsidR="005B0D5F">
      <w:instrText>PAGE   \* MERGEFORMAT</w:instrText>
    </w:r>
    <w:r w:rsidR="005B0D5F">
      <w:fldChar w:fldCharType="separate"/>
    </w:r>
    <w:r w:rsidR="00BB6641">
      <w:rPr>
        <w:noProof/>
      </w:rPr>
      <w:t>1</w:t>
    </w:r>
    <w:r w:rsidR="005B0D5F">
      <w:fldChar w:fldCharType="end"/>
    </w:r>
    <w:r w:rsidR="005B0D5F"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5F" w:rsidRDefault="005B0D5F" w:rsidP="00B15C9E">
      <w:pPr>
        <w:spacing w:after="0" w:line="240" w:lineRule="auto"/>
      </w:pPr>
      <w:r>
        <w:separator/>
      </w:r>
    </w:p>
  </w:footnote>
  <w:footnote w:type="continuationSeparator" w:id="0">
    <w:p w:rsidR="005B0D5F" w:rsidRDefault="005B0D5F" w:rsidP="00B1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1B" w:rsidRDefault="001C2C1B" w:rsidP="001C2C1B">
    <w:pPr>
      <w:pStyle w:val="En-tte"/>
      <w:tabs>
        <w:tab w:val="clear" w:pos="9026"/>
        <w:tab w:val="right" w:pos="9498"/>
      </w:tabs>
      <w:ind w:left="56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61" type="#_x0000_t75" style="position:absolute;left:0;text-align:left;margin-left:0;margin-top:0;width:495.9pt;height:495.9pt;z-index:-251653120;mso-position-horizontal:center;mso-position-horizontal-relative:margin;mso-position-vertical:center;mso-position-vertical-relative:margin" o:allowincell="f">
          <v:imagedata r:id="rId1" o:title="logos_Comptazine_NB-OPACITE-20-200-x-200"/>
          <w10:wrap anchorx="margin" anchory="margin"/>
        </v:shape>
      </w:pict>
    </w:r>
    <w:r w:rsidR="00BD676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30480</wp:posOffset>
              </wp:positionV>
              <wp:extent cx="1885950" cy="752475"/>
              <wp:effectExtent l="0" t="0" r="0" b="9525"/>
              <wp:wrapNone/>
              <wp:docPr id="1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5950" cy="752475"/>
                        <a:chOff x="1155" y="1170"/>
                        <a:chExt cx="2970" cy="1185"/>
                      </a:xfrm>
                    </wpg:grpSpPr>
                    <wps:wsp>
                      <wps:cNvPr id="19" name="AutoShape 7"/>
                      <wps:cNvSpPr>
                        <a:spLocks noChangeArrowheads="1"/>
                      </wps:cNvSpPr>
                      <wps:spPr bwMode="auto">
                        <a:xfrm>
                          <a:off x="1276" y="1315"/>
                          <a:ext cx="2625" cy="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666" y="1435"/>
                          <a:ext cx="207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1B" w:rsidRDefault="001C2C1B" w:rsidP="001C2C1B">
                            <w:pPr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 xml:space="preserve">   DCG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155" y="1170"/>
                          <a:ext cx="51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1B" w:rsidRDefault="001C2C1B" w:rsidP="001C2C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600" y="1170"/>
                          <a:ext cx="525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1B" w:rsidRDefault="001C2C1B" w:rsidP="001C2C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600" y="1830"/>
                          <a:ext cx="48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1B" w:rsidRDefault="001C2C1B" w:rsidP="001C2C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170" y="1845"/>
                          <a:ext cx="495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C1B" w:rsidRDefault="001C2C1B" w:rsidP="001C2C1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56.7pt;margin-top:2.4pt;width:148.5pt;height:59.25pt;z-index:251662336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"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7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E+8IA&#10;AADbAAAADwAAAGRycy9kb3ducmV2LnhtbERPTWvCQBC9F/oflil4q5t6kBpdRaRBwXpQW/A4Zsds&#10;aHY2ZLdJ/PeuIHibx/uc2aK3lWip8aVjBR/DBARx7nTJhYKfY/b+CcIHZI2VY1JwJQ+L+evLDFPt&#10;Ot5TewiFiCHsU1RgQqhTKX1uyKIfupo4chfXWAwRNoXUDXYx3FZylCRjabHk2GCwppWh/O/wbxV8&#10;b7uLP69Pu3yUrdH8ZuW4/VopNXjrl1MQgfrwFD/cGx3nT+D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cT7wgAAANsAAAAPAAAAAAAAAAAAAAAAAJgCAABkcnMvZG93&#10;bnJldi54bWxQSwUGAAAAAAQABAD1AAAAhw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1C2C1B" w:rsidRDefault="001C2C1B" w:rsidP="001C2C1B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 xml:space="preserve">   DCG</w:t>
                      </w:r>
                    </w:p>
                  </w:txbxContent>
                </v:textbox>
              </v:shape>
              <v:shape id="Text Box 9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1C2C1B" w:rsidRDefault="001C2C1B" w:rsidP="001C2C1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●</w:t>
                      </w:r>
                    </w:p>
                  </w:txbxContent>
                </v:textbox>
              </v:shape>
              <v:shape id="Text Box 10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1C2C1B" w:rsidRDefault="001C2C1B" w:rsidP="001C2C1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●</w:t>
                      </w:r>
                    </w:p>
                  </w:txbxContent>
                </v:textbox>
              </v:shape>
              <v:shape id="Text Box 11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1C2C1B" w:rsidRDefault="001C2C1B" w:rsidP="001C2C1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●</w:t>
                      </w:r>
                    </w:p>
                  </w:txbxContent>
                </v:textbox>
              </v:shape>
              <v:shape id="Text Box 12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1C2C1B" w:rsidRDefault="001C2C1B" w:rsidP="001C2C1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●</w:t>
                      </w:r>
                    </w:p>
                  </w:txbxContent>
                </v:textbox>
              </v:shape>
            </v:group>
          </w:pict>
        </mc:Fallback>
      </mc:AlternateContent>
    </w:r>
    <w:r w:rsidR="00BD6762">
      <w:rPr>
        <w:noProof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margin">
            <wp:posOffset>6821805</wp:posOffset>
          </wp:positionH>
          <wp:positionV relativeFrom="margin">
            <wp:posOffset>50800</wp:posOffset>
          </wp:positionV>
          <wp:extent cx="381000" cy="381000"/>
          <wp:effectExtent l="0" t="0" r="0" b="0"/>
          <wp:wrapNone/>
          <wp:docPr id="17" name="Image 4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62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6821805</wp:posOffset>
          </wp:positionH>
          <wp:positionV relativeFrom="margin">
            <wp:posOffset>50800</wp:posOffset>
          </wp:positionV>
          <wp:extent cx="381000" cy="381000"/>
          <wp:effectExtent l="0" t="0" r="0" b="0"/>
          <wp:wrapNone/>
          <wp:docPr id="16" name="Image 3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6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6821805</wp:posOffset>
          </wp:positionH>
          <wp:positionV relativeFrom="margin">
            <wp:posOffset>50800</wp:posOffset>
          </wp:positionV>
          <wp:extent cx="381000" cy="381000"/>
          <wp:effectExtent l="0" t="0" r="0" b="0"/>
          <wp:wrapNone/>
          <wp:docPr id="15" name="Image 2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62">
      <w:rPr>
        <w:noProof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margin">
            <wp:posOffset>6821805</wp:posOffset>
          </wp:positionH>
          <wp:positionV relativeFrom="margin">
            <wp:posOffset>50800</wp:posOffset>
          </wp:positionV>
          <wp:extent cx="381000" cy="381000"/>
          <wp:effectExtent l="0" t="0" r="0" b="0"/>
          <wp:wrapNone/>
          <wp:docPr id="14" name="Image 1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 </w:t>
    </w:r>
    <w:r>
      <w:rPr>
        <w:noProof/>
      </w:rPr>
      <w:t xml:space="preserve"> </w:t>
    </w:r>
    <w:r w:rsidR="00BD6762">
      <w:rPr>
        <w:noProof/>
      </w:rPr>
      <w:drawing>
        <wp:inline distT="0" distB="0" distL="0" distR="0">
          <wp:extent cx="386080" cy="386080"/>
          <wp:effectExtent l="0" t="0" r="0" b="0"/>
          <wp:docPr id="1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1DB"/>
    <w:multiLevelType w:val="hybridMultilevel"/>
    <w:tmpl w:val="6A8CFC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413C2"/>
    <w:multiLevelType w:val="hybridMultilevel"/>
    <w:tmpl w:val="8404F05A"/>
    <w:lvl w:ilvl="0" w:tplc="3AA6605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42D"/>
    <w:multiLevelType w:val="hybridMultilevel"/>
    <w:tmpl w:val="8404F05A"/>
    <w:lvl w:ilvl="0" w:tplc="3AA6605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6E69"/>
    <w:multiLevelType w:val="hybridMultilevel"/>
    <w:tmpl w:val="155241DE"/>
    <w:lvl w:ilvl="0" w:tplc="3AA6605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C13E90"/>
    <w:multiLevelType w:val="hybridMultilevel"/>
    <w:tmpl w:val="8404F05A"/>
    <w:lvl w:ilvl="0" w:tplc="3AA6605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F0838"/>
    <w:multiLevelType w:val="hybridMultilevel"/>
    <w:tmpl w:val="F0FA53B2"/>
    <w:lvl w:ilvl="0" w:tplc="3AA6605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3">
      <o:colormenu v:ext="edit" fill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3E"/>
    <w:rsid w:val="00035E53"/>
    <w:rsid w:val="00055DE0"/>
    <w:rsid w:val="000B08CC"/>
    <w:rsid w:val="00144D19"/>
    <w:rsid w:val="001669E1"/>
    <w:rsid w:val="001820A5"/>
    <w:rsid w:val="001C2C1B"/>
    <w:rsid w:val="001D0241"/>
    <w:rsid w:val="00241443"/>
    <w:rsid w:val="00281099"/>
    <w:rsid w:val="002B301B"/>
    <w:rsid w:val="002D38E8"/>
    <w:rsid w:val="00313A72"/>
    <w:rsid w:val="00314939"/>
    <w:rsid w:val="003C2E5F"/>
    <w:rsid w:val="003E41A2"/>
    <w:rsid w:val="00404698"/>
    <w:rsid w:val="00544CD2"/>
    <w:rsid w:val="0056273E"/>
    <w:rsid w:val="00582CB1"/>
    <w:rsid w:val="00582ECF"/>
    <w:rsid w:val="005A783A"/>
    <w:rsid w:val="005B0D5F"/>
    <w:rsid w:val="006E12D9"/>
    <w:rsid w:val="008124BE"/>
    <w:rsid w:val="008451A7"/>
    <w:rsid w:val="008E3F5A"/>
    <w:rsid w:val="009738A8"/>
    <w:rsid w:val="00991626"/>
    <w:rsid w:val="009E3218"/>
    <w:rsid w:val="00B15C9E"/>
    <w:rsid w:val="00B91C56"/>
    <w:rsid w:val="00B91D68"/>
    <w:rsid w:val="00BB6641"/>
    <w:rsid w:val="00BC7FE2"/>
    <w:rsid w:val="00BD6762"/>
    <w:rsid w:val="00C5570E"/>
    <w:rsid w:val="00CE657C"/>
    <w:rsid w:val="00CF6F21"/>
    <w:rsid w:val="00D040CC"/>
    <w:rsid w:val="00D94D53"/>
    <w:rsid w:val="00DA2EB1"/>
    <w:rsid w:val="00DB07C7"/>
    <w:rsid w:val="00DE5558"/>
    <w:rsid w:val="00DF37CB"/>
    <w:rsid w:val="00F55A77"/>
    <w:rsid w:val="00FA25DD"/>
    <w:rsid w:val="00FA771E"/>
    <w:rsid w:val="00FB7ACC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E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5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C9E"/>
  </w:style>
  <w:style w:type="paragraph" w:styleId="Pieddepage">
    <w:name w:val="footer"/>
    <w:basedOn w:val="Normal"/>
    <w:link w:val="PieddepageCar"/>
    <w:uiPriority w:val="99"/>
    <w:unhideWhenUsed/>
    <w:rsid w:val="00B15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C9E"/>
  </w:style>
  <w:style w:type="paragraph" w:styleId="Textedebulles">
    <w:name w:val="Balloon Text"/>
    <w:basedOn w:val="Normal"/>
    <w:link w:val="TextedebullesCar"/>
    <w:uiPriority w:val="99"/>
    <w:semiHidden/>
    <w:unhideWhenUsed/>
    <w:rsid w:val="001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C2C1B"/>
    <w:rPr>
      <w:rFonts w:ascii="Tahoma" w:hAnsi="Tahoma" w:cs="Tahoma"/>
      <w:sz w:val="16"/>
      <w:szCs w:val="16"/>
    </w:rPr>
  </w:style>
  <w:style w:type="character" w:styleId="Lienhypertexte">
    <w:name w:val="Hyperlink"/>
    <w:rsid w:val="001C2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E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5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C9E"/>
  </w:style>
  <w:style w:type="paragraph" w:styleId="Pieddepage">
    <w:name w:val="footer"/>
    <w:basedOn w:val="Normal"/>
    <w:link w:val="PieddepageCar"/>
    <w:uiPriority w:val="99"/>
    <w:unhideWhenUsed/>
    <w:rsid w:val="00B15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C9E"/>
  </w:style>
  <w:style w:type="paragraph" w:styleId="Textedebulles">
    <w:name w:val="Balloon Text"/>
    <w:basedOn w:val="Normal"/>
    <w:link w:val="TextedebullesCar"/>
    <w:uiPriority w:val="99"/>
    <w:semiHidden/>
    <w:unhideWhenUsed/>
    <w:rsid w:val="001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C2C1B"/>
    <w:rPr>
      <w:rFonts w:ascii="Tahoma" w:hAnsi="Tahoma" w:cs="Tahoma"/>
      <w:sz w:val="16"/>
      <w:szCs w:val="16"/>
    </w:rPr>
  </w:style>
  <w:style w:type="character" w:styleId="Lienhypertexte">
    <w:name w:val="Hyperlink"/>
    <w:rsid w:val="001C2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2280-5445-4588-9354-00644B99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3265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2012-09-10T10:29:00Z</cp:lastPrinted>
  <dcterms:created xsi:type="dcterms:W3CDTF">2012-09-10T10:28:00Z</dcterms:created>
  <dcterms:modified xsi:type="dcterms:W3CDTF">2012-09-10T10:29:00Z</dcterms:modified>
</cp:coreProperties>
</file>