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DD" w:rsidRPr="009628E1" w:rsidRDefault="009628E1" w:rsidP="00962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-461917</wp:posOffset>
                </wp:positionH>
                <wp:positionV relativeFrom="paragraph">
                  <wp:posOffset>-438603</wp:posOffset>
                </wp:positionV>
                <wp:extent cx="1885950" cy="752475"/>
                <wp:effectExtent l="0" t="0" r="0" b="9525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2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E1" w:rsidRDefault="009628E1" w:rsidP="002F7CF2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E1" w:rsidRDefault="009628E1" w:rsidP="002F7C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E1" w:rsidRDefault="009628E1" w:rsidP="002F7C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E1" w:rsidRDefault="009628E1" w:rsidP="002F7C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8E1" w:rsidRDefault="009628E1" w:rsidP="002F7C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3" o:spid="_x0000_s1026" style="position:absolute;margin-left:-36.35pt;margin-top:-34.55pt;width:148.5pt;height:59.25pt;z-index:251658240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h2MQA&#10;AADbAAAADwAAAGRycy9kb3ducmV2LnhtbESPQWvCQBSE74X+h+UVeqsbg0iJriJiUGg91Cp4fGaf&#10;2WD2bciuSfrv3UKhx2FmvmHmy8HWoqPWV44VjEcJCOLC6YpLBcfv/O0dhA/IGmvHpOCHPCwXz09z&#10;zLTr+Yu6QyhFhLDPUIEJocmk9IUhi37kGuLoXV1rMUTZllK32Ee4rWWaJFNpseK4YLChtaHidrhb&#10;BZ8f/dVftud9keZbNKe8mnabtVKvL8NqBiLQEP7Df+2dVpBO4Pd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odj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9628E1" w:rsidRDefault="009628E1" w:rsidP="002F7CF2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9628E1" w:rsidRDefault="009628E1" w:rsidP="002F7C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628E1" w:rsidRDefault="009628E1" w:rsidP="002F7C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628E1" w:rsidRDefault="009628E1" w:rsidP="002F7C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628E1" w:rsidRDefault="009628E1" w:rsidP="002F7C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628E1">
        <w:rPr>
          <w:rFonts w:ascii="Times New Roman" w:hAnsi="Times New Roman" w:cs="Times New Roman"/>
          <w:b/>
          <w:bCs/>
          <w:sz w:val="56"/>
          <w:szCs w:val="56"/>
        </w:rPr>
        <w:t>SESSION 2012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628E1">
        <w:rPr>
          <w:rFonts w:ascii="Times New Roman" w:hAnsi="Times New Roman" w:cs="Times New Roman"/>
          <w:b/>
          <w:bCs/>
          <w:sz w:val="56"/>
          <w:szCs w:val="56"/>
        </w:rPr>
        <w:t>UE 9 – INTRODUCTION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628E1">
        <w:rPr>
          <w:rFonts w:ascii="Times New Roman" w:hAnsi="Times New Roman" w:cs="Times New Roman"/>
          <w:b/>
          <w:bCs/>
          <w:sz w:val="56"/>
          <w:szCs w:val="56"/>
        </w:rPr>
        <w:t>A LA COMPTABILITE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77FA4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b/>
          <w:bCs/>
          <w:sz w:val="36"/>
          <w:szCs w:val="36"/>
        </w:rPr>
        <w:t>Durée de l’épreuve : 3 heures – Coefficient : 1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8E1">
        <w:rPr>
          <w:rFonts w:ascii="Times New Roman" w:hAnsi="Times New Roman" w:cs="Times New Roman"/>
          <w:b/>
          <w:bCs/>
          <w:sz w:val="28"/>
          <w:szCs w:val="28"/>
        </w:rPr>
        <w:lastRenderedPageBreak/>
        <w:t>SESSION 2012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8E1">
        <w:rPr>
          <w:rFonts w:ascii="Times New Roman" w:hAnsi="Times New Roman" w:cs="Times New Roman"/>
          <w:b/>
          <w:bCs/>
          <w:sz w:val="28"/>
          <w:szCs w:val="28"/>
        </w:rPr>
        <w:t>UE 9 – INTRODUCTION À LA COMPTABILITÉ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DD" w:rsidRPr="009628E1" w:rsidRDefault="003227DD" w:rsidP="003227D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E1">
        <w:rPr>
          <w:rFonts w:ascii="Times New Roman" w:hAnsi="Times New Roman" w:cs="Times New Roman"/>
          <w:b/>
          <w:bCs/>
          <w:sz w:val="24"/>
          <w:szCs w:val="24"/>
        </w:rPr>
        <w:t>Durée de l’épreuve : 3 heures – coefficient 1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Document autorisé :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Liste des comptes du plan comptable général, à l’exclusion de toute autre information.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Matériel autorisé :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Aucun matériel n’est autorisé. En conséquence, tout usage d’une calculatrice est interdit et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628E1">
        <w:rPr>
          <w:rFonts w:ascii="Times New Roman" w:hAnsi="Times New Roman" w:cs="Times New Roman"/>
          <w:b/>
          <w:bCs/>
          <w:sz w:val="20"/>
          <w:szCs w:val="20"/>
        </w:rPr>
        <w:t>constituerait</w:t>
      </w:r>
      <w:proofErr w:type="gramEnd"/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une fraude (le sujet est adapté à cette interdiction).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Document remis au candidat :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Le sujet co</w:t>
      </w:r>
      <w:r w:rsidR="009628E1" w:rsidRPr="009628E1">
        <w:rPr>
          <w:rFonts w:ascii="Times New Roman" w:hAnsi="Times New Roman" w:cs="Times New Roman"/>
          <w:b/>
          <w:bCs/>
          <w:sz w:val="20"/>
          <w:szCs w:val="20"/>
        </w:rPr>
        <w:t>mporte 8 pages numérotées de 1/9 à 9/9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dont 3 annexes à rendre notées A, B et C.</w:t>
      </w: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DF0B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Il vous est demandé de vérifier que le sujet est complet dès sa mise à votre disposition.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 sujet se présente sous la forme de 4 dossiers indépendants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Présentation du sujet </w:t>
      </w:r>
      <w:r w:rsidRPr="009628E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 page 2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DOSSIER 1 </w:t>
      </w:r>
      <w:r w:rsidRPr="009628E1">
        <w:rPr>
          <w:rFonts w:ascii="Times New Roman" w:hAnsi="Times New Roman" w:cs="Times New Roman"/>
          <w:sz w:val="20"/>
          <w:szCs w:val="20"/>
        </w:rPr>
        <w:t xml:space="preserve">– Opérations courantes ............................................ (8.5 </w:t>
      </w:r>
      <w:proofErr w:type="gramStart"/>
      <w:r w:rsidRPr="009628E1">
        <w:rPr>
          <w:rFonts w:ascii="Times New Roman" w:hAnsi="Times New Roman" w:cs="Times New Roman"/>
          <w:sz w:val="20"/>
          <w:szCs w:val="20"/>
        </w:rPr>
        <w:t>points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>) ..................................... page 2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DOSSIER 2 </w:t>
      </w:r>
      <w:r w:rsidRPr="009628E1">
        <w:rPr>
          <w:rFonts w:ascii="Times New Roman" w:hAnsi="Times New Roman" w:cs="Times New Roman"/>
          <w:sz w:val="20"/>
          <w:szCs w:val="20"/>
        </w:rPr>
        <w:t xml:space="preserve">– Opérations d’investissement et de </w:t>
      </w:r>
      <w:proofErr w:type="gramStart"/>
      <w:r w:rsidRPr="009628E1">
        <w:rPr>
          <w:rFonts w:ascii="Times New Roman" w:hAnsi="Times New Roman" w:cs="Times New Roman"/>
          <w:sz w:val="20"/>
          <w:szCs w:val="20"/>
        </w:rPr>
        <w:t>financement ..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 xml:space="preserve"> (3.5 </w:t>
      </w:r>
      <w:proofErr w:type="gramStart"/>
      <w:r w:rsidRPr="009628E1">
        <w:rPr>
          <w:rFonts w:ascii="Times New Roman" w:hAnsi="Times New Roman" w:cs="Times New Roman"/>
          <w:sz w:val="20"/>
          <w:szCs w:val="20"/>
        </w:rPr>
        <w:t>points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>) ..................................... page 3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DOSSIER 3 </w:t>
      </w:r>
      <w:r w:rsidRPr="009628E1">
        <w:rPr>
          <w:rFonts w:ascii="Times New Roman" w:hAnsi="Times New Roman" w:cs="Times New Roman"/>
          <w:sz w:val="20"/>
          <w:szCs w:val="20"/>
        </w:rPr>
        <w:t>– Cession d’immobilisation ....................................... (4 points) ........................................ page 4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DOSSIER 4 </w:t>
      </w:r>
      <w:r w:rsidRPr="009628E1">
        <w:rPr>
          <w:rFonts w:ascii="Times New Roman" w:hAnsi="Times New Roman" w:cs="Times New Roman"/>
          <w:sz w:val="20"/>
          <w:szCs w:val="20"/>
        </w:rPr>
        <w:t>– Travaux d’inventaire .............................................. (4 points) ........................................ page 4</w:t>
      </w:r>
    </w:p>
    <w:p w:rsidR="003227DD" w:rsidRPr="009628E1" w:rsidRDefault="003227DD" w:rsidP="00DF0B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 sujet comporte les annexes suivantes :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DOSSIER 1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left="426" w:right="-755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Annexe 1 – Opérations courantes de la SA ANTOMALE au mois de novembre 2011 .................. page 5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left="426" w:right="-755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Annexe 2 – Extrait du livre de paie du mois de novembre 2011 ..................................................... </w:t>
      </w:r>
      <w:proofErr w:type="gramStart"/>
      <w:r w:rsidRPr="009628E1">
        <w:rPr>
          <w:rFonts w:ascii="Times New Roman" w:hAnsi="Times New Roman" w:cs="Times New Roman"/>
          <w:sz w:val="20"/>
          <w:szCs w:val="20"/>
        </w:rPr>
        <w:t>page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left="426" w:right="-755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Annexe 3 – Éléments constitutifs de la déclaration de TVA du mois de novembre 2011 ............... page 6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DOSSIER 2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left="426"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A – Tableau d’amortissement de l’emprunt (à rendre avec la copie) ........................ page 8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DOSSIER 3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Annexe 4 – Informations relatives à la presse P369 cédée .... ....................................................... page 7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Annexe B – Tableau des immobilisations (à rendre avec la copie) ......................................... </w:t>
      </w:r>
      <w:proofErr w:type="gramStart"/>
      <w:r w:rsidRPr="009628E1">
        <w:rPr>
          <w:rFonts w:ascii="Times New Roman" w:hAnsi="Times New Roman" w:cs="Times New Roman"/>
          <w:b/>
          <w:bCs/>
          <w:sz w:val="20"/>
          <w:szCs w:val="20"/>
        </w:rPr>
        <w:t>page</w:t>
      </w:r>
      <w:proofErr w:type="gramEnd"/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8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Annexe C – Tableau des amortissements (à rendre avec la copie) ......................................... </w:t>
      </w:r>
      <w:proofErr w:type="gramStart"/>
      <w:r w:rsidRPr="009628E1">
        <w:rPr>
          <w:rFonts w:ascii="Times New Roman" w:hAnsi="Times New Roman" w:cs="Times New Roman"/>
          <w:b/>
          <w:bCs/>
          <w:sz w:val="20"/>
          <w:szCs w:val="20"/>
        </w:rPr>
        <w:t>page</w:t>
      </w:r>
      <w:proofErr w:type="gramEnd"/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8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DOSSIER 4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Annexe 5 – Régularisations d’inventaire ......................................................................................... </w:t>
      </w:r>
      <w:proofErr w:type="gramStart"/>
      <w:r w:rsidRPr="009628E1">
        <w:rPr>
          <w:rFonts w:ascii="Times New Roman" w:hAnsi="Times New Roman" w:cs="Times New Roman"/>
          <w:sz w:val="20"/>
          <w:szCs w:val="20"/>
        </w:rPr>
        <w:t>page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sz w:val="20"/>
          <w:szCs w:val="20"/>
        </w:rPr>
      </w:pP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NOTA : les annexes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A, B, C </w:t>
      </w:r>
      <w:r w:rsidRPr="009628E1">
        <w:rPr>
          <w:rFonts w:ascii="Times New Roman" w:hAnsi="Times New Roman" w:cs="Times New Roman"/>
          <w:sz w:val="20"/>
          <w:szCs w:val="20"/>
        </w:rPr>
        <w:t xml:space="preserve">doivent obligatoirement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être rendues avec la copie.</w:t>
      </w:r>
    </w:p>
    <w:p w:rsidR="003227DD" w:rsidRPr="009628E1" w:rsidRDefault="003227DD" w:rsidP="00DF0B2B">
      <w:pPr>
        <w:autoSpaceDE w:val="0"/>
        <w:autoSpaceDN w:val="0"/>
        <w:adjustRightInd w:val="0"/>
        <w:spacing w:after="0" w:line="240" w:lineRule="auto"/>
        <w:ind w:right="-755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7DD" w:rsidRPr="009628E1" w:rsidRDefault="003227DD" w:rsidP="00322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AVERTISSEMENT</w:t>
      </w:r>
    </w:p>
    <w:p w:rsidR="003227DD" w:rsidRPr="009628E1" w:rsidRDefault="003227DD" w:rsidP="00322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Si le texte du sujet, de ses questions ou de ses annexes, vous conduit à formuler une ou plusieurs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hypothèses, il vous est demandé de la (ou les) mentionner explicitement dans votre copie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E1">
        <w:rPr>
          <w:rFonts w:ascii="Times New Roman" w:hAnsi="Times New Roman" w:cs="Times New Roman"/>
          <w:b/>
          <w:bCs/>
          <w:sz w:val="24"/>
          <w:szCs w:val="24"/>
        </w:rPr>
        <w:lastRenderedPageBreak/>
        <w:t>SUJET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B2B" w:rsidRPr="009628E1" w:rsidRDefault="00DF0B2B" w:rsidP="00F0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Il vous est demandé d’apporter un soin particulier à la présentation de votre copie.</w:t>
      </w:r>
    </w:p>
    <w:p w:rsidR="00DF0B2B" w:rsidRPr="009628E1" w:rsidRDefault="00DF0B2B" w:rsidP="00F0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Toute information calculée devra être justifiée.</w:t>
      </w:r>
    </w:p>
    <w:p w:rsidR="00DF0B2B" w:rsidRPr="009628E1" w:rsidRDefault="00DF0B2B" w:rsidP="00F0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Les écritures comptables devront comporter les numéros et les noms des comptes et un libellé.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Vous effectuez un stage au sein du service comptable de la SA ANTOMALE, dont l'activité est la fabrication</w:t>
      </w:r>
      <w:r w:rsidR="00F01C21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 xml:space="preserve">et la vente de mobilier de bureau ainsi que la mise en </w:t>
      </w:r>
      <w:proofErr w:type="spellStart"/>
      <w:r w:rsidRPr="009628E1">
        <w:rPr>
          <w:rFonts w:ascii="Times New Roman" w:hAnsi="Times New Roman" w:cs="Times New Roman"/>
          <w:sz w:val="20"/>
          <w:szCs w:val="20"/>
        </w:rPr>
        <w:t>oeuvre</w:t>
      </w:r>
      <w:proofErr w:type="spellEnd"/>
      <w:r w:rsidRPr="009628E1">
        <w:rPr>
          <w:rFonts w:ascii="Times New Roman" w:hAnsi="Times New Roman" w:cs="Times New Roman"/>
          <w:sz w:val="20"/>
          <w:szCs w:val="20"/>
        </w:rPr>
        <w:t xml:space="preserve"> de solutions d'aménagements d'espaces</w:t>
      </w:r>
      <w:r w:rsidR="00F01C21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tertiaires.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Vous êtes sous la responsabilité de Monsieur </w:t>
      </w:r>
      <w:proofErr w:type="spellStart"/>
      <w:r w:rsidRPr="009628E1">
        <w:rPr>
          <w:rFonts w:ascii="Times New Roman" w:hAnsi="Times New Roman" w:cs="Times New Roman"/>
          <w:sz w:val="20"/>
          <w:szCs w:val="20"/>
        </w:rPr>
        <w:t>Grivas</w:t>
      </w:r>
      <w:proofErr w:type="spellEnd"/>
      <w:r w:rsidRPr="009628E1">
        <w:rPr>
          <w:rFonts w:ascii="Times New Roman" w:hAnsi="Times New Roman" w:cs="Times New Roman"/>
          <w:sz w:val="20"/>
          <w:szCs w:val="20"/>
        </w:rPr>
        <w:t>, le directeur financier, qui vous confie quatre dossiers</w:t>
      </w:r>
      <w:r w:rsidR="00F01C21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comptables totalement indépendants.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L'exercice comptable coïncide avec l'année civile. Les écritures comptables sont enregistrées dans un</w:t>
      </w:r>
      <w:r w:rsidR="00F01C21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journal unique.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Dans le cadre de ses prestations de services, la SA ANTOMALE a opté pour le régime de la TVA sur les</w:t>
      </w:r>
      <w:r w:rsidR="00F01C21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débits sur l'ensemble de ses opérations.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Par souci de simplification on appliquera le taux de TVA de 20 %.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F0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E1">
        <w:rPr>
          <w:rFonts w:ascii="Times New Roman" w:hAnsi="Times New Roman" w:cs="Times New Roman"/>
          <w:b/>
          <w:bCs/>
          <w:sz w:val="24"/>
          <w:szCs w:val="24"/>
        </w:rPr>
        <w:t>DOSSIER 1 – OPÉRATIONS COURANTES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F01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Partie A – Opérations liées aux achats et aux ventes</w:t>
      </w:r>
    </w:p>
    <w:p w:rsidR="00F01C21" w:rsidRPr="009628E1" w:rsidRDefault="00F01C21" w:rsidP="00F01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Au cours du mois de novembre 2011, la SA ANTOMALE a réalisé des opérations qui n’ont pas été encore</w:t>
      </w:r>
      <w:r w:rsidR="00F01C21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 xml:space="preserve">enregistrées. Monsieur </w:t>
      </w:r>
      <w:proofErr w:type="spellStart"/>
      <w:r w:rsidRPr="009628E1">
        <w:rPr>
          <w:rFonts w:ascii="Times New Roman" w:hAnsi="Times New Roman" w:cs="Times New Roman"/>
          <w:sz w:val="20"/>
          <w:szCs w:val="20"/>
        </w:rPr>
        <w:t>Grivas</w:t>
      </w:r>
      <w:proofErr w:type="spellEnd"/>
      <w:r w:rsidRPr="009628E1">
        <w:rPr>
          <w:rFonts w:ascii="Times New Roman" w:hAnsi="Times New Roman" w:cs="Times New Roman"/>
          <w:sz w:val="20"/>
          <w:szCs w:val="20"/>
        </w:rPr>
        <w:t xml:space="preserve"> vous charge de les comptabiliser.</w:t>
      </w:r>
    </w:p>
    <w:p w:rsidR="00F01C21" w:rsidRPr="009628E1" w:rsidRDefault="00F01C21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F01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Travail à faire</w:t>
      </w:r>
    </w:p>
    <w:p w:rsidR="00FC52EB" w:rsidRPr="009628E1" w:rsidRDefault="00FC52EB" w:rsidP="00F01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F0B2B" w:rsidRPr="009628E1" w:rsidRDefault="00DF0B2B" w:rsidP="00FC52EB">
      <w:pPr>
        <w:autoSpaceDE w:val="0"/>
        <w:autoSpaceDN w:val="0"/>
        <w:adjustRightInd w:val="0"/>
        <w:spacing w:after="0" w:line="240" w:lineRule="auto"/>
        <w:ind w:right="1088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Présenter les trois types de réductions commerciales en indiquant 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leur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  modalité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d'enregistrement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respective.</w:t>
      </w: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2. A partir de </w:t>
      </w: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l'annexe 1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, comptabiliser au journal de la SA ANTOMALE les opérations courantes du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mois de novembre 2011.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Partie B - Charges de personnel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Vous disposez en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annexe 2 </w:t>
      </w:r>
      <w:r w:rsidRPr="009628E1">
        <w:rPr>
          <w:rFonts w:ascii="Times New Roman" w:hAnsi="Times New Roman" w:cs="Times New Roman"/>
          <w:sz w:val="20"/>
          <w:szCs w:val="20"/>
        </w:rPr>
        <w:t>d'informations extraites du livre de paie du mois de novembre 2011.</w:t>
      </w:r>
    </w:p>
    <w:p w:rsidR="00FC52EB" w:rsidRPr="009628E1" w:rsidRDefault="00FC52E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2EB" w:rsidRPr="009628E1" w:rsidRDefault="00FC52E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B2B" w:rsidRPr="009628E1" w:rsidRDefault="00DF0B2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Travail à faire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1. Indiquer les éléments constitutifs :</w:t>
      </w:r>
    </w:p>
    <w:p w:rsidR="00DF0B2B" w:rsidRPr="009628E1" w:rsidRDefault="00DF0B2B" w:rsidP="00FC52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- du salaire brut,</w:t>
      </w:r>
    </w:p>
    <w:p w:rsidR="00DF0B2B" w:rsidRPr="009628E1" w:rsidRDefault="00DF0B2B" w:rsidP="00FC52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- du salaire net à payer.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2. Calculer le salaire net à payer par l'entreprise SA ANTOMALE à ses salariés au titre du mois de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novembre 2011.</w:t>
      </w:r>
    </w:p>
    <w:p w:rsidR="00FC52EB" w:rsidRPr="009628E1" w:rsidRDefault="00FC52EB" w:rsidP="00DF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DF0B2B" w:rsidP="00FC52E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3. Déterminer le coût total du personnel pour l'employeur.</w:t>
      </w:r>
    </w:p>
    <w:p w:rsidR="00DF0B2B" w:rsidRPr="009628E1" w:rsidRDefault="00DF0B2B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Partie C </w:t>
      </w:r>
      <w:r w:rsidR="00066CEC" w:rsidRPr="009628E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TVA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Monsieur </w:t>
      </w:r>
      <w:proofErr w:type="spellStart"/>
      <w:r w:rsidRPr="009628E1">
        <w:rPr>
          <w:rFonts w:ascii="Times New Roman" w:hAnsi="Times New Roman" w:cs="Times New Roman"/>
          <w:sz w:val="20"/>
          <w:szCs w:val="20"/>
        </w:rPr>
        <w:t>Grivas</w:t>
      </w:r>
      <w:proofErr w:type="spellEnd"/>
      <w:r w:rsidRPr="009628E1">
        <w:rPr>
          <w:rFonts w:ascii="Times New Roman" w:hAnsi="Times New Roman" w:cs="Times New Roman"/>
          <w:sz w:val="20"/>
          <w:szCs w:val="20"/>
        </w:rPr>
        <w:t xml:space="preserve"> vous remet les informations nécessaires à la réalisation de la déclaration de TVA de la</w:t>
      </w:r>
      <w:r w:rsidR="00066CEC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SA ANTOMALE au titre du mois de novembre 2011.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Rappel : la SA ANTOMALE a choisi l'option sur les débits en matière de TVA.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2EB" w:rsidRPr="009628E1" w:rsidRDefault="00FC52EB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Travail à faire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>Pourquoi la TVA apparaît-elle dans les comptes de tiers ?</w:t>
      </w:r>
    </w:p>
    <w:p w:rsidR="00066CEC" w:rsidRPr="009628E1" w:rsidRDefault="00066CEC" w:rsidP="00066CEC">
      <w:pPr>
        <w:rPr>
          <w:rFonts w:ascii="Times New Roman" w:hAnsi="Times New Roman" w:cs="Times New Roman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2. A l'aide de </w:t>
      </w: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l'annexe 3,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calculer le montant de la TVA due, ou le montant du crédit de TVA à reporter,</w:t>
      </w:r>
      <w:r w:rsidR="00066CEC"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au titre du mois de novembre 2011.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3. Enregistrer au journal l'écriture relative à la déclaration de TVA au 30 novembre 2011.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06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E1">
        <w:rPr>
          <w:rFonts w:ascii="Times New Roman" w:hAnsi="Times New Roman" w:cs="Times New Roman"/>
          <w:b/>
          <w:bCs/>
          <w:sz w:val="24"/>
          <w:szCs w:val="24"/>
        </w:rPr>
        <w:t>DOSSIER 2 - OPERATIONS D'INVESTISSEMENT ET DE FINANCEMENT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Dans le cadre du développement de son activité, la SA ANTOMALE a reçu, à titre gratuit, un terrain jouxtant son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628E1">
        <w:rPr>
          <w:rFonts w:ascii="Times New Roman" w:hAnsi="Times New Roman" w:cs="Times New Roman"/>
          <w:sz w:val="20"/>
          <w:szCs w:val="20"/>
        </w:rPr>
        <w:t>site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 xml:space="preserve"> de production pour lui permettre d'agrandir ses locaux. Par ailleurs, la SA ANTOMALE envisage d'investir</w:t>
      </w: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628E1">
        <w:rPr>
          <w:rFonts w:ascii="Times New Roman" w:hAnsi="Times New Roman" w:cs="Times New Roman"/>
          <w:sz w:val="20"/>
          <w:szCs w:val="20"/>
        </w:rPr>
        <w:t>dans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 xml:space="preserve"> une presse qu'elle souhaite financer en partie par un emprunt.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2EB" w:rsidRPr="009628E1" w:rsidRDefault="00FC52EB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Partie A - Opérations d'investissement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Le terrain reçu à titre gratuit, le 15 mai 2011, est évalué à 100 000 € HT. S'agissant d'un terrain à bâtir,</w:t>
      </w:r>
      <w:r w:rsidR="00066CEC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l'opération est soumise à la TVA au taux normal.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La presse P424 assistée par ordinateur pour fabriquer des moules de sièges d'une valeur de 60 000 € HT</w:t>
      </w:r>
      <w:r w:rsidR="00066CEC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est acquise le 2 septembre 2011. Les frais de transport s'élèvent à 500 € HT. Les frais de montage et</w:t>
      </w:r>
      <w:r w:rsidR="00066CEC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d'installation s'élèvent à 2 000 € HT. Par ailleurs, un escompte pour règlement au comptant de 2 % est</w:t>
      </w:r>
      <w:r w:rsidR="00066CEC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accordé sur le prix d'achat HT de la machine. Le règlement s'effectue le jour même par chèque bancaire.</w:t>
      </w:r>
    </w:p>
    <w:p w:rsidR="00FC52EB" w:rsidRPr="009628E1" w:rsidRDefault="00FC52EB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Travail à faire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FC52EB" w:rsidRPr="009628E1">
        <w:rPr>
          <w:rFonts w:ascii="Times New Roman" w:hAnsi="Times New Roman" w:cs="Times New Roman"/>
          <w:b/>
          <w:bCs/>
          <w:sz w:val="20"/>
          <w:szCs w:val="20"/>
        </w:rPr>
        <w:t>A quelle valeur sont inscrites à l’actif les immobilisations acquises à titre gratuit ?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2. Donner une définition de cette valeur.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3. A quelle valeur sont inscrites à l'actif les immobilisations acquises à titre onéreux ?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4. Indiquer quels en sont les éléments constitutifs.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5. Enregistrer les écritures d'acquisition du terrain et de la presse.</w:t>
      </w:r>
    </w:p>
    <w:p w:rsidR="00066CEC" w:rsidRPr="009628E1" w:rsidRDefault="00066CEC" w:rsidP="00F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52EB" w:rsidRPr="009628E1" w:rsidRDefault="00FC52EB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Partie B - Opérations de financement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0B2B" w:rsidRPr="009628E1" w:rsidRDefault="00FC52EB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sz w:val="20"/>
          <w:szCs w:val="20"/>
        </w:rPr>
        <w:t>La BNP PARIBAS accorde à la SA ANTOMALE le 1</w:t>
      </w:r>
      <w:r w:rsidRPr="009628E1">
        <w:rPr>
          <w:rFonts w:ascii="Times New Roman" w:hAnsi="Times New Roman" w:cs="Times New Roman"/>
          <w:sz w:val="13"/>
          <w:szCs w:val="13"/>
        </w:rPr>
        <w:t xml:space="preserve">er </w:t>
      </w:r>
      <w:r w:rsidRPr="009628E1">
        <w:rPr>
          <w:rFonts w:ascii="Times New Roman" w:hAnsi="Times New Roman" w:cs="Times New Roman"/>
          <w:sz w:val="20"/>
          <w:szCs w:val="20"/>
        </w:rPr>
        <w:t>septembre 2011 un prêt de 50 000 € au taux de 6 %</w:t>
      </w:r>
      <w:r w:rsidR="00066CEC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l'an, remboursable en 5 annuités constantes de 11 869,82 € chacune.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66CEC" w:rsidRDefault="00066CEC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28E1" w:rsidRPr="009628E1" w:rsidRDefault="009628E1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Travail à faire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Présenter les deux premières lignes et la dernière ligne du tableau d'emprunt en complétant le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tableau fourni en </w:t>
      </w: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annexe A (à rendre avec la copie).</w:t>
      </w:r>
    </w:p>
    <w:p w:rsidR="00066CEC" w:rsidRPr="009628E1" w:rsidRDefault="00066CEC" w:rsidP="00066CEC">
      <w:pPr>
        <w:rPr>
          <w:rFonts w:ascii="Times New Roman" w:hAnsi="Times New Roman" w:cs="Times New Roman"/>
          <w:i/>
          <w:iCs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2. Enregistrer toutes les écritures du 1</w:t>
      </w:r>
      <w:r w:rsidRPr="009628E1">
        <w:rPr>
          <w:rFonts w:ascii="Times New Roman" w:hAnsi="Times New Roman" w:cs="Times New Roman"/>
          <w:b/>
          <w:bCs/>
          <w:sz w:val="13"/>
          <w:szCs w:val="13"/>
        </w:rPr>
        <w:t xml:space="preserve">er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septembre 2011 au 1</w:t>
      </w:r>
      <w:r w:rsidRPr="009628E1">
        <w:rPr>
          <w:rFonts w:ascii="Times New Roman" w:hAnsi="Times New Roman" w:cs="Times New Roman"/>
          <w:b/>
          <w:bCs/>
          <w:sz w:val="13"/>
          <w:szCs w:val="13"/>
        </w:rPr>
        <w:t xml:space="preserve">er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septembre 2012 concernant cet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emprunt.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3. Rappeler et définir le principe comptable permettant de justifier l'écriture du 31 décembre 2011.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E1">
        <w:rPr>
          <w:rFonts w:ascii="Times New Roman" w:hAnsi="Times New Roman" w:cs="Times New Roman"/>
          <w:b/>
          <w:bCs/>
          <w:sz w:val="24"/>
          <w:szCs w:val="24"/>
        </w:rPr>
        <w:t>DOSSIER 3 – CESSION D’IMMOBILISATION ET ANNEXE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Suite à l'acquisition de la nouvelle presse P424, la SA ANTOMALE a cédé l'ancienne presse P369. Les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 xml:space="preserve">informations relatives à cette cession figurent en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4</w:t>
      </w:r>
      <w:r w:rsidRPr="009628E1">
        <w:rPr>
          <w:rFonts w:ascii="Times New Roman" w:hAnsi="Times New Roman" w:cs="Times New Roman"/>
          <w:sz w:val="20"/>
          <w:szCs w:val="20"/>
        </w:rPr>
        <w:t>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Travail à faire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Partie A - Cession d'immobilisation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Rappeler l'écriture constatée lors de la cession de la presse le 15 novembre 2011.</w:t>
      </w:r>
    </w:p>
    <w:p w:rsidR="00066CEC" w:rsidRPr="009628E1" w:rsidRDefault="00066CEC" w:rsidP="00066CEC">
      <w:pPr>
        <w:rPr>
          <w:rFonts w:ascii="Times New Roman" w:hAnsi="Times New Roman" w:cs="Times New Roman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2. Enregistrer les écritures d'inventaire liées à la vente de la presse (on ne tiendra pas compte de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l'amortissement dérogatoire).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Partie B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Annexe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Présenter en quelques lignes le rôle de l'annexe.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2. Compléter le tableau des immobilisations présenté en annexe B (à rendre avec la copie).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3. Compléter le tableau des amortissements présenté en annexe C (à rendre avec la copie).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4. Quels autres tableaux doivent être présentés dans l'annexe du système de base ?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E1">
        <w:rPr>
          <w:rFonts w:ascii="Times New Roman" w:hAnsi="Times New Roman" w:cs="Times New Roman"/>
          <w:b/>
          <w:bCs/>
          <w:sz w:val="24"/>
          <w:szCs w:val="24"/>
        </w:rPr>
        <w:t>DOSSIER 4 – TRAVAUX D’INVENTAIRE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 xml:space="preserve">Durant l'inventaire, Monsieur </w:t>
      </w:r>
      <w:proofErr w:type="spellStart"/>
      <w:r w:rsidRPr="009628E1">
        <w:rPr>
          <w:rFonts w:ascii="Times New Roman" w:hAnsi="Times New Roman" w:cs="Times New Roman"/>
          <w:sz w:val="20"/>
          <w:szCs w:val="20"/>
        </w:rPr>
        <w:t>Grivas</w:t>
      </w:r>
      <w:proofErr w:type="spellEnd"/>
      <w:r w:rsidRPr="009628E1">
        <w:rPr>
          <w:rFonts w:ascii="Times New Roman" w:hAnsi="Times New Roman" w:cs="Times New Roman"/>
          <w:sz w:val="20"/>
          <w:szCs w:val="20"/>
        </w:rPr>
        <w:t xml:space="preserve"> vous confie différents travaux présentés en annexe 5.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Travail à faire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A partir de </w:t>
      </w: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l'annexe 5,</w:t>
      </w:r>
      <w:r w:rsidRPr="009628E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Énoncer et définir le principe comptable qui conduit à la constatation des dépréciations à la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>clôture de l'exercice.</w:t>
      </w:r>
    </w:p>
    <w:p w:rsidR="00066CEC" w:rsidRPr="009628E1" w:rsidRDefault="00066CEC" w:rsidP="00066CEC">
      <w:pPr>
        <w:rPr>
          <w:rFonts w:ascii="Times New Roman" w:hAnsi="Times New Roman" w:cs="Times New Roman"/>
        </w:rPr>
      </w:pPr>
    </w:p>
    <w:p w:rsidR="003227DD" w:rsidRPr="009628E1" w:rsidRDefault="00066CEC" w:rsidP="00066CE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2. Enregistrer les écritures d'inventaire relatives aux différentes opérations.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66CEC" w:rsidRPr="009628E1" w:rsidRDefault="00066CEC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28E1" w:rsidRDefault="009628E1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28E1" w:rsidRDefault="009628E1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28E1" w:rsidRDefault="009628E1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28E1" w:rsidRDefault="009628E1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28E1" w:rsidRDefault="009628E1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1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Opérations courantes de la SA ANTOMALE au mois de novembre 2011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Rappel : le taux de TVA applicable sur les opérations de la SA ANTOMALE est de 20 %.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3 novembre 2011 </w:t>
      </w:r>
      <w:r w:rsidRPr="009628E1">
        <w:rPr>
          <w:rFonts w:ascii="Times New Roman" w:hAnsi="Times New Roman" w:cs="Times New Roman"/>
          <w:sz w:val="20"/>
          <w:szCs w:val="20"/>
        </w:rPr>
        <w:t xml:space="preserve">: note </w:t>
      </w:r>
      <w:r w:rsidRPr="009628E1">
        <w:rPr>
          <w:rFonts w:ascii="Times New Roman" w:hAnsi="Times New Roman" w:cs="Times New Roman"/>
          <w:sz w:val="20"/>
          <w:szCs w:val="20"/>
        </w:rPr>
        <w:t>d’honoraire</w:t>
      </w:r>
      <w:r w:rsidRPr="009628E1">
        <w:rPr>
          <w:rFonts w:ascii="Times New Roman" w:hAnsi="Times New Roman" w:cs="Times New Roman"/>
          <w:sz w:val="20"/>
          <w:szCs w:val="20"/>
        </w:rPr>
        <w:t xml:space="preserve"> n° 00016726 reçue du cabinet d'avocats G.G.A. Total HT : 800 €.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G.G.A est au régime de la TVA sur les encaissements. Règlement en fin de mois.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7 novembre 2011 </w:t>
      </w:r>
      <w:r w:rsidRPr="009628E1">
        <w:rPr>
          <w:rFonts w:ascii="Times New Roman" w:hAnsi="Times New Roman" w:cs="Times New Roman"/>
          <w:sz w:val="20"/>
          <w:szCs w:val="20"/>
        </w:rPr>
        <w:t>: facture n° 2028638 reçue du fournisseur italien CLENO pour l'achat de 5 lampes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pour un client. Montant unitaire facturé : 400 € HT ; remise de 10 % ; port de 150 € HT. Les numéros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d'identification intracommunautaire ont été échangés. Règlement prévu début décembre.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9 novembre 2011 </w:t>
      </w:r>
      <w:r w:rsidRPr="009628E1">
        <w:rPr>
          <w:rFonts w:ascii="Times New Roman" w:hAnsi="Times New Roman" w:cs="Times New Roman"/>
          <w:sz w:val="20"/>
          <w:szCs w:val="20"/>
        </w:rPr>
        <w:t>: facture n° 13201 adressée à la clinique SRS concernant :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- 3 plans de travail, prix unitaire HT : 160 €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- 6 caissons sur roulettes, prix unitaire HT : 150 €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- 3 sièges, prix unitaire HT : 200 €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montage et installation HT : 100 €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remise accordée sur l'ensemble de la facture : 10 %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règlement à 30 jours fin de mois.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15 novembre 2011 </w:t>
      </w:r>
      <w:r w:rsidRPr="009628E1">
        <w:rPr>
          <w:rFonts w:ascii="Times New Roman" w:hAnsi="Times New Roman" w:cs="Times New Roman"/>
          <w:sz w:val="20"/>
          <w:szCs w:val="20"/>
        </w:rPr>
        <w:t>: facture d'avoir n° 47 pour retour des 3 sièges défectueux facturés le 9 novembre à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la clinique SRS. En dédommagement, un rabais de 60 € est accordé.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17 novembre 2011 </w:t>
      </w:r>
      <w:r w:rsidRPr="009628E1">
        <w:rPr>
          <w:rFonts w:ascii="Times New Roman" w:hAnsi="Times New Roman" w:cs="Times New Roman"/>
          <w:sz w:val="20"/>
          <w:szCs w:val="20"/>
        </w:rPr>
        <w:t>: facture n° 13210 adressée au client belge VANDER pour une vente de 20 sièges au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prix unitaire HT de 250 € et d'une table de réunion au prix unitaire HT de 1 500 €. Un acompte de 1 300 € a</w:t>
      </w:r>
      <w:r w:rsidR="009C5EF3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été versé le 15 octobre par VANDER. Les numéros d'identification intracommunautaire ont été échangés. Le</w:t>
      </w:r>
      <w:r w:rsidR="009C5EF3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solde sera versé mi-décembre.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23 novembre 2011 </w:t>
      </w:r>
      <w:r w:rsidRPr="009628E1">
        <w:rPr>
          <w:rFonts w:ascii="Times New Roman" w:hAnsi="Times New Roman" w:cs="Times New Roman"/>
          <w:sz w:val="20"/>
          <w:szCs w:val="20"/>
        </w:rPr>
        <w:t>: facture n° 12424 reçue de la SEMB (Société Européenne de Montage de Bureaux)</w:t>
      </w:r>
      <w:r w:rsidR="009C5EF3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pour mise à disposition du personnel : 3 équipes de deux monteurs. Montant HT facturé par équipe : 400 €.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Un escompte de 1 % est accordé pour règlement comptant. Un virement bancaire est effectué le jour même.</w:t>
      </w: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La SEMB a opté pour le régime de la TVA sur les débits.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9C5EF3">
      <w:pPr>
        <w:autoSpaceDE w:val="0"/>
        <w:autoSpaceDN w:val="0"/>
        <w:adjustRightInd w:val="0"/>
        <w:spacing w:after="0" w:line="240" w:lineRule="auto"/>
        <w:ind w:right="-188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27 novembre 2011 </w:t>
      </w:r>
      <w:r w:rsidRPr="009628E1">
        <w:rPr>
          <w:rFonts w:ascii="Times New Roman" w:hAnsi="Times New Roman" w:cs="Times New Roman"/>
          <w:sz w:val="20"/>
          <w:szCs w:val="20"/>
        </w:rPr>
        <w:t>: SA ANTOMALE cède à son affactureur, la société FACTO HELLER France, des</w:t>
      </w:r>
      <w:r w:rsidR="009C5EF3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créances commerciales à échéance du 31 décembre 2011, pour un montant total TTC de 20 000 €.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6CEC" w:rsidRPr="009628E1" w:rsidRDefault="00066CEC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29 novembre 2011 </w:t>
      </w:r>
      <w:r w:rsidRPr="009628E1">
        <w:rPr>
          <w:rFonts w:ascii="Times New Roman" w:hAnsi="Times New Roman" w:cs="Times New Roman"/>
          <w:sz w:val="20"/>
          <w:szCs w:val="20"/>
        </w:rPr>
        <w:t>: réception du virement bancaire relatif à la cession du 27 novembre 2011, sous</w:t>
      </w:r>
      <w:r w:rsidR="009C5EF3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déduction de la rémunération d'affacturage de 1 200 € HT et de la commission de financement de 300 €.</w:t>
      </w:r>
    </w:p>
    <w:p w:rsidR="009C5EF3" w:rsidRPr="009628E1" w:rsidRDefault="009C5EF3" w:rsidP="0006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EF3" w:rsidRPr="009628E1" w:rsidRDefault="009C5EF3" w:rsidP="009C5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Le 30 novembre 2011 </w:t>
      </w:r>
      <w:r w:rsidRPr="009628E1">
        <w:rPr>
          <w:rFonts w:ascii="Times New Roman" w:hAnsi="Times New Roman" w:cs="Times New Roman"/>
          <w:sz w:val="20"/>
          <w:szCs w:val="20"/>
        </w:rPr>
        <w:t xml:space="preserve">: règlement par chèque n° 567 345 de la note </w:t>
      </w:r>
      <w:proofErr w:type="gramStart"/>
      <w:r w:rsidRPr="009628E1">
        <w:rPr>
          <w:rFonts w:ascii="Times New Roman" w:hAnsi="Times New Roman" w:cs="Times New Roman"/>
          <w:sz w:val="20"/>
          <w:szCs w:val="20"/>
        </w:rPr>
        <w:t>d’honoraires</w:t>
      </w:r>
      <w:proofErr w:type="gramEnd"/>
      <w:r w:rsidRPr="009628E1">
        <w:rPr>
          <w:rFonts w:ascii="Times New Roman" w:hAnsi="Times New Roman" w:cs="Times New Roman"/>
          <w:sz w:val="20"/>
          <w:szCs w:val="20"/>
        </w:rPr>
        <w:t xml:space="preserve"> n° 00016726 du 3</w:t>
      </w:r>
    </w:p>
    <w:p w:rsidR="003227DD" w:rsidRPr="009628E1" w:rsidRDefault="009C5EF3" w:rsidP="009C5E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sz w:val="20"/>
          <w:szCs w:val="20"/>
        </w:rPr>
        <w:t>novembre 2011.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C5EF3" w:rsidRPr="009628E1" w:rsidRDefault="009C5EF3" w:rsidP="009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lastRenderedPageBreak/>
        <w:t>ANNEXE 2</w:t>
      </w:r>
    </w:p>
    <w:p w:rsidR="009C5EF3" w:rsidRPr="009628E1" w:rsidRDefault="009C5EF3" w:rsidP="009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5EF3" w:rsidRPr="009628E1" w:rsidRDefault="009C5EF3" w:rsidP="009C5E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Extrait du livre de paie du mois de novembre 2011</w:t>
      </w:r>
    </w:p>
    <w:p w:rsidR="003227DD" w:rsidRPr="009628E1" w:rsidRDefault="009C5EF3" w:rsidP="009C5E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sz w:val="20"/>
          <w:szCs w:val="20"/>
        </w:rPr>
        <w:t>● Total des salaires bruts versés : 89 700 €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828"/>
      </w:tblGrid>
      <w:tr w:rsidR="009C5EF3" w:rsidRPr="009628E1" w:rsidTr="00574074">
        <w:tc>
          <w:tcPr>
            <w:tcW w:w="5353" w:type="dxa"/>
            <w:tcBorders>
              <w:top w:val="nil"/>
              <w:left w:val="nil"/>
            </w:tcBorders>
          </w:tcPr>
          <w:p w:rsidR="009C5EF3" w:rsidRPr="009628E1" w:rsidRDefault="00574074" w:rsidP="0057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● Total des cotisations :</w:t>
            </w:r>
          </w:p>
        </w:tc>
        <w:tc>
          <w:tcPr>
            <w:tcW w:w="1985" w:type="dxa"/>
          </w:tcPr>
          <w:p w:rsidR="009C5EF3" w:rsidRPr="009628E1" w:rsidRDefault="009C5EF3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Cotisations</w:t>
            </w:r>
          </w:p>
          <w:p w:rsidR="009C5EF3" w:rsidRPr="009628E1" w:rsidRDefault="009C5EF3" w:rsidP="0057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salariales</w:t>
            </w:r>
          </w:p>
        </w:tc>
        <w:tc>
          <w:tcPr>
            <w:tcW w:w="1828" w:type="dxa"/>
          </w:tcPr>
          <w:p w:rsidR="009C5EF3" w:rsidRPr="009628E1" w:rsidRDefault="009C5EF3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Cotisations</w:t>
            </w:r>
          </w:p>
          <w:p w:rsidR="009C5EF3" w:rsidRPr="009628E1" w:rsidRDefault="009C5EF3" w:rsidP="0057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patronales</w:t>
            </w:r>
          </w:p>
        </w:tc>
      </w:tr>
      <w:tr w:rsidR="009C5EF3" w:rsidRPr="009628E1" w:rsidTr="009C5EF3">
        <w:tc>
          <w:tcPr>
            <w:tcW w:w="5353" w:type="dxa"/>
          </w:tcPr>
          <w:p w:rsidR="009C5EF3" w:rsidRPr="009628E1" w:rsidRDefault="009C5EF3" w:rsidP="0057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URSSAF </w:t>
            </w: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5EF3" w:rsidRPr="009628E1" w:rsidRDefault="009C5EF3" w:rsidP="0057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Charges de Sécurité Sociale hors CSG et CRDS</w:t>
            </w:r>
          </w:p>
          <w:p w:rsidR="009C5EF3" w:rsidRPr="009628E1" w:rsidRDefault="009C5EF3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CSG déductible</w:t>
            </w:r>
          </w:p>
          <w:p w:rsidR="009C5EF3" w:rsidRPr="009628E1" w:rsidRDefault="009C5EF3" w:rsidP="0057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CSG/CRDS non déductible</w:t>
            </w:r>
          </w:p>
        </w:tc>
        <w:tc>
          <w:tcPr>
            <w:tcW w:w="1985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EF3" w:rsidRPr="009628E1" w:rsidRDefault="009C5EF3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5 700,00</w:t>
            </w:r>
          </w:p>
          <w:p w:rsidR="009C5EF3" w:rsidRPr="009628E1" w:rsidRDefault="009C5EF3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  <w:p w:rsidR="009C5EF3" w:rsidRPr="009628E1" w:rsidRDefault="009C5EF3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828" w:type="dxa"/>
          </w:tcPr>
          <w:p w:rsidR="009C5EF3" w:rsidRPr="009628E1" w:rsidRDefault="009C5EF3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074" w:rsidRPr="009628E1" w:rsidRDefault="00574074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28 300,00</w:t>
            </w:r>
          </w:p>
        </w:tc>
      </w:tr>
      <w:tr w:rsidR="009C5EF3" w:rsidRPr="009628E1" w:rsidTr="009C5EF3">
        <w:tc>
          <w:tcPr>
            <w:tcW w:w="5353" w:type="dxa"/>
          </w:tcPr>
          <w:p w:rsidR="009C5EF3" w:rsidRPr="009628E1" w:rsidRDefault="009C5EF3" w:rsidP="0057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PÔLE EMPLOI (assurance chômage)</w:t>
            </w:r>
          </w:p>
        </w:tc>
        <w:tc>
          <w:tcPr>
            <w:tcW w:w="1985" w:type="dxa"/>
          </w:tcPr>
          <w:p w:rsidR="009C5EF3" w:rsidRPr="009628E1" w:rsidRDefault="00574074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828" w:type="dxa"/>
          </w:tcPr>
          <w:p w:rsidR="009C5EF3" w:rsidRPr="009628E1" w:rsidRDefault="00574074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9C5EF3" w:rsidRPr="009628E1" w:rsidTr="009C5EF3">
        <w:tc>
          <w:tcPr>
            <w:tcW w:w="5353" w:type="dxa"/>
          </w:tcPr>
          <w:p w:rsidR="009C5EF3" w:rsidRPr="009628E1" w:rsidRDefault="009C5EF3" w:rsidP="0057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CAISSE DE RETRAITE</w:t>
            </w:r>
          </w:p>
        </w:tc>
        <w:tc>
          <w:tcPr>
            <w:tcW w:w="1985" w:type="dxa"/>
          </w:tcPr>
          <w:p w:rsidR="009C5EF3" w:rsidRPr="009628E1" w:rsidRDefault="00574074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4 300,00</w:t>
            </w:r>
          </w:p>
        </w:tc>
        <w:tc>
          <w:tcPr>
            <w:tcW w:w="1828" w:type="dxa"/>
          </w:tcPr>
          <w:p w:rsidR="009C5EF3" w:rsidRPr="009628E1" w:rsidRDefault="00574074" w:rsidP="00574074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</w:tbl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● </w:t>
      </w:r>
      <w:r w:rsidRPr="009628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Il a été versé début novembre des acomptes sur salaires pour un montant total de 3 500 €.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7DD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 xml:space="preserve"> Chaque fin de mois, la SA ANTOMALE est tenue de prélever la somme de 1 000 € au titre des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oppositions sur salaires.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ANNEXE 3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Eléments constitutifs de la déclaration de TVA du mois de novembre 2011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La SA ANTOMALE a réalisé les opérations suivantes en novembre 2011 :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687"/>
      </w:tblGrid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Opérations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Montant HT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Ventes de marchandises HT réalisées en France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500 000 €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Ventes de marchandises réalisées dans des pays de l’Union Européenne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550 000 €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Prestations de services HT facturées</w:t>
            </w:r>
          </w:p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Dont 200 000 € de prestations réglées courant novembre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750 000 €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Achats HT de biens en France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700 000 €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Achats HT de services en France. Aucun fournisseur n’a opté pour la TVA sur les débits.</w:t>
            </w:r>
          </w:p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Les règlements auront lieu en décembre 2011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50 000 €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Achats HT de biens auprès de fournisseurs de l’Union Européenne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35 000 €</w:t>
            </w:r>
          </w:p>
        </w:tc>
      </w:tr>
      <w:tr w:rsidR="00574074" w:rsidRPr="009628E1" w:rsidTr="00574074">
        <w:tc>
          <w:tcPr>
            <w:tcW w:w="7479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Acquisitions HT d’immobilisations en France</w:t>
            </w:r>
          </w:p>
        </w:tc>
        <w:tc>
          <w:tcPr>
            <w:tcW w:w="1687" w:type="dxa"/>
          </w:tcPr>
          <w:p w:rsidR="00574074" w:rsidRPr="009628E1" w:rsidRDefault="00574074" w:rsidP="005740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160 000 €</w:t>
            </w:r>
          </w:p>
        </w:tc>
      </w:tr>
    </w:tbl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 La déclaration de TVA du mois d’octobre 2011 a fait apparaître un crédit de TVA de 90 000 € qui n’a fait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l’objet d’aucune demande de remboursement.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7DD" w:rsidRPr="009628E1" w:rsidRDefault="00574074" w:rsidP="0057407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sz w:val="20"/>
          <w:szCs w:val="20"/>
        </w:rPr>
        <w:t>● Tous les numéros d’identification intra-communautaire ont été communiqués.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lastRenderedPageBreak/>
        <w:t>ANNEXE 4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Informations relatives à la presse P369 cédée</w:t>
      </w:r>
    </w:p>
    <w:p w:rsidR="00CE4074" w:rsidRPr="009628E1" w:rsidRDefault="00CE4074" w:rsidP="0057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Date d'acquisition et de mise en service : 1</w:t>
      </w:r>
      <w:r w:rsidRPr="009628E1">
        <w:rPr>
          <w:rFonts w:ascii="Times New Roman" w:hAnsi="Times New Roman" w:cs="Times New Roman"/>
          <w:sz w:val="13"/>
          <w:szCs w:val="13"/>
        </w:rPr>
        <w:t xml:space="preserve">er </w:t>
      </w:r>
      <w:r w:rsidRPr="009628E1">
        <w:rPr>
          <w:rFonts w:ascii="Times New Roman" w:hAnsi="Times New Roman" w:cs="Times New Roman"/>
          <w:sz w:val="20"/>
          <w:szCs w:val="20"/>
        </w:rPr>
        <w:t>janvier 2008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Prix d'acquisition hors taxes : 45 000 €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Valeur résiduelle : 5 000 €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Prix de vente HT : 6 000 €</w:t>
      </w:r>
    </w:p>
    <w:p w:rsidR="00574074" w:rsidRPr="009628E1" w:rsidRDefault="00574074" w:rsidP="0057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Date de cession : 15 novembre 2011</w:t>
      </w:r>
    </w:p>
    <w:p w:rsidR="003227DD" w:rsidRPr="009628E1" w:rsidRDefault="0057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- Amortissement économique calculé sur 5 ans en fonction des heures prévisionnelles d'utilisation de la</w:t>
      </w:r>
      <w:r w:rsidR="00CE4074"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machine.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La SA ANTOMALE avait prévu d'utiliser la presse pour un total de 6 000 heures selon les prévisions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suivantes :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51"/>
        <w:gridCol w:w="992"/>
      </w:tblGrid>
      <w:tr w:rsidR="00CE4074" w:rsidRPr="009628E1" w:rsidTr="00CE4074">
        <w:tc>
          <w:tcPr>
            <w:tcW w:w="3936" w:type="dxa"/>
          </w:tcPr>
          <w:p w:rsidR="00CE4074" w:rsidRPr="009628E1" w:rsidRDefault="00CE4074" w:rsidP="00CE4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Année</w:t>
            </w:r>
          </w:p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Total heures d'utilisation</w:t>
            </w:r>
          </w:p>
        </w:tc>
        <w:tc>
          <w:tcPr>
            <w:tcW w:w="850" w:type="dxa"/>
          </w:tcPr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</w:tcPr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</w:tcPr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CE4074" w:rsidRPr="009628E1" w:rsidRDefault="00CE4074" w:rsidP="00CE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</w:tbl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Du 1</w:t>
      </w:r>
      <w:r w:rsidRPr="009628E1">
        <w:rPr>
          <w:rFonts w:ascii="Times New Roman" w:hAnsi="Times New Roman" w:cs="Times New Roman"/>
          <w:sz w:val="13"/>
          <w:szCs w:val="13"/>
        </w:rPr>
        <w:t xml:space="preserve">er </w:t>
      </w:r>
      <w:r w:rsidRPr="009628E1">
        <w:rPr>
          <w:rFonts w:ascii="Times New Roman" w:hAnsi="Times New Roman" w:cs="Times New Roman"/>
          <w:sz w:val="20"/>
          <w:szCs w:val="20"/>
        </w:rPr>
        <w:t>janvier 2011 jusqu'à la date de cession, la presse a été utilisée pendant 900 heures.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5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Régularisations d'inventaire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 Une prime d'assurance de 1 800 € concernant la période du 1</w:t>
      </w:r>
      <w:r w:rsidRPr="009628E1">
        <w:rPr>
          <w:rFonts w:ascii="Times New Roman" w:hAnsi="Times New Roman" w:cs="Times New Roman"/>
          <w:sz w:val="13"/>
          <w:szCs w:val="13"/>
        </w:rPr>
        <w:t xml:space="preserve">er </w:t>
      </w:r>
      <w:r w:rsidRPr="009628E1">
        <w:rPr>
          <w:rFonts w:ascii="Times New Roman" w:hAnsi="Times New Roman" w:cs="Times New Roman"/>
          <w:sz w:val="20"/>
          <w:szCs w:val="20"/>
        </w:rPr>
        <w:t>septembre 2011 au 31 août 2012 a été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enregistrée le 12 septembre 2011.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 Un litige en cours aux prud'hommes avec un des salariés de la SA ANTOMALE risque de se solder par le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versement de dommages et intérêts pour un montant de 3 500 €.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 Un prélèvement EDF de 1080 € TTC (dont 180 € de TVA) a été réalisé sur le compte de la SA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ANTOMALE le 20 décembre 2011 alors que la facture n'a toujours pas été reçue.</w:t>
      </w: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074" w:rsidRPr="009628E1" w:rsidRDefault="00CE4074" w:rsidP="00CE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 Une facture de 5 000 USD relative à une vente de mobilier à un client ukrainien a été enregistrée le 28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octobre 2011. Cette facture sera réglée en janvier 2012.</w:t>
      </w:r>
    </w:p>
    <w:p w:rsidR="00CE4074" w:rsidRPr="009628E1" w:rsidRDefault="00CE4074" w:rsidP="00CE4074">
      <w:pPr>
        <w:rPr>
          <w:rFonts w:ascii="Times New Roman" w:hAnsi="Times New Roman" w:cs="Times New Roman"/>
          <w:sz w:val="20"/>
          <w:szCs w:val="20"/>
        </w:rPr>
      </w:pPr>
    </w:p>
    <w:p w:rsidR="003227DD" w:rsidRPr="009628E1" w:rsidRDefault="00CE4074" w:rsidP="00CE4074">
      <w:pPr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Les cours de change sont les suivants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CE4074" w:rsidRPr="009628E1" w:rsidTr="00CE4074">
        <w:tc>
          <w:tcPr>
            <w:tcW w:w="3055" w:type="dxa"/>
          </w:tcPr>
          <w:p w:rsidR="00CE4074" w:rsidRPr="009628E1" w:rsidRDefault="00CE4074" w:rsidP="00CE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055" w:type="dxa"/>
          </w:tcPr>
          <w:p w:rsidR="00CE4074" w:rsidRPr="009628E1" w:rsidRDefault="00CE4074" w:rsidP="00CE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28/10/2011</w:t>
            </w:r>
          </w:p>
        </w:tc>
        <w:tc>
          <w:tcPr>
            <w:tcW w:w="3056" w:type="dxa"/>
          </w:tcPr>
          <w:p w:rsidR="00CE4074" w:rsidRPr="009628E1" w:rsidRDefault="00CE4074" w:rsidP="00CE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31/12/2011</w:t>
            </w:r>
          </w:p>
        </w:tc>
      </w:tr>
      <w:tr w:rsidR="00CE4074" w:rsidRPr="009628E1" w:rsidTr="00CE4074">
        <w:tc>
          <w:tcPr>
            <w:tcW w:w="3055" w:type="dxa"/>
          </w:tcPr>
          <w:p w:rsidR="00CE4074" w:rsidRPr="009628E1" w:rsidRDefault="00CE4074" w:rsidP="00CE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Cours de l'USD en euros</w:t>
            </w:r>
          </w:p>
        </w:tc>
        <w:tc>
          <w:tcPr>
            <w:tcW w:w="3055" w:type="dxa"/>
          </w:tcPr>
          <w:p w:rsidR="00CE4074" w:rsidRPr="009628E1" w:rsidRDefault="00CE4074" w:rsidP="00CE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 USD = 0.78 €</w:t>
            </w:r>
          </w:p>
        </w:tc>
        <w:tc>
          <w:tcPr>
            <w:tcW w:w="3056" w:type="dxa"/>
          </w:tcPr>
          <w:p w:rsidR="00CE4074" w:rsidRPr="009628E1" w:rsidRDefault="00CE4074" w:rsidP="00CE407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 USD = 0.75 €</w:t>
            </w:r>
          </w:p>
        </w:tc>
      </w:tr>
    </w:tbl>
    <w:p w:rsidR="00CE4074" w:rsidRPr="009628E1" w:rsidRDefault="00CE4074" w:rsidP="00CE407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82209" w:rsidRPr="009628E1" w:rsidRDefault="00782209" w:rsidP="007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Dans le bilan de l'exercice 2010 figure une provision pour pertes de change d'un montant de 820 € afférant à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une facture qui a été réglée en février 2011.</w:t>
      </w:r>
    </w:p>
    <w:p w:rsidR="00782209" w:rsidRPr="009628E1" w:rsidRDefault="00782209" w:rsidP="007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209" w:rsidRPr="009628E1" w:rsidRDefault="00782209" w:rsidP="007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8E1">
        <w:rPr>
          <w:rFonts w:ascii="Times New Roman" w:hAnsi="Times New Roman" w:cs="Times New Roman"/>
          <w:sz w:val="20"/>
          <w:szCs w:val="20"/>
        </w:rPr>
        <w:t>● Une ancienne créance de 9 600 € TTC (dont 1 600 € de TVA) sur le client VALENTIN avait fait l'objet</w:t>
      </w:r>
      <w:r w:rsidRPr="009628E1">
        <w:rPr>
          <w:rFonts w:ascii="Times New Roman" w:hAnsi="Times New Roman" w:cs="Times New Roman"/>
          <w:sz w:val="20"/>
          <w:szCs w:val="20"/>
        </w:rPr>
        <w:t xml:space="preserve"> </w:t>
      </w:r>
      <w:r w:rsidRPr="009628E1">
        <w:rPr>
          <w:rFonts w:ascii="Times New Roman" w:hAnsi="Times New Roman" w:cs="Times New Roman"/>
          <w:sz w:val="20"/>
          <w:szCs w:val="20"/>
        </w:rPr>
        <w:t>d'une dépréciation de 20 % fin 2010. Un règlement de 2 400 € TTC a été reçu et enregistré en octobre 2011.</w:t>
      </w:r>
    </w:p>
    <w:p w:rsidR="00782209" w:rsidRPr="009628E1" w:rsidRDefault="00782209" w:rsidP="0078220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sz w:val="20"/>
          <w:szCs w:val="20"/>
        </w:rPr>
        <w:t>À la date d'inventaire, le client VALENTIN est définitivement insolvable.</w:t>
      </w:r>
    </w:p>
    <w:p w:rsidR="003227DD" w:rsidRPr="009628E1" w:rsidRDefault="003227DD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2209" w:rsidRPr="009628E1" w:rsidRDefault="00782209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2209" w:rsidRPr="009628E1" w:rsidRDefault="00782209" w:rsidP="00322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28E1" w:rsidRDefault="009628E1" w:rsidP="007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28E1" w:rsidRDefault="009628E1" w:rsidP="007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2209" w:rsidRPr="009628E1" w:rsidRDefault="00782209" w:rsidP="007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A</w:t>
      </w:r>
    </w:p>
    <w:p w:rsidR="00782209" w:rsidRPr="009628E1" w:rsidRDefault="00782209" w:rsidP="007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2209" w:rsidRPr="009628E1" w:rsidRDefault="00782209" w:rsidP="0078220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Tableau d’amortissement de l’emprunt</w:t>
      </w:r>
    </w:p>
    <w:p w:rsidR="00782209" w:rsidRPr="009628E1" w:rsidRDefault="00782209" w:rsidP="00782209">
      <w:pPr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proofErr w:type="gramStart"/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à</w:t>
      </w:r>
      <w:proofErr w:type="gramEnd"/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rendre avec la copie)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2094"/>
        <w:gridCol w:w="1842"/>
        <w:gridCol w:w="1183"/>
        <w:gridCol w:w="1707"/>
        <w:gridCol w:w="1708"/>
      </w:tblGrid>
      <w:tr w:rsidR="00782209" w:rsidRPr="009628E1" w:rsidTr="00782209">
        <w:tc>
          <w:tcPr>
            <w:tcW w:w="2094" w:type="dxa"/>
          </w:tcPr>
          <w:p w:rsidR="00782209" w:rsidRPr="009628E1" w:rsidRDefault="00782209" w:rsidP="0078220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Année</w:t>
            </w:r>
          </w:p>
        </w:tc>
        <w:tc>
          <w:tcPr>
            <w:tcW w:w="1842" w:type="dxa"/>
          </w:tcPr>
          <w:p w:rsidR="00782209" w:rsidRPr="009628E1" w:rsidRDefault="00782209" w:rsidP="0078220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Capital restant dû en</w:t>
            </w: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début de période</w:t>
            </w:r>
          </w:p>
        </w:tc>
        <w:tc>
          <w:tcPr>
            <w:tcW w:w="1183" w:type="dxa"/>
          </w:tcPr>
          <w:p w:rsidR="00782209" w:rsidRPr="009628E1" w:rsidRDefault="00782209" w:rsidP="0078220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Intérêts</w:t>
            </w:r>
          </w:p>
        </w:tc>
        <w:tc>
          <w:tcPr>
            <w:tcW w:w="1707" w:type="dxa"/>
          </w:tcPr>
          <w:p w:rsidR="00782209" w:rsidRPr="009628E1" w:rsidRDefault="00782209" w:rsidP="0078220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Amortissement</w:t>
            </w:r>
          </w:p>
        </w:tc>
        <w:tc>
          <w:tcPr>
            <w:tcW w:w="1708" w:type="dxa"/>
          </w:tcPr>
          <w:p w:rsidR="00782209" w:rsidRPr="009628E1" w:rsidRDefault="00782209" w:rsidP="0078220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Annuité</w:t>
            </w:r>
          </w:p>
        </w:tc>
      </w:tr>
      <w:tr w:rsidR="00782209" w:rsidRPr="009628E1" w:rsidTr="00782209">
        <w:tc>
          <w:tcPr>
            <w:tcW w:w="2094" w:type="dxa"/>
          </w:tcPr>
          <w:p w:rsidR="00782209" w:rsidRPr="009628E1" w:rsidRDefault="00782209" w:rsidP="0078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3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7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8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82209" w:rsidRPr="009628E1" w:rsidTr="00782209">
        <w:tc>
          <w:tcPr>
            <w:tcW w:w="2094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3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7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8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82209" w:rsidRPr="009628E1" w:rsidTr="00782209">
        <w:tc>
          <w:tcPr>
            <w:tcW w:w="2094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3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7" w:type="dxa"/>
          </w:tcPr>
          <w:p w:rsidR="00782209" w:rsidRPr="009628E1" w:rsidRDefault="00782209" w:rsidP="00782209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sz w:val="20"/>
                <w:szCs w:val="20"/>
              </w:rPr>
              <w:t>11 197,92</w:t>
            </w:r>
          </w:p>
        </w:tc>
        <w:tc>
          <w:tcPr>
            <w:tcW w:w="1708" w:type="dxa"/>
          </w:tcPr>
          <w:p w:rsidR="00782209" w:rsidRPr="009628E1" w:rsidRDefault="00782209" w:rsidP="0078220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782209" w:rsidRPr="009628E1" w:rsidRDefault="00782209" w:rsidP="00782209">
      <w:pPr>
        <w:ind w:left="708"/>
        <w:rPr>
          <w:rFonts w:ascii="Times New Roman" w:hAnsi="Times New Roman" w:cs="Times New Roman"/>
          <w:b/>
          <w:bCs/>
          <w:sz w:val="36"/>
          <w:szCs w:val="36"/>
        </w:rPr>
      </w:pPr>
    </w:p>
    <w:p w:rsidR="003529B6" w:rsidRPr="009628E1" w:rsidRDefault="003529B6" w:rsidP="003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B</w:t>
      </w:r>
    </w:p>
    <w:p w:rsidR="003529B6" w:rsidRPr="009628E1" w:rsidRDefault="003529B6" w:rsidP="003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29B6" w:rsidRPr="009628E1" w:rsidRDefault="003529B6" w:rsidP="003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Tableau des immobilisations</w:t>
      </w:r>
    </w:p>
    <w:p w:rsidR="003529B6" w:rsidRPr="009628E1" w:rsidRDefault="003529B6" w:rsidP="003529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proofErr w:type="gramStart"/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à</w:t>
      </w:r>
      <w:proofErr w:type="gramEnd"/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rendre avec la copie)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595"/>
        <w:gridCol w:w="1732"/>
        <w:gridCol w:w="1733"/>
        <w:gridCol w:w="1733"/>
        <w:gridCol w:w="1733"/>
      </w:tblGrid>
      <w:tr w:rsidR="003529B6" w:rsidRPr="009628E1" w:rsidTr="003529B6">
        <w:tc>
          <w:tcPr>
            <w:tcW w:w="1560" w:type="dxa"/>
            <w:tcBorders>
              <w:top w:val="nil"/>
              <w:left w:val="nil"/>
            </w:tcBorders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931" w:type="dxa"/>
            <w:gridSpan w:val="4"/>
          </w:tcPr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Situations et mouvements</w:t>
            </w:r>
          </w:p>
        </w:tc>
      </w:tr>
      <w:tr w:rsidR="003529B6" w:rsidRPr="009628E1" w:rsidTr="00A8183A">
        <w:trPr>
          <w:trHeight w:val="292"/>
        </w:trPr>
        <w:tc>
          <w:tcPr>
            <w:tcW w:w="1560" w:type="dxa"/>
            <w:vMerge w:val="restart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1732" w:type="dxa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33" w:type="dxa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33" w:type="dxa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33" w:type="dxa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3529B6" w:rsidRPr="009628E1" w:rsidTr="003529B6">
        <w:trPr>
          <w:trHeight w:val="1079"/>
        </w:trPr>
        <w:tc>
          <w:tcPr>
            <w:tcW w:w="1560" w:type="dxa"/>
            <w:vMerge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32" w:type="dxa"/>
          </w:tcPr>
          <w:p w:rsidR="003529B6" w:rsidRPr="009628E1" w:rsidRDefault="003529B6" w:rsidP="0035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Valeur brute à</w:t>
            </w:r>
          </w:p>
          <w:p w:rsidR="003529B6" w:rsidRPr="009628E1" w:rsidRDefault="003529B6" w:rsidP="0035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l'ouverture de</w:t>
            </w:r>
          </w:p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l'exercice</w:t>
            </w:r>
          </w:p>
        </w:tc>
        <w:tc>
          <w:tcPr>
            <w:tcW w:w="1733" w:type="dxa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Augmentations</w:t>
            </w:r>
          </w:p>
        </w:tc>
        <w:tc>
          <w:tcPr>
            <w:tcW w:w="1733" w:type="dxa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Diminutions</w:t>
            </w:r>
          </w:p>
        </w:tc>
        <w:tc>
          <w:tcPr>
            <w:tcW w:w="1733" w:type="dxa"/>
          </w:tcPr>
          <w:p w:rsidR="003529B6" w:rsidRPr="009628E1" w:rsidRDefault="003529B6" w:rsidP="00352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Valeur brute à la</w:t>
            </w:r>
          </w:p>
          <w:p w:rsidR="003529B6" w:rsidRPr="009628E1" w:rsidRDefault="003529B6" w:rsidP="00352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clôture de</w:t>
            </w:r>
          </w:p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l'exercice</w:t>
            </w:r>
          </w:p>
        </w:tc>
      </w:tr>
      <w:tr w:rsidR="003529B6" w:rsidRPr="009628E1" w:rsidTr="003529B6">
        <w:trPr>
          <w:trHeight w:val="1265"/>
        </w:trPr>
        <w:tc>
          <w:tcPr>
            <w:tcW w:w="1560" w:type="dxa"/>
          </w:tcPr>
          <w:p w:rsidR="003529B6" w:rsidRPr="009628E1" w:rsidRDefault="003529B6" w:rsidP="0035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9B6" w:rsidRPr="009628E1" w:rsidRDefault="003529B6" w:rsidP="0035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Immobilisations</w:t>
            </w:r>
          </w:p>
          <w:p w:rsidR="003529B6" w:rsidRPr="009628E1" w:rsidRDefault="003529B6" w:rsidP="0035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corporelles</w:t>
            </w:r>
          </w:p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Presse P369</w:t>
            </w:r>
          </w:p>
        </w:tc>
        <w:tc>
          <w:tcPr>
            <w:tcW w:w="6931" w:type="dxa"/>
            <w:gridSpan w:val="4"/>
          </w:tcPr>
          <w:p w:rsidR="003529B6" w:rsidRPr="009628E1" w:rsidRDefault="003529B6" w:rsidP="003227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782209" w:rsidRPr="009628E1" w:rsidRDefault="00782209" w:rsidP="003529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29B6" w:rsidRPr="009628E1" w:rsidRDefault="003529B6" w:rsidP="003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</w:rPr>
        <w:t>ANNEXE C</w:t>
      </w:r>
    </w:p>
    <w:p w:rsidR="003529B6" w:rsidRPr="009628E1" w:rsidRDefault="003529B6" w:rsidP="003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29B6" w:rsidRPr="009628E1" w:rsidRDefault="003529B6" w:rsidP="0035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Tableau des amortissements</w:t>
      </w:r>
    </w:p>
    <w:p w:rsidR="003529B6" w:rsidRPr="009628E1" w:rsidRDefault="003529B6" w:rsidP="003529B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proofErr w:type="gramStart"/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>à</w:t>
      </w:r>
      <w:proofErr w:type="gramEnd"/>
      <w:r w:rsidRPr="009628E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rendre avec la copie)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43"/>
        <w:gridCol w:w="1687"/>
        <w:gridCol w:w="1687"/>
        <w:gridCol w:w="1687"/>
        <w:gridCol w:w="1687"/>
      </w:tblGrid>
      <w:tr w:rsidR="003529B6" w:rsidRPr="009628E1" w:rsidTr="00F24CDF">
        <w:tc>
          <w:tcPr>
            <w:tcW w:w="1743" w:type="dxa"/>
            <w:tcBorders>
              <w:top w:val="nil"/>
              <w:left w:val="nil"/>
            </w:tcBorders>
          </w:tcPr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6748" w:type="dxa"/>
            <w:gridSpan w:val="4"/>
          </w:tcPr>
          <w:p w:rsidR="003529B6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Situations et mouvements</w:t>
            </w:r>
          </w:p>
        </w:tc>
      </w:tr>
      <w:tr w:rsidR="00F24CDF" w:rsidRPr="009628E1" w:rsidTr="00FA15BF">
        <w:trPr>
          <w:trHeight w:val="292"/>
        </w:trPr>
        <w:tc>
          <w:tcPr>
            <w:tcW w:w="1743" w:type="dxa"/>
            <w:vMerge w:val="restart"/>
          </w:tcPr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1687" w:type="dxa"/>
          </w:tcPr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87" w:type="dxa"/>
          </w:tcPr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87" w:type="dxa"/>
          </w:tcPr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87" w:type="dxa"/>
          </w:tcPr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F24CDF" w:rsidRPr="009628E1" w:rsidTr="00F24CDF">
        <w:trPr>
          <w:trHeight w:val="1319"/>
        </w:trPr>
        <w:tc>
          <w:tcPr>
            <w:tcW w:w="1743" w:type="dxa"/>
            <w:vMerge/>
          </w:tcPr>
          <w:p w:rsidR="00F24CDF" w:rsidRPr="009628E1" w:rsidRDefault="00F24CDF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Amortissements</w:t>
            </w:r>
          </w:p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cumulés au début</w:t>
            </w:r>
          </w:p>
          <w:p w:rsidR="00F24CDF" w:rsidRPr="009628E1" w:rsidRDefault="00F24CDF" w:rsidP="00F24C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l'exercice</w:t>
            </w:r>
          </w:p>
        </w:tc>
        <w:tc>
          <w:tcPr>
            <w:tcW w:w="1687" w:type="dxa"/>
          </w:tcPr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Augmentations :</w:t>
            </w:r>
          </w:p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dotations de</w:t>
            </w:r>
          </w:p>
          <w:p w:rsidR="00F24CDF" w:rsidRPr="009628E1" w:rsidRDefault="00F24CDF" w:rsidP="00F24C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l'exercice</w:t>
            </w:r>
          </w:p>
        </w:tc>
        <w:tc>
          <w:tcPr>
            <w:tcW w:w="1687" w:type="dxa"/>
          </w:tcPr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Diminutions</w:t>
            </w:r>
          </w:p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d'amortissements</w:t>
            </w:r>
          </w:p>
          <w:p w:rsidR="00F24CDF" w:rsidRPr="009628E1" w:rsidRDefault="00F24CDF" w:rsidP="00F24C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l'exercice</w:t>
            </w:r>
          </w:p>
        </w:tc>
        <w:tc>
          <w:tcPr>
            <w:tcW w:w="1687" w:type="dxa"/>
          </w:tcPr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Amortissements</w:t>
            </w:r>
          </w:p>
          <w:p w:rsidR="00F24CDF" w:rsidRPr="009628E1" w:rsidRDefault="00F24CDF" w:rsidP="00F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cumulés à la fin de</w:t>
            </w:r>
          </w:p>
          <w:p w:rsidR="00F24CDF" w:rsidRPr="009628E1" w:rsidRDefault="00F24CDF" w:rsidP="00F24C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l'exercice</w:t>
            </w:r>
          </w:p>
        </w:tc>
      </w:tr>
      <w:tr w:rsidR="003529B6" w:rsidRPr="009628E1" w:rsidTr="003529B6">
        <w:tc>
          <w:tcPr>
            <w:tcW w:w="1743" w:type="dxa"/>
          </w:tcPr>
          <w:p w:rsidR="00F24CDF" w:rsidRPr="009628E1" w:rsidRDefault="00F24CDF" w:rsidP="00F2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Immobilisations</w:t>
            </w:r>
          </w:p>
          <w:p w:rsidR="00F24CDF" w:rsidRPr="009628E1" w:rsidRDefault="00F24CDF" w:rsidP="00F2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corporelles</w:t>
            </w:r>
          </w:p>
          <w:p w:rsidR="003529B6" w:rsidRPr="009628E1" w:rsidRDefault="00F24CDF" w:rsidP="00F24C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96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Presse P369</w:t>
            </w:r>
          </w:p>
        </w:tc>
        <w:tc>
          <w:tcPr>
            <w:tcW w:w="6748" w:type="dxa"/>
            <w:gridSpan w:val="4"/>
          </w:tcPr>
          <w:p w:rsidR="003529B6" w:rsidRPr="009628E1" w:rsidRDefault="003529B6" w:rsidP="003529B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3529B6" w:rsidRPr="009628E1" w:rsidRDefault="003529B6" w:rsidP="00F24CD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3529B6" w:rsidRPr="009628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22" w:rsidRDefault="00D05D22" w:rsidP="00F24CDF">
      <w:pPr>
        <w:spacing w:after="0" w:line="240" w:lineRule="auto"/>
      </w:pPr>
      <w:r>
        <w:separator/>
      </w:r>
    </w:p>
  </w:endnote>
  <w:endnote w:type="continuationSeparator" w:id="0">
    <w:p w:rsidR="00D05D22" w:rsidRDefault="00D05D22" w:rsidP="00F2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70059"/>
      <w:docPartObj>
        <w:docPartGallery w:val="Page Numbers (Bottom of Page)"/>
        <w:docPartUnique/>
      </w:docPartObj>
    </w:sdtPr>
    <w:sdtContent>
      <w:p w:rsidR="00F24CDF" w:rsidRDefault="009628E1" w:rsidP="009628E1">
        <w:pPr>
          <w:pStyle w:val="Pieddepage"/>
        </w:pPr>
        <w:r w:rsidRPr="009628E1">
          <w:t xml:space="preserve">©Comptazine – Reproduction Interdite            </w:t>
        </w:r>
        <w:r w:rsidRPr="009628E1">
          <w:tab/>
          <w:t>DCG 2012 UE9 – Introduction à la Comptabilité</w:t>
        </w:r>
        <w:r>
          <w:t xml:space="preserve">        </w:t>
        </w:r>
        <w:r w:rsidR="00F24CDF">
          <w:fldChar w:fldCharType="begin"/>
        </w:r>
        <w:r w:rsidR="00F24CDF">
          <w:instrText>PAGE   \* MERGEFORMAT</w:instrText>
        </w:r>
        <w:r w:rsidR="00F24CDF">
          <w:fldChar w:fldCharType="separate"/>
        </w:r>
        <w:r>
          <w:rPr>
            <w:noProof/>
          </w:rPr>
          <w:t>9</w:t>
        </w:r>
        <w:r w:rsidR="00F24CDF">
          <w:fldChar w:fldCharType="end"/>
        </w:r>
        <w:r w:rsidR="00F24CDF">
          <w:t>/9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22" w:rsidRDefault="00D05D22" w:rsidP="00F24CDF">
      <w:pPr>
        <w:spacing w:after="0" w:line="240" w:lineRule="auto"/>
      </w:pPr>
      <w:r>
        <w:separator/>
      </w:r>
    </w:p>
  </w:footnote>
  <w:footnote w:type="continuationSeparator" w:id="0">
    <w:p w:rsidR="00D05D22" w:rsidRDefault="00D05D22" w:rsidP="00F2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DF" w:rsidRPr="002F7CF2" w:rsidRDefault="00F24CDF" w:rsidP="00F24CDF">
    <w:pPr>
      <w:pStyle w:val="En-tte"/>
      <w:tabs>
        <w:tab w:val="left" w:pos="555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D29BB9" wp14:editId="3DACD6CF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B98B6F" wp14:editId="2B26D8B3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CDF" w:rsidRPr="005E18B7" w:rsidRDefault="00F24CDF" w:rsidP="00F24CDF">
                          <w:pPr>
                            <w:spacing w:before="7" w:after="0" w:line="240" w:lineRule="auto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33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F24CDF" w:rsidRPr="005E18B7" w:rsidRDefault="00F24CDF" w:rsidP="00F24CDF">
                    <w:pPr>
                      <w:spacing w:before="7" w:after="0" w:line="240" w:lineRule="auto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24CDF" w:rsidRDefault="00F24C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E8F"/>
    <w:multiLevelType w:val="hybridMultilevel"/>
    <w:tmpl w:val="89E475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58CB"/>
    <w:multiLevelType w:val="hybridMultilevel"/>
    <w:tmpl w:val="A32E90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742"/>
    <w:multiLevelType w:val="hybridMultilevel"/>
    <w:tmpl w:val="C61817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0813"/>
    <w:multiLevelType w:val="hybridMultilevel"/>
    <w:tmpl w:val="DBA4D304"/>
    <w:lvl w:ilvl="0" w:tplc="BC383328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0332"/>
    <w:multiLevelType w:val="hybridMultilevel"/>
    <w:tmpl w:val="A4549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B3381"/>
    <w:multiLevelType w:val="hybridMultilevel"/>
    <w:tmpl w:val="EBC813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DD"/>
    <w:rsid w:val="00066CEC"/>
    <w:rsid w:val="001535B9"/>
    <w:rsid w:val="003068F1"/>
    <w:rsid w:val="003227DD"/>
    <w:rsid w:val="003529B6"/>
    <w:rsid w:val="00506052"/>
    <w:rsid w:val="00574074"/>
    <w:rsid w:val="00675C0C"/>
    <w:rsid w:val="00782209"/>
    <w:rsid w:val="009103A2"/>
    <w:rsid w:val="009628E1"/>
    <w:rsid w:val="009C5EF3"/>
    <w:rsid w:val="00A252C0"/>
    <w:rsid w:val="00C10B7F"/>
    <w:rsid w:val="00CE4074"/>
    <w:rsid w:val="00D05D22"/>
    <w:rsid w:val="00DF0B2B"/>
    <w:rsid w:val="00F01C21"/>
    <w:rsid w:val="00F24CDF"/>
    <w:rsid w:val="00F271A7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C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F2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24CDF"/>
  </w:style>
  <w:style w:type="paragraph" w:styleId="Pieddepage">
    <w:name w:val="footer"/>
    <w:basedOn w:val="Normal"/>
    <w:link w:val="PieddepageCar"/>
    <w:uiPriority w:val="99"/>
    <w:unhideWhenUsed/>
    <w:rsid w:val="00F2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CDF"/>
  </w:style>
  <w:style w:type="character" w:styleId="Lienhypertexte">
    <w:name w:val="Hyperlink"/>
    <w:rsid w:val="00F24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C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F2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24CDF"/>
  </w:style>
  <w:style w:type="paragraph" w:styleId="Pieddepage">
    <w:name w:val="footer"/>
    <w:basedOn w:val="Normal"/>
    <w:link w:val="PieddepageCar"/>
    <w:uiPriority w:val="99"/>
    <w:unhideWhenUsed/>
    <w:rsid w:val="00F2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CDF"/>
  </w:style>
  <w:style w:type="character" w:styleId="Lienhypertexte">
    <w:name w:val="Hyperlink"/>
    <w:rsid w:val="00F2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2296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</cp:revision>
  <dcterms:created xsi:type="dcterms:W3CDTF">2012-09-11T11:22:00Z</dcterms:created>
  <dcterms:modified xsi:type="dcterms:W3CDTF">2012-09-11T15:10:00Z</dcterms:modified>
</cp:coreProperties>
</file>