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CF1" w:rsidRDefault="00755CF1">
      <w:pPr>
        <w:rPr>
          <w:sz w:val="20"/>
          <w:szCs w:val="20"/>
        </w:rPr>
      </w:pPr>
    </w:p>
    <w:p w:rsidR="00755CF1" w:rsidRDefault="00755CF1">
      <w:pPr>
        <w:pStyle w:val="Titre1"/>
        <w:rPr>
          <w:sz w:val="20"/>
        </w:rPr>
      </w:pPr>
      <w:r>
        <w:rPr>
          <w:sz w:val="20"/>
        </w:rPr>
        <w:t xml:space="preserve">                    </w:t>
      </w:r>
    </w:p>
    <w:p w:rsidR="00755CF1" w:rsidRDefault="003F462D">
      <w:pPr>
        <w:rPr>
          <w:rFonts w:ascii="Times" w:eastAsia="Times" w:hAnsi="Times"/>
          <w:sz w:val="32"/>
          <w:szCs w:val="20"/>
        </w:rPr>
      </w:pPr>
      <w:r>
        <w:rPr>
          <w:noProof/>
        </w:rPr>
        <mc:AlternateContent>
          <mc:Choice Requires="wpg">
            <w:drawing>
              <wp:anchor distT="0" distB="0" distL="114300" distR="114300" simplePos="0" relativeHeight="251657728" behindDoc="0" locked="0" layoutInCell="1" allowOverlap="1">
                <wp:simplePos x="0" y="0"/>
                <wp:positionH relativeFrom="column">
                  <wp:posOffset>299085</wp:posOffset>
                </wp:positionH>
                <wp:positionV relativeFrom="paragraph">
                  <wp:posOffset>127000</wp:posOffset>
                </wp:positionV>
                <wp:extent cx="1429385" cy="723900"/>
                <wp:effectExtent l="0" t="0" r="0" b="0"/>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9385" cy="723900"/>
                          <a:chOff x="1605" y="1319"/>
                          <a:chExt cx="2251" cy="1140"/>
                        </a:xfrm>
                      </wpg:grpSpPr>
                      <wps:wsp>
                        <wps:cNvPr id="3" name="Text Box 10"/>
                        <wps:cNvSpPr txBox="1">
                          <a:spLocks noChangeArrowheads="1"/>
                        </wps:cNvSpPr>
                        <wps:spPr bwMode="auto">
                          <a:xfrm>
                            <a:off x="1786" y="1543"/>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CF1" w:rsidRDefault="00755CF1">
                              <w:pPr>
                                <w:rPr>
                                  <w:sz w:val="40"/>
                                </w:rPr>
                              </w:pPr>
                              <w:r>
                                <w:rPr>
                                  <w:sz w:val="40"/>
                                </w:rPr>
                                <w:t>DSCG</w:t>
                              </w:r>
                            </w:p>
                          </w:txbxContent>
                        </wps:txbx>
                        <wps:bodyPr rot="0" vert="horz" wrap="square" lIns="91440" tIns="45720" rIns="91440" bIns="45720" anchor="t" anchorCtr="0" upright="1">
                          <a:noAutofit/>
                        </wps:bodyPr>
                      </wps:wsp>
                      <wps:wsp>
                        <wps:cNvPr id="4" name="AutoShape 11"/>
                        <wps:cNvSpPr>
                          <a:spLocks noChangeArrowheads="1"/>
                        </wps:cNvSpPr>
                        <wps:spPr bwMode="auto">
                          <a:xfrm>
                            <a:off x="1605" y="1319"/>
                            <a:ext cx="1860" cy="114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23.55pt;margin-top:10pt;width:112.55pt;height:57pt;z-index:251657728" coordorigin="1605,1319" coordsize="2251,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">
                <v:shapetype id="_x0000_t202" coordsize="21600,21600" o:spt="202" path="m,l,21600r21600,l21600,xe">
                  <v:stroke joinstyle="miter"/>
                  <v:path gradientshapeok="t" o:connecttype="rect"/>
                </v:shapetype>
                <v:shape id="Text Box 10" o:spid="_x0000_s1027" type="#_x0000_t202" style="position:absolute;left:1786;top:1543;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755CF1" w:rsidRDefault="00755CF1">
                        <w:pPr>
                          <w:rPr>
                            <w:sz w:val="40"/>
                          </w:rPr>
                        </w:pPr>
                        <w:r>
                          <w:rPr>
                            <w:sz w:val="40"/>
                          </w:rPr>
                          <w:t>DSCG</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1" o:spid="_x0000_s1028" type="#_x0000_t65" style="position:absolute;left:1605;top:1319;width:186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U+kMEA&#10;AADaAAAADwAAAGRycy9kb3ducmV2LnhtbESPT4vCMBTE7wt+h/AEb2uqiLtUo6gou3jxL3h9JM+2&#10;2ryUJmr99kZY2OMwM79hxtPGluJOtS8cK+h1ExDE2pmCMwXHw+rzG4QPyAZLx6TgSR6mk9bHGFPj&#10;Hryj+z5kIkLYp6ggD6FKpfQ6J4u+6yri6J1dbTFEWWfS1PiIcFvKfpIMpcWC40KOFS1y0tf9zSpw&#10;l/BlNrvtabhd6vmPznB9xLVSnXYzG4EI1IT/8F/71ygYwPtKvAFy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VPpDBAAAA2gAAAA8AAAAAAAAAAAAAAAAAmAIAAGRycy9kb3du&#10;cmV2LnhtbFBLBQYAAAAABAAEAPUAAACGAwAAAAA=&#10;" filled="f"/>
              </v:group>
            </w:pict>
          </mc:Fallback>
        </mc:AlternateContent>
      </w:r>
    </w:p>
    <w:p w:rsidR="00755CF1" w:rsidRDefault="00755CF1">
      <w:pPr>
        <w:rPr>
          <w:rFonts w:ascii="Times" w:eastAsia="Times" w:hAnsi="Times"/>
          <w:szCs w:val="20"/>
        </w:rPr>
      </w:pPr>
    </w:p>
    <w:p w:rsidR="00755CF1" w:rsidRDefault="00755CF1">
      <w:pPr>
        <w:rPr>
          <w:rFonts w:ascii="Times" w:eastAsia="Times" w:hAnsi="Times"/>
          <w:szCs w:val="20"/>
        </w:rPr>
      </w:pPr>
    </w:p>
    <w:p w:rsidR="00755CF1" w:rsidRDefault="00755CF1">
      <w:pPr>
        <w:rPr>
          <w:rFonts w:ascii="Times" w:eastAsia="Times" w:hAnsi="Times"/>
          <w:szCs w:val="20"/>
        </w:rPr>
      </w:pPr>
    </w:p>
    <w:p w:rsidR="00755CF1" w:rsidRDefault="00755CF1">
      <w:pPr>
        <w:pStyle w:val="Titre1"/>
        <w:rPr>
          <w:sz w:val="48"/>
          <w:szCs w:val="48"/>
        </w:rPr>
      </w:pPr>
    </w:p>
    <w:p w:rsidR="00755CF1" w:rsidRDefault="00755CF1">
      <w:pPr>
        <w:pStyle w:val="Titre"/>
        <w:rPr>
          <w:b/>
          <w:bCs/>
          <w:caps/>
        </w:rPr>
      </w:pPr>
      <w:r>
        <w:rPr>
          <w:b/>
          <w:bCs/>
          <w:caps/>
        </w:rPr>
        <w:t>SESSION 2009</w:t>
      </w:r>
    </w:p>
    <w:p w:rsidR="00755CF1" w:rsidRDefault="00755CF1">
      <w:pPr>
        <w:jc w:val="center"/>
        <w:rPr>
          <w:sz w:val="22"/>
        </w:rPr>
      </w:pPr>
    </w:p>
    <w:p w:rsidR="00755CF1" w:rsidRDefault="00755CF1">
      <w:pPr>
        <w:spacing w:line="259" w:lineRule="auto"/>
        <w:jc w:val="center"/>
        <w:rPr>
          <w:b/>
          <w:sz w:val="22"/>
        </w:rPr>
      </w:pPr>
    </w:p>
    <w:p w:rsidR="00755CF1" w:rsidRDefault="00755CF1">
      <w:pPr>
        <w:pStyle w:val="Titre3"/>
      </w:pPr>
      <w:r>
        <w:t>UE 2 – FINANCE</w:t>
      </w:r>
    </w:p>
    <w:p w:rsidR="00755CF1" w:rsidRDefault="00755CF1">
      <w:pPr>
        <w:pBdr>
          <w:bottom w:val="single" w:sz="6" w:space="1" w:color="auto"/>
        </w:pBdr>
        <w:tabs>
          <w:tab w:val="left" w:pos="8340"/>
        </w:tabs>
        <w:spacing w:before="60"/>
        <w:jc w:val="center"/>
        <w:rPr>
          <w:sz w:val="22"/>
        </w:rPr>
      </w:pPr>
      <w:r>
        <w:rPr>
          <w:sz w:val="22"/>
        </w:rPr>
        <w:t>Durée de l’épreuve : 3 heures - coefficient : 1</w:t>
      </w:r>
    </w:p>
    <w:p w:rsidR="00755CF1" w:rsidRDefault="00755CF1">
      <w:pPr>
        <w:pStyle w:val="Titre"/>
        <w:jc w:val="both"/>
        <w:rPr>
          <w:sz w:val="22"/>
          <w:szCs w:val="22"/>
        </w:rPr>
      </w:pPr>
      <w:r>
        <w:rPr>
          <w:sz w:val="22"/>
          <w:szCs w:val="22"/>
        </w:rPr>
        <w:t>Document autorisé :</w:t>
      </w:r>
    </w:p>
    <w:p w:rsidR="00755CF1" w:rsidRDefault="00755CF1">
      <w:pPr>
        <w:pStyle w:val="Titre"/>
        <w:jc w:val="both"/>
        <w:rPr>
          <w:b/>
          <w:bCs/>
          <w:sz w:val="22"/>
          <w:szCs w:val="22"/>
        </w:rPr>
      </w:pPr>
      <w:r>
        <w:rPr>
          <w:b/>
          <w:bCs/>
          <w:sz w:val="22"/>
          <w:szCs w:val="22"/>
        </w:rPr>
        <w:t xml:space="preserve">Aucun </w:t>
      </w:r>
    </w:p>
    <w:p w:rsidR="00755CF1" w:rsidRDefault="00755CF1">
      <w:pPr>
        <w:pStyle w:val="Titre"/>
        <w:ind w:firstLine="284"/>
        <w:jc w:val="both"/>
        <w:rPr>
          <w:b/>
          <w:bCs/>
          <w:sz w:val="10"/>
          <w:szCs w:val="10"/>
        </w:rPr>
      </w:pPr>
    </w:p>
    <w:p w:rsidR="00755CF1" w:rsidRDefault="00755CF1">
      <w:pPr>
        <w:pStyle w:val="Titre"/>
        <w:jc w:val="both"/>
        <w:rPr>
          <w:sz w:val="22"/>
          <w:szCs w:val="22"/>
        </w:rPr>
      </w:pPr>
      <w:r>
        <w:rPr>
          <w:sz w:val="22"/>
          <w:szCs w:val="22"/>
        </w:rPr>
        <w:t>Matériel autorisé :</w:t>
      </w:r>
    </w:p>
    <w:p w:rsidR="00755CF1" w:rsidRDefault="00755CF1">
      <w:pPr>
        <w:pStyle w:val="Titre"/>
        <w:jc w:val="both"/>
        <w:rPr>
          <w:b/>
          <w:bCs/>
          <w:sz w:val="22"/>
          <w:szCs w:val="22"/>
        </w:rPr>
      </w:pPr>
      <w:r>
        <w:rPr>
          <w:sz w:val="22"/>
          <w:szCs w:val="22"/>
        </w:rPr>
        <w:t>Une calculatrice de poche</w:t>
      </w:r>
      <w:r>
        <w:rPr>
          <w:b/>
          <w:bCs/>
          <w:sz w:val="22"/>
          <w:szCs w:val="22"/>
        </w:rPr>
        <w:t xml:space="preserve"> à fonctionnement autonome sans imprimante et sans aucun moyen de transmission, à l’exclusion de tout autre élément matériel ou documentaire (circulaire n° 99-186 du 16/11/99 ; BOEN n° 42).</w:t>
      </w:r>
    </w:p>
    <w:p w:rsidR="00755CF1" w:rsidRDefault="00755CF1">
      <w:pPr>
        <w:pStyle w:val="Titre"/>
        <w:jc w:val="both"/>
        <w:rPr>
          <w:b/>
          <w:bCs/>
          <w:sz w:val="10"/>
          <w:szCs w:val="10"/>
        </w:rPr>
      </w:pPr>
    </w:p>
    <w:p w:rsidR="00755CF1" w:rsidRDefault="00755CF1">
      <w:pPr>
        <w:pStyle w:val="Titre"/>
        <w:jc w:val="both"/>
        <w:rPr>
          <w:sz w:val="22"/>
          <w:szCs w:val="22"/>
        </w:rPr>
      </w:pPr>
      <w:r>
        <w:rPr>
          <w:sz w:val="22"/>
          <w:szCs w:val="22"/>
        </w:rPr>
        <w:t>Document remis au candidat :</w:t>
      </w:r>
    </w:p>
    <w:p w:rsidR="00755CF1" w:rsidRDefault="00755CF1">
      <w:pPr>
        <w:pStyle w:val="Titre"/>
        <w:jc w:val="both"/>
        <w:rPr>
          <w:b/>
          <w:bCs/>
          <w:sz w:val="22"/>
          <w:szCs w:val="22"/>
        </w:rPr>
      </w:pPr>
      <w:r>
        <w:rPr>
          <w:b/>
          <w:bCs/>
          <w:sz w:val="22"/>
          <w:szCs w:val="22"/>
        </w:rPr>
        <w:t>Le sujet comporte 9 pages numérotées de 1/9 à 9/9.</w:t>
      </w:r>
    </w:p>
    <w:p w:rsidR="00755CF1" w:rsidRDefault="00755CF1">
      <w:pPr>
        <w:pStyle w:val="Titre"/>
        <w:jc w:val="both"/>
        <w:rPr>
          <w:b/>
          <w:bCs/>
          <w:sz w:val="10"/>
          <w:szCs w:val="10"/>
        </w:rPr>
      </w:pPr>
    </w:p>
    <w:p w:rsidR="00755CF1" w:rsidRDefault="00755CF1">
      <w:pPr>
        <w:pStyle w:val="Titre"/>
        <w:pBdr>
          <w:bottom w:val="single" w:sz="4" w:space="1" w:color="auto"/>
        </w:pBdr>
        <w:jc w:val="both"/>
        <w:rPr>
          <w:sz w:val="22"/>
          <w:szCs w:val="22"/>
        </w:rPr>
      </w:pPr>
      <w:r>
        <w:rPr>
          <w:sz w:val="22"/>
          <w:szCs w:val="22"/>
        </w:rPr>
        <w:t>Il vous est demandé de vérifier que le sujet est complet dès sa mise à votre disposition.</w:t>
      </w:r>
    </w:p>
    <w:p w:rsidR="00755CF1" w:rsidRDefault="00755CF1">
      <w:pPr>
        <w:pStyle w:val="Sous-titre"/>
        <w:spacing w:before="0"/>
        <w:rPr>
          <w:rFonts w:ascii="Times New Roman" w:hAnsi="Times New Roman" w:cs="Times New Roman"/>
          <w:i/>
          <w:iCs/>
        </w:rPr>
      </w:pPr>
      <w:r>
        <w:rPr>
          <w:rFonts w:ascii="Times New Roman" w:hAnsi="Times New Roman" w:cs="Times New Roman"/>
          <w:i/>
          <w:iCs/>
        </w:rPr>
        <w:t>Le sujet se présente sous la forme de deux  dossiers indépendants</w:t>
      </w:r>
    </w:p>
    <w:p w:rsidR="00755CF1" w:rsidRDefault="00755CF1">
      <w:pPr>
        <w:shd w:val="clear" w:color="auto" w:fill="FFFFFF"/>
        <w:tabs>
          <w:tab w:val="left" w:leader="dot" w:pos="8789"/>
        </w:tabs>
        <w:ind w:left="29"/>
        <w:rPr>
          <w:b/>
          <w:bCs/>
          <w:color w:val="000000"/>
          <w:sz w:val="22"/>
        </w:rPr>
      </w:pPr>
      <w:r>
        <w:rPr>
          <w:b/>
          <w:bCs/>
          <w:color w:val="000000"/>
          <w:sz w:val="22"/>
        </w:rPr>
        <w:t>Page de garde</w:t>
      </w:r>
      <w:r>
        <w:rPr>
          <w:color w:val="000000"/>
          <w:sz w:val="22"/>
        </w:rPr>
        <w:tab/>
        <w:t>page 1</w:t>
      </w:r>
    </w:p>
    <w:p w:rsidR="00755CF1" w:rsidRDefault="00755CF1">
      <w:pPr>
        <w:shd w:val="clear" w:color="auto" w:fill="FFFFFF"/>
        <w:tabs>
          <w:tab w:val="left" w:leader="dot" w:pos="5387"/>
          <w:tab w:val="left" w:leader="dot" w:pos="8789"/>
          <w:tab w:val="left" w:pos="9356"/>
          <w:tab w:val="left" w:pos="9923"/>
        </w:tabs>
        <w:ind w:left="32"/>
        <w:rPr>
          <w:b/>
          <w:bCs/>
          <w:color w:val="000000"/>
          <w:sz w:val="22"/>
        </w:rPr>
      </w:pPr>
      <w:r>
        <w:rPr>
          <w:b/>
          <w:bCs/>
          <w:color w:val="000000"/>
          <w:sz w:val="22"/>
        </w:rPr>
        <w:t>DOSSIER 1 -</w:t>
      </w:r>
      <w:r>
        <w:rPr>
          <w:color w:val="000000"/>
          <w:sz w:val="22"/>
        </w:rPr>
        <w:t xml:space="preserve"> Étude de cas</w:t>
      </w:r>
      <w:r>
        <w:rPr>
          <w:color w:val="000000"/>
          <w:sz w:val="22"/>
        </w:rPr>
        <w:tab/>
        <w:t>(75 points, soit 15/20)</w:t>
      </w:r>
      <w:r>
        <w:rPr>
          <w:color w:val="000000"/>
          <w:sz w:val="22"/>
        </w:rPr>
        <w:tab/>
        <w:t>page</w:t>
      </w:r>
      <w:r>
        <w:rPr>
          <w:b/>
          <w:bCs/>
          <w:color w:val="000000"/>
          <w:sz w:val="22"/>
        </w:rPr>
        <w:t xml:space="preserve"> </w:t>
      </w:r>
      <w:r>
        <w:rPr>
          <w:color w:val="000080"/>
          <w:sz w:val="22"/>
        </w:rPr>
        <w:t>2</w:t>
      </w:r>
    </w:p>
    <w:p w:rsidR="00755CF1" w:rsidRDefault="00755CF1">
      <w:pPr>
        <w:shd w:val="clear" w:color="auto" w:fill="FFFFFF"/>
        <w:tabs>
          <w:tab w:val="left" w:leader="dot" w:pos="5387"/>
          <w:tab w:val="left" w:leader="dot" w:pos="8789"/>
          <w:tab w:val="left" w:pos="9356"/>
          <w:tab w:val="left" w:pos="9923"/>
        </w:tabs>
        <w:ind w:left="32"/>
        <w:rPr>
          <w:b/>
          <w:bCs/>
          <w:color w:val="000000"/>
          <w:sz w:val="22"/>
        </w:rPr>
      </w:pPr>
      <w:r>
        <w:rPr>
          <w:b/>
          <w:bCs/>
          <w:color w:val="000000"/>
          <w:sz w:val="22"/>
        </w:rPr>
        <w:t xml:space="preserve">DOSSIER 2 - </w:t>
      </w:r>
      <w:r>
        <w:rPr>
          <w:color w:val="000000"/>
          <w:sz w:val="22"/>
        </w:rPr>
        <w:t>Réflexion sur la Gouvernance</w:t>
      </w:r>
      <w:r>
        <w:rPr>
          <w:color w:val="000000"/>
          <w:sz w:val="22"/>
        </w:rPr>
        <w:tab/>
        <w:t>(25 points, soit 5/20)</w:t>
      </w:r>
      <w:r>
        <w:rPr>
          <w:color w:val="000000"/>
          <w:sz w:val="22"/>
        </w:rPr>
        <w:tab/>
        <w:t>page 3</w:t>
      </w:r>
    </w:p>
    <w:p w:rsidR="00755CF1" w:rsidRDefault="00755CF1">
      <w:pPr>
        <w:shd w:val="clear" w:color="auto" w:fill="FFFFFF"/>
        <w:tabs>
          <w:tab w:val="left" w:pos="5387"/>
          <w:tab w:val="left" w:pos="9310"/>
          <w:tab w:val="left" w:pos="9356"/>
          <w:tab w:val="left" w:pos="9923"/>
        </w:tabs>
        <w:ind w:left="32"/>
        <w:rPr>
          <w:b/>
          <w:bCs/>
          <w:color w:val="000000"/>
          <w:sz w:val="22"/>
        </w:rPr>
      </w:pPr>
    </w:p>
    <w:p w:rsidR="00755CF1" w:rsidRDefault="00755CF1">
      <w:pPr>
        <w:shd w:val="clear" w:color="auto" w:fill="FFFFFF"/>
        <w:jc w:val="center"/>
        <w:rPr>
          <w:b/>
          <w:bCs/>
          <w:color w:val="000000"/>
          <w:spacing w:val="-7"/>
          <w:sz w:val="22"/>
        </w:rPr>
      </w:pPr>
      <w:r>
        <w:rPr>
          <w:b/>
          <w:bCs/>
          <w:color w:val="000000"/>
          <w:spacing w:val="-7"/>
          <w:sz w:val="22"/>
        </w:rPr>
        <w:t>_____________________________________________________________________________________________</w:t>
      </w:r>
    </w:p>
    <w:p w:rsidR="00755CF1" w:rsidRDefault="00755CF1">
      <w:pPr>
        <w:shd w:val="clear" w:color="auto" w:fill="FFFFFF"/>
        <w:jc w:val="center"/>
        <w:rPr>
          <w:b/>
          <w:bCs/>
          <w:i/>
          <w:iCs/>
          <w:sz w:val="22"/>
        </w:rPr>
      </w:pPr>
      <w:r>
        <w:rPr>
          <w:b/>
          <w:bCs/>
          <w:i/>
          <w:iCs/>
          <w:color w:val="000000"/>
          <w:spacing w:val="-7"/>
          <w:sz w:val="22"/>
        </w:rPr>
        <w:t>Le sujet comporte les annexes suivantes</w:t>
      </w:r>
    </w:p>
    <w:p w:rsidR="00755CF1" w:rsidRDefault="00755CF1">
      <w:pPr>
        <w:tabs>
          <w:tab w:val="left" w:pos="284"/>
          <w:tab w:val="left" w:pos="9356"/>
        </w:tabs>
        <w:rPr>
          <w:b/>
          <w:bCs/>
          <w:sz w:val="16"/>
          <w:szCs w:val="16"/>
        </w:rPr>
      </w:pPr>
    </w:p>
    <w:p w:rsidR="00755CF1" w:rsidRDefault="00755CF1">
      <w:pPr>
        <w:pStyle w:val="Titre7"/>
        <w:tabs>
          <w:tab w:val="left" w:pos="284"/>
        </w:tabs>
      </w:pPr>
      <w:r>
        <w:t>DOSSIER  1</w:t>
      </w:r>
    </w:p>
    <w:p w:rsidR="00755CF1" w:rsidRDefault="00755CF1">
      <w:pPr>
        <w:tabs>
          <w:tab w:val="left" w:pos="284"/>
          <w:tab w:val="left" w:leader="dot" w:pos="8789"/>
        </w:tabs>
        <w:jc w:val="left"/>
        <w:rPr>
          <w:sz w:val="22"/>
        </w:rPr>
      </w:pPr>
      <w:r>
        <w:rPr>
          <w:sz w:val="22"/>
        </w:rPr>
        <w:t>Annexe 1 - États financiers consolidés</w:t>
      </w:r>
      <w:r>
        <w:rPr>
          <w:sz w:val="22"/>
        </w:rPr>
        <w:tab/>
        <w:t>page 4</w:t>
      </w:r>
    </w:p>
    <w:p w:rsidR="00755CF1" w:rsidRDefault="00755CF1">
      <w:pPr>
        <w:tabs>
          <w:tab w:val="left" w:pos="284"/>
          <w:tab w:val="left" w:leader="dot" w:pos="8789"/>
        </w:tabs>
        <w:jc w:val="left"/>
        <w:rPr>
          <w:sz w:val="22"/>
        </w:rPr>
      </w:pPr>
      <w:r>
        <w:rPr>
          <w:sz w:val="22"/>
        </w:rPr>
        <w:t>Annexe 2 - Estimation du coût du capital</w:t>
      </w:r>
      <w:r>
        <w:rPr>
          <w:sz w:val="22"/>
        </w:rPr>
        <w:tab/>
        <w:t>page 5</w:t>
      </w:r>
    </w:p>
    <w:p w:rsidR="00755CF1" w:rsidRDefault="00755CF1">
      <w:pPr>
        <w:tabs>
          <w:tab w:val="left" w:pos="284"/>
          <w:tab w:val="left" w:leader="dot" w:pos="8789"/>
        </w:tabs>
        <w:jc w:val="left"/>
        <w:rPr>
          <w:sz w:val="22"/>
        </w:rPr>
      </w:pPr>
      <w:r>
        <w:rPr>
          <w:sz w:val="22"/>
        </w:rPr>
        <w:t>Annexe 3 - Construction du plan d’affaires</w:t>
      </w:r>
      <w:r>
        <w:rPr>
          <w:sz w:val="22"/>
        </w:rPr>
        <w:tab/>
        <w:t>page 5</w:t>
      </w:r>
    </w:p>
    <w:p w:rsidR="00755CF1" w:rsidRDefault="00755CF1">
      <w:pPr>
        <w:tabs>
          <w:tab w:val="left" w:pos="284"/>
          <w:tab w:val="left" w:leader="dot" w:pos="8789"/>
        </w:tabs>
        <w:jc w:val="left"/>
        <w:rPr>
          <w:sz w:val="22"/>
        </w:rPr>
      </w:pPr>
      <w:r>
        <w:rPr>
          <w:sz w:val="22"/>
        </w:rPr>
        <w:t>Annexe 4 - Évaluation par actualisation des flux de trésorerie disponibles</w:t>
      </w:r>
      <w:r>
        <w:rPr>
          <w:sz w:val="22"/>
        </w:rPr>
        <w:tab/>
        <w:t>page 5</w:t>
      </w:r>
    </w:p>
    <w:p w:rsidR="00755CF1" w:rsidRDefault="00755CF1">
      <w:pPr>
        <w:tabs>
          <w:tab w:val="left" w:pos="284"/>
          <w:tab w:val="left" w:leader="dot" w:pos="8789"/>
        </w:tabs>
        <w:jc w:val="left"/>
        <w:rPr>
          <w:sz w:val="22"/>
        </w:rPr>
      </w:pPr>
      <w:r>
        <w:rPr>
          <w:sz w:val="22"/>
        </w:rPr>
        <w:t>Annexe 5 - Évaluation par comparaison</w:t>
      </w:r>
      <w:r>
        <w:rPr>
          <w:sz w:val="22"/>
        </w:rPr>
        <w:tab/>
        <w:t>page 6</w:t>
      </w:r>
    </w:p>
    <w:p w:rsidR="00755CF1" w:rsidRDefault="00755CF1">
      <w:pPr>
        <w:tabs>
          <w:tab w:val="left" w:pos="284"/>
          <w:tab w:val="left" w:leader="dot" w:pos="8789"/>
        </w:tabs>
        <w:jc w:val="left"/>
        <w:rPr>
          <w:sz w:val="22"/>
        </w:rPr>
      </w:pPr>
      <w:r>
        <w:rPr>
          <w:sz w:val="22"/>
        </w:rPr>
        <w:t>Annexe 6 - Taux d’intérêts pratiqués sur le marché monétaire</w:t>
      </w:r>
      <w:r>
        <w:rPr>
          <w:sz w:val="22"/>
        </w:rPr>
        <w:tab/>
        <w:t>page 6</w:t>
      </w:r>
    </w:p>
    <w:p w:rsidR="00755CF1" w:rsidRDefault="00755CF1">
      <w:pPr>
        <w:tabs>
          <w:tab w:val="left" w:pos="284"/>
          <w:tab w:val="left" w:leader="dot" w:pos="8789"/>
        </w:tabs>
        <w:jc w:val="left"/>
        <w:rPr>
          <w:sz w:val="22"/>
        </w:rPr>
      </w:pPr>
    </w:p>
    <w:p w:rsidR="00755CF1" w:rsidRDefault="00755CF1">
      <w:pPr>
        <w:shd w:val="clear" w:color="auto" w:fill="FFFFFF"/>
        <w:tabs>
          <w:tab w:val="left" w:pos="9356"/>
        </w:tabs>
        <w:rPr>
          <w:b/>
          <w:bCs/>
          <w:spacing w:val="-15"/>
          <w:sz w:val="16"/>
          <w:szCs w:val="16"/>
        </w:rPr>
      </w:pPr>
    </w:p>
    <w:p w:rsidR="00755CF1" w:rsidRDefault="00755CF1">
      <w:pPr>
        <w:pStyle w:val="Titre7"/>
        <w:tabs>
          <w:tab w:val="left" w:pos="284"/>
        </w:tabs>
      </w:pPr>
      <w:r>
        <w:t>DOSSIER  2</w:t>
      </w:r>
    </w:p>
    <w:p w:rsidR="00755CF1" w:rsidRDefault="00755CF1">
      <w:pPr>
        <w:tabs>
          <w:tab w:val="left" w:leader="dot" w:pos="8789"/>
        </w:tabs>
        <w:rPr>
          <w:sz w:val="22"/>
        </w:rPr>
      </w:pPr>
      <w:r>
        <w:rPr>
          <w:sz w:val="22"/>
        </w:rPr>
        <w:t>Annexe 7 - Rémunération des dirigeants de groupes cotés</w:t>
      </w:r>
      <w:r>
        <w:rPr>
          <w:sz w:val="22"/>
        </w:rPr>
        <w:tab/>
        <w:t>page 6</w:t>
      </w:r>
    </w:p>
    <w:p w:rsidR="00755CF1" w:rsidRDefault="00755CF1">
      <w:pPr>
        <w:tabs>
          <w:tab w:val="left" w:pos="284"/>
          <w:tab w:val="left" w:leader="dot" w:pos="8789"/>
        </w:tabs>
        <w:rPr>
          <w:sz w:val="22"/>
        </w:rPr>
      </w:pPr>
      <w:r>
        <w:rPr>
          <w:sz w:val="22"/>
        </w:rPr>
        <w:t>Annexe 8 - Extrait du rapport annuel 2007, Groupe Bouygues</w:t>
      </w:r>
      <w:r>
        <w:rPr>
          <w:sz w:val="22"/>
        </w:rPr>
        <w:tab/>
        <w:t>page 7</w:t>
      </w:r>
    </w:p>
    <w:p w:rsidR="00755CF1" w:rsidRDefault="00755CF1">
      <w:pPr>
        <w:shd w:val="clear" w:color="auto" w:fill="FFFFFF"/>
        <w:ind w:right="170"/>
        <w:rPr>
          <w:b/>
          <w:bCs/>
          <w:color w:val="000000"/>
          <w:spacing w:val="-5"/>
          <w:sz w:val="10"/>
          <w:szCs w:val="10"/>
        </w:rPr>
      </w:pPr>
    </w:p>
    <w:p w:rsidR="00755CF1" w:rsidRDefault="00755CF1">
      <w:pPr>
        <w:shd w:val="clear" w:color="auto" w:fill="FFFFFF"/>
        <w:ind w:right="170"/>
        <w:rPr>
          <w:b/>
          <w:bCs/>
          <w:color w:val="000000"/>
          <w:spacing w:val="-5"/>
          <w:sz w:val="10"/>
          <w:szCs w:val="10"/>
        </w:rPr>
      </w:pPr>
    </w:p>
    <w:p w:rsidR="00755CF1" w:rsidRDefault="00755CF1">
      <w:pPr>
        <w:shd w:val="clear" w:color="auto" w:fill="FFFFFF"/>
        <w:ind w:right="170"/>
        <w:rPr>
          <w:b/>
          <w:bCs/>
          <w:color w:val="000000"/>
          <w:spacing w:val="-5"/>
          <w:sz w:val="10"/>
          <w:szCs w:val="10"/>
        </w:rPr>
      </w:pPr>
    </w:p>
    <w:p w:rsidR="00755CF1" w:rsidRDefault="00755CF1">
      <w:pPr>
        <w:shd w:val="clear" w:color="auto" w:fill="FFFFFF"/>
        <w:ind w:right="170"/>
        <w:rPr>
          <w:b/>
          <w:bCs/>
          <w:color w:val="000000"/>
          <w:spacing w:val="-5"/>
          <w:sz w:val="10"/>
          <w:szCs w:val="10"/>
        </w:rPr>
      </w:pPr>
    </w:p>
    <w:p w:rsidR="00755CF1" w:rsidRDefault="00755CF1">
      <w:pPr>
        <w:shd w:val="clear" w:color="auto" w:fill="FFFFFF"/>
        <w:ind w:right="170"/>
        <w:rPr>
          <w:b/>
          <w:bCs/>
          <w:color w:val="000000"/>
          <w:spacing w:val="-5"/>
          <w:sz w:val="10"/>
          <w:szCs w:val="10"/>
        </w:rPr>
      </w:pPr>
    </w:p>
    <w:p w:rsidR="00755CF1" w:rsidRDefault="00755CF1">
      <w:pPr>
        <w:shd w:val="clear" w:color="auto" w:fill="FFFFFF"/>
        <w:ind w:right="170"/>
        <w:rPr>
          <w:b/>
          <w:bCs/>
          <w:color w:val="000000"/>
          <w:spacing w:val="-5"/>
          <w:sz w:val="10"/>
          <w:szCs w:val="10"/>
        </w:rPr>
      </w:pPr>
    </w:p>
    <w:p w:rsidR="00755CF1" w:rsidRDefault="00755CF1">
      <w:pPr>
        <w:shd w:val="clear" w:color="auto" w:fill="FFFFFF"/>
        <w:rPr>
          <w:b/>
          <w:bCs/>
          <w:color w:val="000000"/>
          <w:spacing w:val="-5"/>
          <w:sz w:val="10"/>
          <w:szCs w:val="10"/>
        </w:rPr>
      </w:pPr>
    </w:p>
    <w:p w:rsidR="00755CF1" w:rsidRDefault="00755CF1">
      <w:pPr>
        <w:pStyle w:val="Titre"/>
        <w:pBdr>
          <w:top w:val="single" w:sz="4" w:space="1" w:color="auto"/>
          <w:left w:val="single" w:sz="4" w:space="4" w:color="auto"/>
          <w:bottom w:val="single" w:sz="4" w:space="1" w:color="auto"/>
          <w:right w:val="single" w:sz="4" w:space="4" w:color="auto"/>
        </w:pBdr>
        <w:shd w:val="clear" w:color="auto" w:fill="E0E0E0"/>
        <w:rPr>
          <w:b/>
          <w:bCs/>
          <w:sz w:val="22"/>
          <w:szCs w:val="22"/>
          <w:u w:val="single"/>
        </w:rPr>
      </w:pPr>
      <w:r>
        <w:rPr>
          <w:b/>
          <w:bCs/>
          <w:sz w:val="22"/>
          <w:szCs w:val="22"/>
          <w:u w:val="single"/>
        </w:rPr>
        <w:t>AVERTISSEMENT</w:t>
      </w:r>
    </w:p>
    <w:p w:rsidR="00755CF1" w:rsidRDefault="00755CF1">
      <w:pPr>
        <w:pStyle w:val="Titre"/>
        <w:pBdr>
          <w:top w:val="single" w:sz="4" w:space="1" w:color="auto"/>
          <w:left w:val="single" w:sz="4" w:space="4" w:color="auto"/>
          <w:bottom w:val="single" w:sz="4" w:space="1" w:color="auto"/>
          <w:right w:val="single" w:sz="4" w:space="4" w:color="auto"/>
        </w:pBdr>
        <w:shd w:val="clear" w:color="auto" w:fill="E0E0E0"/>
        <w:rPr>
          <w:b/>
          <w:bCs/>
          <w:sz w:val="22"/>
          <w:szCs w:val="22"/>
        </w:rPr>
      </w:pPr>
      <w:r>
        <w:rPr>
          <w:b/>
          <w:bCs/>
          <w:sz w:val="22"/>
          <w:szCs w:val="22"/>
        </w:rPr>
        <w:t>Si le texte du sujet, de ses questions ou de ses annexes, vous conduit à formuler une ou plusieurs hypothèses, il vous est demandé de la (ou les) mentionner explicitement dans votre copie.</w:t>
      </w:r>
    </w:p>
    <w:p w:rsidR="00755CF1" w:rsidRDefault="00755CF1">
      <w:pPr>
        <w:pStyle w:val="Titre"/>
        <w:pBdr>
          <w:top w:val="single" w:sz="4" w:space="1" w:color="auto"/>
          <w:left w:val="single" w:sz="4" w:space="4" w:color="auto"/>
          <w:bottom w:val="single" w:sz="4" w:space="1" w:color="auto"/>
          <w:right w:val="single" w:sz="4" w:space="4" w:color="auto"/>
        </w:pBdr>
        <w:shd w:val="clear" w:color="auto" w:fill="E0E0E0"/>
        <w:rPr>
          <w:b/>
          <w:bCs/>
          <w:sz w:val="22"/>
          <w:szCs w:val="22"/>
        </w:rPr>
      </w:pPr>
    </w:p>
    <w:p w:rsidR="00755CF1" w:rsidRDefault="00755CF1">
      <w:pPr>
        <w:shd w:val="clear" w:color="auto" w:fill="FFFFFF"/>
        <w:rPr>
          <w:b/>
          <w:bCs/>
          <w:color w:val="000000"/>
          <w:spacing w:val="-5"/>
          <w:szCs w:val="24"/>
        </w:rPr>
      </w:pPr>
      <w:r>
        <w:rPr>
          <w:b/>
          <w:bCs/>
          <w:color w:val="000000"/>
          <w:spacing w:val="-5"/>
          <w:szCs w:val="24"/>
        </w:rPr>
        <w:br w:type="page"/>
      </w:r>
    </w:p>
    <w:p w:rsidR="00755CF1" w:rsidRDefault="00755CF1">
      <w:pPr>
        <w:pBdr>
          <w:top w:val="single" w:sz="4" w:space="1" w:color="auto"/>
          <w:left w:val="single" w:sz="4" w:space="4" w:color="auto"/>
          <w:bottom w:val="single" w:sz="4" w:space="1" w:color="auto"/>
          <w:right w:val="single" w:sz="4" w:space="4" w:color="auto"/>
        </w:pBdr>
        <w:shd w:val="clear" w:color="auto" w:fill="FFFFFF"/>
        <w:jc w:val="center"/>
        <w:rPr>
          <w:i/>
          <w:iCs/>
          <w:color w:val="000000"/>
          <w:spacing w:val="-5"/>
          <w:sz w:val="22"/>
        </w:rPr>
      </w:pPr>
      <w:r>
        <w:rPr>
          <w:i/>
          <w:iCs/>
          <w:color w:val="000000"/>
          <w:spacing w:val="-5"/>
          <w:sz w:val="22"/>
        </w:rPr>
        <w:t>Il vous est demandé d’apporter un soin particulier à la présentation de votre copie.</w:t>
      </w:r>
    </w:p>
    <w:p w:rsidR="00755CF1" w:rsidRDefault="00755CF1">
      <w:pPr>
        <w:pBdr>
          <w:top w:val="single" w:sz="4" w:space="1" w:color="auto"/>
          <w:left w:val="single" w:sz="4" w:space="4" w:color="auto"/>
          <w:bottom w:val="single" w:sz="4" w:space="1" w:color="auto"/>
          <w:right w:val="single" w:sz="4" w:space="4" w:color="auto"/>
        </w:pBdr>
        <w:shd w:val="clear" w:color="auto" w:fill="FFFFFF"/>
        <w:jc w:val="center"/>
        <w:rPr>
          <w:i/>
          <w:iCs/>
          <w:color w:val="000000"/>
          <w:spacing w:val="-5"/>
          <w:sz w:val="22"/>
        </w:rPr>
      </w:pPr>
      <w:r>
        <w:rPr>
          <w:i/>
          <w:iCs/>
          <w:color w:val="000000"/>
          <w:spacing w:val="-5"/>
          <w:sz w:val="22"/>
        </w:rPr>
        <w:t>Toute information calculée devra être justifiée.</w:t>
      </w:r>
    </w:p>
    <w:p w:rsidR="00755CF1" w:rsidRDefault="00755CF1">
      <w:pPr>
        <w:rPr>
          <w:b/>
          <w:bCs/>
        </w:rPr>
      </w:pPr>
    </w:p>
    <w:p w:rsidR="00755CF1" w:rsidRDefault="00755CF1">
      <w:pPr>
        <w:rPr>
          <w:b/>
          <w:bCs/>
        </w:rPr>
      </w:pPr>
    </w:p>
    <w:p w:rsidR="00755CF1" w:rsidRDefault="00755CF1">
      <w:pPr>
        <w:rPr>
          <w:b/>
          <w:bCs/>
        </w:rPr>
      </w:pPr>
    </w:p>
    <w:p w:rsidR="00755CF1" w:rsidRDefault="00755CF1">
      <w:pPr>
        <w:pStyle w:val="Titre1"/>
        <w:keepNext w:val="0"/>
        <w:pBdr>
          <w:top w:val="single" w:sz="4" w:space="1" w:color="auto"/>
          <w:left w:val="single" w:sz="4" w:space="4" w:color="auto"/>
          <w:bottom w:val="single" w:sz="4" w:space="1" w:color="auto"/>
          <w:right w:val="single" w:sz="4" w:space="4" w:color="auto"/>
        </w:pBdr>
        <w:shd w:val="clear" w:color="auto" w:fill="E0E0E0"/>
        <w:spacing w:line="480" w:lineRule="auto"/>
        <w:jc w:val="center"/>
        <w:rPr>
          <w:caps/>
          <w:position w:val="-48"/>
          <w:sz w:val="28"/>
          <w:szCs w:val="28"/>
        </w:rPr>
      </w:pPr>
      <w:r>
        <w:rPr>
          <w:caps/>
          <w:position w:val="-48"/>
          <w:sz w:val="28"/>
          <w:szCs w:val="28"/>
        </w:rPr>
        <w:t>DOSSIER 1 - ÉTUDE de cas</w:t>
      </w:r>
    </w:p>
    <w:p w:rsidR="00755CF1" w:rsidRDefault="00755CF1">
      <w:pPr>
        <w:rPr>
          <w:b/>
          <w:bCs/>
        </w:rPr>
      </w:pPr>
    </w:p>
    <w:p w:rsidR="00755CF1" w:rsidRDefault="00755CF1">
      <w:pPr>
        <w:rPr>
          <w:szCs w:val="24"/>
        </w:rPr>
      </w:pPr>
      <w:r>
        <w:rPr>
          <w:szCs w:val="24"/>
        </w:rPr>
        <w:t>La société Siniaque souhaite acquérir la société Peletier. Pour cela, ses dirigeants vous demandent de procéder à un bref diagnostic de sa performance, puis à son évaluation. Enfin, compte tenu du fait qu’une partie du financement ne sera disponible que dans 10 mois, ils vous interrogent sur une possible couverture du risque de taux.</w:t>
      </w:r>
    </w:p>
    <w:p w:rsidR="00755CF1" w:rsidRDefault="00755CF1">
      <w:pPr>
        <w:tabs>
          <w:tab w:val="left" w:pos="426"/>
        </w:tabs>
        <w:rPr>
          <w:b/>
          <w:bCs/>
          <w:sz w:val="22"/>
        </w:rPr>
      </w:pPr>
    </w:p>
    <w:p w:rsidR="00755CF1" w:rsidRDefault="00755CF1">
      <w:pPr>
        <w:pStyle w:val="Titre2"/>
        <w:keepNext w:val="0"/>
        <w:tabs>
          <w:tab w:val="left" w:pos="426"/>
        </w:tabs>
        <w:jc w:val="center"/>
        <w:rPr>
          <w:b/>
          <w:bCs/>
          <w:sz w:val="24"/>
          <w:szCs w:val="22"/>
          <w:u w:val="single"/>
        </w:rPr>
      </w:pPr>
      <w:r>
        <w:rPr>
          <w:b/>
          <w:bCs/>
          <w:sz w:val="24"/>
          <w:szCs w:val="22"/>
          <w:u w:val="single"/>
        </w:rPr>
        <w:t>Travail à faire</w:t>
      </w:r>
    </w:p>
    <w:p w:rsidR="00755CF1" w:rsidRDefault="00755CF1"/>
    <w:p w:rsidR="00755CF1" w:rsidRDefault="00755CF1">
      <w:pPr>
        <w:rPr>
          <w:szCs w:val="24"/>
        </w:rPr>
      </w:pPr>
      <w:r>
        <w:rPr>
          <w:szCs w:val="24"/>
        </w:rPr>
        <w:t>Toutes les questions peuvent être traitées indépendamment, à partir des informations fournies en annexes.</w:t>
      </w:r>
    </w:p>
    <w:p w:rsidR="00755CF1" w:rsidRDefault="00755CF1">
      <w:pPr>
        <w:shd w:val="clear" w:color="auto" w:fill="FFFFFF"/>
        <w:tabs>
          <w:tab w:val="left" w:pos="426"/>
        </w:tabs>
        <w:rPr>
          <w:b/>
          <w:bCs/>
          <w:sz w:val="22"/>
        </w:rPr>
      </w:pPr>
    </w:p>
    <w:p w:rsidR="00755CF1" w:rsidRDefault="00755CF1">
      <w:pPr>
        <w:widowControl w:val="0"/>
        <w:autoSpaceDE w:val="0"/>
        <w:autoSpaceDN w:val="0"/>
        <w:adjustRightInd w:val="0"/>
        <w:rPr>
          <w:szCs w:val="24"/>
        </w:rPr>
      </w:pPr>
      <w:r>
        <w:rPr>
          <w:b/>
          <w:bCs/>
          <w:szCs w:val="24"/>
        </w:rPr>
        <w:t>1. Calcul de la performance de Peletier</w:t>
      </w:r>
      <w:r>
        <w:rPr>
          <w:szCs w:val="24"/>
        </w:rPr>
        <w:t xml:space="preserve"> (</w:t>
      </w:r>
      <w:r>
        <w:rPr>
          <w:b/>
          <w:bCs/>
          <w:i/>
          <w:iCs/>
          <w:szCs w:val="24"/>
        </w:rPr>
        <w:t>annexe</w:t>
      </w:r>
      <w:r>
        <w:rPr>
          <w:b/>
          <w:bCs/>
          <w:szCs w:val="24"/>
        </w:rPr>
        <w:t xml:space="preserve"> 1</w:t>
      </w:r>
      <w:r>
        <w:rPr>
          <w:szCs w:val="24"/>
        </w:rPr>
        <w:t>)</w:t>
      </w:r>
    </w:p>
    <w:p w:rsidR="00755CF1" w:rsidRDefault="00755CF1">
      <w:pPr>
        <w:pStyle w:val="Corpsdetexte"/>
        <w:ind w:left="284"/>
      </w:pPr>
      <w:r>
        <w:t>À partir des comptes consolidés, vous déterminerez la rentabilité économique des capitaux employés et la rentabilité des capitaux propres Groupe de la société Peletier ainsi que le taux de marge opérationnelle, sur les trois dernières années. Un taux d’imposition normatif de 33 1/3% sera retenu.</w:t>
      </w:r>
    </w:p>
    <w:p w:rsidR="00755CF1" w:rsidRDefault="00755CF1">
      <w:pPr>
        <w:widowControl w:val="0"/>
        <w:autoSpaceDE w:val="0"/>
        <w:autoSpaceDN w:val="0"/>
        <w:adjustRightInd w:val="0"/>
        <w:ind w:left="284"/>
        <w:rPr>
          <w:b/>
          <w:bCs/>
          <w:szCs w:val="24"/>
        </w:rPr>
      </w:pPr>
      <w:r>
        <w:rPr>
          <w:b/>
          <w:bCs/>
          <w:szCs w:val="24"/>
        </w:rPr>
        <w:t>Vous justifierez les options retenues pour le calcul des différents agrégats.</w:t>
      </w:r>
    </w:p>
    <w:p w:rsidR="00755CF1" w:rsidRDefault="00755CF1">
      <w:pPr>
        <w:widowControl w:val="0"/>
        <w:autoSpaceDE w:val="0"/>
        <w:autoSpaceDN w:val="0"/>
        <w:adjustRightInd w:val="0"/>
        <w:rPr>
          <w:szCs w:val="24"/>
        </w:rPr>
      </w:pPr>
    </w:p>
    <w:p w:rsidR="00755CF1" w:rsidRDefault="00755CF1">
      <w:pPr>
        <w:widowControl w:val="0"/>
        <w:autoSpaceDE w:val="0"/>
        <w:autoSpaceDN w:val="0"/>
        <w:adjustRightInd w:val="0"/>
        <w:rPr>
          <w:szCs w:val="24"/>
        </w:rPr>
      </w:pPr>
      <w:r>
        <w:rPr>
          <w:b/>
          <w:bCs/>
          <w:szCs w:val="24"/>
        </w:rPr>
        <w:t>2. Estimation du coût moyen pondéré du capital de la société de Peletier</w:t>
      </w:r>
      <w:r>
        <w:rPr>
          <w:szCs w:val="24"/>
        </w:rPr>
        <w:t xml:space="preserve"> (</w:t>
      </w:r>
      <w:r>
        <w:rPr>
          <w:b/>
          <w:bCs/>
          <w:i/>
          <w:iCs/>
          <w:szCs w:val="24"/>
        </w:rPr>
        <w:t>annexe</w:t>
      </w:r>
      <w:r>
        <w:rPr>
          <w:b/>
          <w:bCs/>
          <w:szCs w:val="24"/>
        </w:rPr>
        <w:t xml:space="preserve"> 2</w:t>
      </w:r>
      <w:r>
        <w:rPr>
          <w:szCs w:val="24"/>
        </w:rPr>
        <w:t>)</w:t>
      </w:r>
    </w:p>
    <w:p w:rsidR="00755CF1" w:rsidRDefault="00755CF1">
      <w:pPr>
        <w:pStyle w:val="Corpsdetexte"/>
        <w:ind w:left="284"/>
      </w:pPr>
      <w:r>
        <w:t xml:space="preserve">La société Peletier n’étant pas cotée, il n’est pas possible d’estimer directement son coût du capital. Sur la base des données de ses principaux concurrents, vous estimerez successivement le bêta de l’activité, le bêta de l’action, le coût des fonds propres de la société (à partir du MEDAF majoré d’une prime d’illiquidité) ainsi que son coût moyen pondéré du capital (CMPC). </w:t>
      </w:r>
    </w:p>
    <w:p w:rsidR="00755CF1" w:rsidRDefault="00755CF1">
      <w:pPr>
        <w:widowControl w:val="0"/>
        <w:autoSpaceDE w:val="0"/>
        <w:autoSpaceDN w:val="0"/>
        <w:adjustRightInd w:val="0"/>
        <w:rPr>
          <w:szCs w:val="24"/>
        </w:rPr>
      </w:pPr>
    </w:p>
    <w:p w:rsidR="00755CF1" w:rsidRDefault="00755CF1">
      <w:pPr>
        <w:widowControl w:val="0"/>
        <w:autoSpaceDE w:val="0"/>
        <w:autoSpaceDN w:val="0"/>
        <w:adjustRightInd w:val="0"/>
        <w:rPr>
          <w:szCs w:val="24"/>
        </w:rPr>
      </w:pPr>
      <w:r>
        <w:rPr>
          <w:b/>
          <w:bCs/>
          <w:szCs w:val="24"/>
        </w:rPr>
        <w:t>3. Construction du plan d’affaires (</w:t>
      </w:r>
      <w:r>
        <w:rPr>
          <w:b/>
          <w:bCs/>
          <w:i/>
          <w:iCs/>
          <w:szCs w:val="24"/>
        </w:rPr>
        <w:t>business plan</w:t>
      </w:r>
      <w:r>
        <w:rPr>
          <w:b/>
          <w:bCs/>
          <w:szCs w:val="24"/>
        </w:rPr>
        <w:t>) de Peletier</w:t>
      </w:r>
      <w:r>
        <w:rPr>
          <w:szCs w:val="24"/>
        </w:rPr>
        <w:t xml:space="preserve"> (</w:t>
      </w:r>
      <w:r>
        <w:rPr>
          <w:b/>
          <w:bCs/>
          <w:i/>
          <w:iCs/>
          <w:szCs w:val="24"/>
        </w:rPr>
        <w:t>annexe</w:t>
      </w:r>
      <w:r>
        <w:rPr>
          <w:b/>
          <w:bCs/>
          <w:szCs w:val="24"/>
        </w:rPr>
        <w:t xml:space="preserve"> 3</w:t>
      </w:r>
      <w:r>
        <w:rPr>
          <w:szCs w:val="24"/>
        </w:rPr>
        <w:t>)</w:t>
      </w:r>
    </w:p>
    <w:p w:rsidR="00755CF1" w:rsidRDefault="00755CF1">
      <w:pPr>
        <w:widowControl w:val="0"/>
        <w:autoSpaceDE w:val="0"/>
        <w:autoSpaceDN w:val="0"/>
        <w:adjustRightInd w:val="0"/>
        <w:ind w:left="284"/>
        <w:rPr>
          <w:b/>
          <w:bCs/>
          <w:szCs w:val="24"/>
        </w:rPr>
      </w:pPr>
      <w:r>
        <w:rPr>
          <w:b/>
          <w:bCs/>
          <w:szCs w:val="24"/>
        </w:rPr>
        <w:t>Le diagnostic financier réalisé, il est possible de tirer des projections sur les 5 prochaines années. Vous estimerez ainsi les flux de trésorerie disponibles (</w:t>
      </w:r>
      <w:r>
        <w:rPr>
          <w:b/>
          <w:bCs/>
          <w:i/>
          <w:iCs/>
          <w:szCs w:val="24"/>
        </w:rPr>
        <w:t>free cash-flows</w:t>
      </w:r>
      <w:r>
        <w:rPr>
          <w:b/>
          <w:bCs/>
          <w:szCs w:val="24"/>
        </w:rPr>
        <w:t>) sur cet horizon.</w:t>
      </w:r>
    </w:p>
    <w:p w:rsidR="00755CF1" w:rsidRDefault="00755CF1">
      <w:pPr>
        <w:rPr>
          <w:szCs w:val="24"/>
        </w:rPr>
      </w:pPr>
    </w:p>
    <w:p w:rsidR="00755CF1" w:rsidRDefault="00755CF1">
      <w:pPr>
        <w:widowControl w:val="0"/>
        <w:autoSpaceDE w:val="0"/>
        <w:autoSpaceDN w:val="0"/>
        <w:adjustRightInd w:val="0"/>
        <w:ind w:left="284" w:hanging="284"/>
        <w:rPr>
          <w:szCs w:val="24"/>
        </w:rPr>
      </w:pPr>
      <w:r>
        <w:rPr>
          <w:b/>
          <w:bCs/>
          <w:szCs w:val="24"/>
        </w:rPr>
        <w:t>4. Évaluation de la société Peletier</w:t>
      </w:r>
      <w:r>
        <w:rPr>
          <w:szCs w:val="24"/>
        </w:rPr>
        <w:t xml:space="preserve"> </w:t>
      </w:r>
      <w:r>
        <w:rPr>
          <w:b/>
          <w:bCs/>
          <w:szCs w:val="24"/>
        </w:rPr>
        <w:t>par actualisation des flux de trésorerie disponibles de Peletier</w:t>
      </w:r>
      <w:r>
        <w:rPr>
          <w:szCs w:val="24"/>
        </w:rPr>
        <w:t xml:space="preserve"> (</w:t>
      </w:r>
      <w:r>
        <w:rPr>
          <w:b/>
          <w:bCs/>
          <w:i/>
          <w:iCs/>
          <w:szCs w:val="24"/>
        </w:rPr>
        <w:t>annexe</w:t>
      </w:r>
      <w:r>
        <w:rPr>
          <w:b/>
          <w:bCs/>
          <w:szCs w:val="24"/>
        </w:rPr>
        <w:t xml:space="preserve"> 4</w:t>
      </w:r>
      <w:r>
        <w:rPr>
          <w:szCs w:val="24"/>
        </w:rPr>
        <w:t>)</w:t>
      </w:r>
    </w:p>
    <w:p w:rsidR="00755CF1" w:rsidRDefault="00755CF1">
      <w:pPr>
        <w:pStyle w:val="Corpsdetexte"/>
        <w:ind w:left="284"/>
      </w:pPr>
      <w:r>
        <w:t>Suite à de multiples réunions et échanges, le coût moyen pondéré du capital de Peletier ainsi que son plan d’affaires sont revus. Sur la base de ces derniers et des hypothèses précisées en annexe, évaluez la valeur de marché des capitaux propres (hors intérêts minoritaires) de la société Peletier sur la base de l’actualisation de ses flux de trésorerie disponibles (les calculs seront effectués en milliers d’euros).</w:t>
      </w:r>
    </w:p>
    <w:p w:rsidR="00755CF1" w:rsidRDefault="00755CF1">
      <w:pPr>
        <w:widowControl w:val="0"/>
        <w:autoSpaceDE w:val="0"/>
        <w:autoSpaceDN w:val="0"/>
        <w:adjustRightInd w:val="0"/>
        <w:rPr>
          <w:szCs w:val="24"/>
        </w:rPr>
      </w:pPr>
    </w:p>
    <w:p w:rsidR="00755CF1" w:rsidRDefault="00755CF1">
      <w:pPr>
        <w:widowControl w:val="0"/>
        <w:autoSpaceDE w:val="0"/>
        <w:autoSpaceDN w:val="0"/>
        <w:adjustRightInd w:val="0"/>
        <w:rPr>
          <w:szCs w:val="24"/>
        </w:rPr>
      </w:pPr>
      <w:r>
        <w:rPr>
          <w:b/>
          <w:bCs/>
          <w:szCs w:val="24"/>
        </w:rPr>
        <w:t>5. Évaluation de la société Peletier</w:t>
      </w:r>
      <w:r>
        <w:rPr>
          <w:szCs w:val="24"/>
        </w:rPr>
        <w:t xml:space="preserve"> </w:t>
      </w:r>
      <w:r>
        <w:rPr>
          <w:b/>
          <w:bCs/>
          <w:szCs w:val="24"/>
        </w:rPr>
        <w:t>par comparaison</w:t>
      </w:r>
      <w:r>
        <w:rPr>
          <w:szCs w:val="24"/>
        </w:rPr>
        <w:t xml:space="preserve"> (</w:t>
      </w:r>
      <w:r>
        <w:rPr>
          <w:b/>
          <w:bCs/>
          <w:i/>
          <w:iCs/>
          <w:szCs w:val="24"/>
        </w:rPr>
        <w:t>annexe</w:t>
      </w:r>
      <w:r>
        <w:rPr>
          <w:b/>
          <w:bCs/>
          <w:szCs w:val="24"/>
        </w:rPr>
        <w:t xml:space="preserve"> 5</w:t>
      </w:r>
      <w:r>
        <w:rPr>
          <w:szCs w:val="24"/>
        </w:rPr>
        <w:t>)</w:t>
      </w:r>
    </w:p>
    <w:p w:rsidR="00755CF1" w:rsidRDefault="00755CF1">
      <w:pPr>
        <w:pStyle w:val="Corpsdetexte"/>
        <w:ind w:left="284"/>
      </w:pPr>
      <w:r>
        <w:t>En complément de la précédente évaluation, vous évaluerez la valeur de marché des capitaux propres (hors intérêts minoritaires) de la société Peletier sur la base de multiples de son résultat opérationnel et de son résultat net.</w:t>
      </w:r>
    </w:p>
    <w:p w:rsidR="00755CF1" w:rsidRDefault="00755CF1">
      <w:pPr>
        <w:rPr>
          <w:szCs w:val="24"/>
        </w:rPr>
      </w:pPr>
    </w:p>
    <w:p w:rsidR="00755CF1" w:rsidRDefault="00755CF1">
      <w:pPr>
        <w:rPr>
          <w:b/>
          <w:szCs w:val="24"/>
        </w:rPr>
      </w:pPr>
      <w:r>
        <w:rPr>
          <w:b/>
          <w:szCs w:val="24"/>
        </w:rPr>
        <w:lastRenderedPageBreak/>
        <w:t>6. Financement de l’opération</w:t>
      </w:r>
      <w:r>
        <w:rPr>
          <w:bCs/>
          <w:szCs w:val="24"/>
        </w:rPr>
        <w:t xml:space="preserve"> (</w:t>
      </w:r>
      <w:r>
        <w:rPr>
          <w:b/>
          <w:i/>
          <w:iCs/>
          <w:szCs w:val="24"/>
        </w:rPr>
        <w:t>annexe</w:t>
      </w:r>
      <w:r>
        <w:rPr>
          <w:b/>
          <w:szCs w:val="24"/>
        </w:rPr>
        <w:t xml:space="preserve"> 6</w:t>
      </w:r>
      <w:r>
        <w:rPr>
          <w:bCs/>
          <w:szCs w:val="24"/>
        </w:rPr>
        <w:t>)</w:t>
      </w:r>
    </w:p>
    <w:p w:rsidR="00755CF1" w:rsidRDefault="00755CF1">
      <w:pPr>
        <w:pStyle w:val="Retraitcorpsdetexte2"/>
      </w:pPr>
      <w:r>
        <w:t>Le rachat de Peletier par la société Siniaque se fera dans deux mois. Les disponibilités nécessaires ne seront disponibles que dans 10 mois. Siniaque envisage de contracter un emprunt d’un montant de 15 M€ dans deux mois pour une période de 8 mois.</w:t>
      </w:r>
    </w:p>
    <w:p w:rsidR="00755CF1" w:rsidRDefault="00755CF1">
      <w:pPr>
        <w:ind w:firstLine="284"/>
        <w:rPr>
          <w:b/>
          <w:bCs/>
          <w:szCs w:val="24"/>
        </w:rPr>
      </w:pPr>
      <w:r>
        <w:rPr>
          <w:b/>
          <w:bCs/>
          <w:szCs w:val="24"/>
        </w:rPr>
        <w:t xml:space="preserve">Que craint Siniaque? Quel type de </w:t>
      </w:r>
      <w:r>
        <w:rPr>
          <w:b/>
          <w:bCs/>
          <w:i/>
          <w:iCs/>
          <w:szCs w:val="24"/>
        </w:rPr>
        <w:t>forward-forward</w:t>
      </w:r>
      <w:r>
        <w:rPr>
          <w:b/>
          <w:bCs/>
          <w:szCs w:val="24"/>
        </w:rPr>
        <w:t xml:space="preserve"> va-t-elle conclure avec sa banque ?</w:t>
      </w:r>
    </w:p>
    <w:p w:rsidR="00755CF1" w:rsidRDefault="00755CF1">
      <w:pPr>
        <w:ind w:firstLine="284"/>
        <w:rPr>
          <w:b/>
          <w:bCs/>
          <w:szCs w:val="24"/>
        </w:rPr>
      </w:pPr>
      <w:r>
        <w:rPr>
          <w:b/>
          <w:bCs/>
          <w:szCs w:val="24"/>
        </w:rPr>
        <w:t xml:space="preserve">Quel est le taux minimum que la banque va proposer à Siniaque pour ce </w:t>
      </w:r>
      <w:r>
        <w:rPr>
          <w:b/>
          <w:bCs/>
          <w:i/>
          <w:iCs/>
          <w:szCs w:val="24"/>
        </w:rPr>
        <w:t>forward-forward</w:t>
      </w:r>
      <w:r>
        <w:rPr>
          <w:b/>
          <w:bCs/>
          <w:szCs w:val="24"/>
        </w:rPr>
        <w:t xml:space="preserve"> ? </w:t>
      </w:r>
    </w:p>
    <w:p w:rsidR="00755CF1" w:rsidRDefault="00755CF1">
      <w:pPr>
        <w:shd w:val="clear" w:color="auto" w:fill="FFFFFF"/>
        <w:tabs>
          <w:tab w:val="left" w:pos="426"/>
        </w:tabs>
        <w:rPr>
          <w:b/>
          <w:bCs/>
          <w:szCs w:val="24"/>
        </w:rPr>
      </w:pPr>
    </w:p>
    <w:p w:rsidR="00755CF1" w:rsidRDefault="00755CF1"/>
    <w:p w:rsidR="00755CF1" w:rsidRDefault="00755CF1">
      <w:pPr>
        <w:pStyle w:val="Titre1"/>
        <w:keepNext w:val="0"/>
        <w:pBdr>
          <w:top w:val="single" w:sz="4" w:space="1" w:color="auto"/>
          <w:left w:val="single" w:sz="4" w:space="4" w:color="auto"/>
          <w:bottom w:val="single" w:sz="4" w:space="1" w:color="auto"/>
          <w:right w:val="single" w:sz="4" w:space="4" w:color="auto"/>
        </w:pBdr>
        <w:shd w:val="clear" w:color="auto" w:fill="E0E0E0"/>
        <w:spacing w:line="480" w:lineRule="auto"/>
        <w:jc w:val="center"/>
        <w:rPr>
          <w:caps/>
          <w:position w:val="-48"/>
          <w:sz w:val="28"/>
          <w:szCs w:val="28"/>
        </w:rPr>
      </w:pPr>
      <w:r>
        <w:rPr>
          <w:caps/>
          <w:position w:val="-48"/>
          <w:sz w:val="28"/>
          <w:szCs w:val="28"/>
          <w:shd w:val="clear" w:color="auto" w:fill="E0E0E0"/>
        </w:rPr>
        <w:t>DOSSIER 2 – RÉFLEXION sur la gouvernance</w:t>
      </w:r>
    </w:p>
    <w:p w:rsidR="00755CF1" w:rsidRDefault="00755CF1">
      <w:pPr>
        <w:rPr>
          <w:b/>
          <w:bCs/>
          <w:sz w:val="22"/>
        </w:rPr>
      </w:pPr>
    </w:p>
    <w:p w:rsidR="00755CF1" w:rsidRDefault="00755CF1">
      <w:pPr>
        <w:jc w:val="center"/>
        <w:rPr>
          <w:b/>
          <w:szCs w:val="24"/>
        </w:rPr>
      </w:pPr>
      <w:r>
        <w:rPr>
          <w:b/>
          <w:szCs w:val="24"/>
        </w:rPr>
        <w:t xml:space="preserve">Sujet : </w:t>
      </w:r>
    </w:p>
    <w:p w:rsidR="00755CF1" w:rsidRDefault="00755CF1">
      <w:pPr>
        <w:jc w:val="center"/>
        <w:rPr>
          <w:b/>
          <w:szCs w:val="24"/>
        </w:rPr>
      </w:pPr>
      <w:r>
        <w:rPr>
          <w:b/>
          <w:szCs w:val="24"/>
        </w:rPr>
        <w:t>Gouvernance et pratiques de rémunération des dirigeants</w:t>
      </w:r>
    </w:p>
    <w:p w:rsidR="00755CF1" w:rsidRDefault="00755CF1">
      <w:pPr>
        <w:rPr>
          <w:b/>
          <w:szCs w:val="24"/>
        </w:rPr>
      </w:pPr>
    </w:p>
    <w:p w:rsidR="00755CF1" w:rsidRDefault="00755CF1">
      <w:pPr>
        <w:rPr>
          <w:b/>
          <w:szCs w:val="24"/>
        </w:rPr>
      </w:pPr>
    </w:p>
    <w:p w:rsidR="00755CF1" w:rsidRDefault="00755CF1">
      <w:pPr>
        <w:rPr>
          <w:szCs w:val="24"/>
        </w:rPr>
      </w:pPr>
      <w:r>
        <w:rPr>
          <w:szCs w:val="24"/>
        </w:rPr>
        <w:t xml:space="preserve">À la lumière de la crise financière, les rémunérations des dirigeants des sociétés cotées ont fait l’objet de polémiques. Il vous appartient, sur la base de vos connaissances et des deux textes en annexe (annexes 7 et 8), d’éclairer la question suivante : </w:t>
      </w:r>
    </w:p>
    <w:p w:rsidR="00755CF1" w:rsidRDefault="00755CF1">
      <w:pPr>
        <w:rPr>
          <w:szCs w:val="24"/>
        </w:rPr>
      </w:pPr>
    </w:p>
    <w:p w:rsidR="00755CF1" w:rsidRDefault="00755CF1">
      <w:pPr>
        <w:rPr>
          <w:szCs w:val="24"/>
        </w:rPr>
      </w:pPr>
    </w:p>
    <w:p w:rsidR="00755CF1" w:rsidRDefault="00755CF1">
      <w:pPr>
        <w:jc w:val="left"/>
        <w:rPr>
          <w:rStyle w:val="lev"/>
        </w:rPr>
      </w:pPr>
      <w:r>
        <w:rPr>
          <w:rStyle w:val="lev"/>
        </w:rPr>
        <w:t>Dans une optique de bonne gouvernance, les théories financières ou managériales apportent-elles des éléments de réponses à la question de la rémunération des dirigeants de sociétés cotées ?</w:t>
      </w:r>
    </w:p>
    <w:p w:rsidR="00755CF1" w:rsidRDefault="00755CF1">
      <w:pPr>
        <w:jc w:val="left"/>
        <w:rPr>
          <w:b/>
          <w:szCs w:val="24"/>
        </w:rPr>
      </w:pPr>
    </w:p>
    <w:p w:rsidR="00755CF1" w:rsidRDefault="00755CF1">
      <w:pPr>
        <w:rPr>
          <w:b/>
          <w:szCs w:val="24"/>
        </w:rPr>
      </w:pPr>
    </w:p>
    <w:p w:rsidR="00755CF1" w:rsidRDefault="00755CF1">
      <w:pPr>
        <w:rPr>
          <w:bCs/>
          <w:sz w:val="22"/>
        </w:rPr>
      </w:pPr>
      <w:r>
        <w:rPr>
          <w:bCs/>
          <w:sz w:val="22"/>
        </w:rPr>
        <w:t xml:space="preserve">Il est attendu de la part du candidat de répondre de </w:t>
      </w:r>
      <w:r>
        <w:rPr>
          <w:b/>
          <w:sz w:val="22"/>
          <w:u w:val="single"/>
        </w:rPr>
        <w:t>manière précise et structurée</w:t>
      </w:r>
      <w:r>
        <w:rPr>
          <w:bCs/>
          <w:sz w:val="22"/>
        </w:rPr>
        <w:t xml:space="preserve"> à la question posée.</w:t>
      </w:r>
    </w:p>
    <w:p w:rsidR="00755CF1" w:rsidRDefault="00755CF1">
      <w:pPr>
        <w:rPr>
          <w:bCs/>
          <w:sz w:val="22"/>
        </w:rPr>
      </w:pPr>
    </w:p>
    <w:p w:rsidR="00755CF1" w:rsidRDefault="00755CF1">
      <w:pPr>
        <w:rPr>
          <w:bCs/>
          <w:sz w:val="22"/>
        </w:rPr>
      </w:pPr>
      <w:r>
        <w:rPr>
          <w:bCs/>
          <w:sz w:val="22"/>
        </w:rPr>
        <w:t xml:space="preserve">Il est demandé de </w:t>
      </w:r>
      <w:r>
        <w:rPr>
          <w:b/>
          <w:sz w:val="22"/>
          <w:u w:val="single"/>
        </w:rPr>
        <w:t>limiter votre réponse à 4 pages au maximum</w:t>
      </w:r>
      <w:r>
        <w:rPr>
          <w:bCs/>
          <w:sz w:val="22"/>
        </w:rPr>
        <w:t xml:space="preserve"> sur votre copie d’examen.</w:t>
      </w:r>
    </w:p>
    <w:p w:rsidR="00755CF1" w:rsidRDefault="00755CF1"/>
    <w:p w:rsidR="00755CF1" w:rsidRDefault="00755CF1">
      <w:pPr>
        <w:shd w:val="clear" w:color="auto" w:fill="FFFFFF"/>
        <w:ind w:right="567"/>
        <w:jc w:val="center"/>
        <w:rPr>
          <w:b/>
          <w:bCs/>
          <w:szCs w:val="24"/>
        </w:rPr>
      </w:pPr>
      <w:r>
        <w:br w:type="page"/>
      </w:r>
      <w:r>
        <w:rPr>
          <w:b/>
          <w:bCs/>
          <w:szCs w:val="24"/>
        </w:rPr>
        <w:lastRenderedPageBreak/>
        <w:t>Annexe 1</w:t>
      </w:r>
    </w:p>
    <w:p w:rsidR="00755CF1" w:rsidRDefault="00755CF1">
      <w:pPr>
        <w:shd w:val="clear" w:color="auto" w:fill="FFFFFF"/>
        <w:ind w:right="567"/>
        <w:jc w:val="center"/>
        <w:rPr>
          <w:b/>
          <w:bCs/>
          <w:szCs w:val="24"/>
        </w:rPr>
      </w:pPr>
    </w:p>
    <w:p w:rsidR="00755CF1" w:rsidRDefault="00755CF1">
      <w:pPr>
        <w:jc w:val="center"/>
        <w:rPr>
          <w:b/>
          <w:szCs w:val="24"/>
          <w:u w:val="single"/>
        </w:rPr>
      </w:pPr>
      <w:r>
        <w:rPr>
          <w:b/>
          <w:szCs w:val="24"/>
          <w:u w:val="single"/>
        </w:rPr>
        <w:t xml:space="preserve">États financiers consolidés de </w:t>
      </w:r>
      <w:r>
        <w:rPr>
          <w:b/>
          <w:bCs/>
          <w:szCs w:val="24"/>
          <w:u w:val="single"/>
        </w:rPr>
        <w:t>Peletier</w:t>
      </w:r>
      <w:r>
        <w:rPr>
          <w:b/>
          <w:szCs w:val="24"/>
          <w:u w:val="single"/>
        </w:rPr>
        <w:t xml:space="preserve"> (en K€)</w:t>
      </w:r>
    </w:p>
    <w:p w:rsidR="00755CF1" w:rsidRDefault="00755CF1">
      <w:pPr>
        <w:jc w:val="center"/>
        <w:rPr>
          <w:b/>
          <w:sz w:val="22"/>
        </w:rPr>
      </w:pPr>
    </w:p>
    <w:tbl>
      <w:tblPr>
        <w:tblW w:w="9940" w:type="dxa"/>
        <w:tblCellMar>
          <w:left w:w="0" w:type="dxa"/>
          <w:right w:w="0" w:type="dxa"/>
        </w:tblCellMar>
        <w:tblLook w:val="0000" w:firstRow="0" w:lastRow="0" w:firstColumn="0" w:lastColumn="0" w:noHBand="0" w:noVBand="0"/>
      </w:tblPr>
      <w:tblGrid>
        <w:gridCol w:w="4960"/>
        <w:gridCol w:w="1660"/>
        <w:gridCol w:w="1660"/>
        <w:gridCol w:w="1660"/>
      </w:tblGrid>
      <w:tr w:rsidR="00755CF1">
        <w:trPr>
          <w:trHeight w:val="255"/>
        </w:trPr>
        <w:tc>
          <w:tcPr>
            <w:tcW w:w="4960" w:type="dxa"/>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center"/>
              <w:rPr>
                <w:b/>
                <w:bCs/>
                <w:sz w:val="22"/>
              </w:rPr>
            </w:pPr>
            <w:r>
              <w:rPr>
                <w:b/>
                <w:bCs/>
                <w:sz w:val="22"/>
              </w:rPr>
              <w:t>Compte de résultat</w:t>
            </w:r>
          </w:p>
        </w:tc>
        <w:tc>
          <w:tcPr>
            <w:tcW w:w="1660" w:type="dxa"/>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center"/>
              <w:rPr>
                <w:b/>
                <w:bCs/>
                <w:sz w:val="22"/>
              </w:rPr>
            </w:pPr>
            <w:r>
              <w:rPr>
                <w:b/>
                <w:bCs/>
                <w:sz w:val="22"/>
              </w:rPr>
              <w:t>N</w:t>
            </w:r>
          </w:p>
        </w:tc>
        <w:tc>
          <w:tcPr>
            <w:tcW w:w="1660" w:type="dxa"/>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center"/>
              <w:rPr>
                <w:b/>
                <w:bCs/>
                <w:sz w:val="22"/>
              </w:rPr>
            </w:pPr>
            <w:r>
              <w:rPr>
                <w:b/>
                <w:bCs/>
                <w:sz w:val="22"/>
              </w:rPr>
              <w:t>N-1</w:t>
            </w:r>
          </w:p>
        </w:tc>
        <w:tc>
          <w:tcPr>
            <w:tcW w:w="1660" w:type="dxa"/>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center"/>
              <w:rPr>
                <w:b/>
                <w:bCs/>
                <w:sz w:val="22"/>
              </w:rPr>
            </w:pPr>
            <w:r>
              <w:rPr>
                <w:b/>
                <w:bCs/>
                <w:sz w:val="22"/>
              </w:rPr>
              <w:t>N-2</w:t>
            </w:r>
          </w:p>
        </w:tc>
      </w:tr>
      <w:tr w:rsidR="00755CF1">
        <w:trPr>
          <w:trHeight w:val="255"/>
        </w:trPr>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rPr>
                <w:sz w:val="22"/>
              </w:rPr>
            </w:pPr>
            <w:r>
              <w:rPr>
                <w:sz w:val="22"/>
              </w:rPr>
              <w:t>Chiffre d'affaires</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41 600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35 110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32 170 </w:t>
            </w:r>
          </w:p>
        </w:tc>
      </w:tr>
      <w:tr w:rsidR="00755CF1">
        <w:trPr>
          <w:trHeight w:val="255"/>
        </w:trPr>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rPr>
                <w:sz w:val="22"/>
              </w:rPr>
            </w:pPr>
            <w:r>
              <w:rPr>
                <w:sz w:val="22"/>
              </w:rPr>
              <w:t>Charges d'exploitation (hors amort. &amp; prov.)</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- 36 360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- 30 910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- 28 140 </w:t>
            </w:r>
          </w:p>
        </w:tc>
      </w:tr>
      <w:tr w:rsidR="00755CF1">
        <w:trPr>
          <w:trHeight w:val="255"/>
        </w:trPr>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rPr>
                <w:sz w:val="22"/>
              </w:rPr>
            </w:pPr>
            <w:r>
              <w:rPr>
                <w:sz w:val="22"/>
              </w:rPr>
              <w:t>Amortissements et provisions</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- 1 520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- 1 340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- 1 290 </w:t>
            </w:r>
          </w:p>
        </w:tc>
      </w:tr>
      <w:tr w:rsidR="00755CF1">
        <w:trPr>
          <w:trHeight w:val="255"/>
        </w:trPr>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rPr>
                <w:b/>
                <w:bCs/>
                <w:sz w:val="22"/>
              </w:rPr>
            </w:pPr>
            <w:r>
              <w:rPr>
                <w:b/>
                <w:bCs/>
                <w:sz w:val="22"/>
              </w:rPr>
              <w:t>Résultat d'exploitation</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3 720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2 860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2 740 </w:t>
            </w:r>
          </w:p>
        </w:tc>
      </w:tr>
      <w:tr w:rsidR="00755CF1">
        <w:trPr>
          <w:trHeight w:val="255"/>
        </w:trPr>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rPr>
                <w:sz w:val="22"/>
              </w:rPr>
            </w:pPr>
            <w:r>
              <w:rPr>
                <w:sz w:val="22"/>
              </w:rPr>
              <w:t>Autres produits et charges opérationnels</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- 390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- 310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- 320 </w:t>
            </w:r>
          </w:p>
        </w:tc>
      </w:tr>
      <w:tr w:rsidR="00755CF1">
        <w:trPr>
          <w:trHeight w:val="255"/>
        </w:trPr>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rPr>
                <w:b/>
                <w:bCs/>
                <w:sz w:val="22"/>
              </w:rPr>
            </w:pPr>
            <w:r>
              <w:rPr>
                <w:b/>
                <w:bCs/>
                <w:sz w:val="22"/>
              </w:rPr>
              <w:t>Résultat opérationnel</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3 330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2 550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2 420 </w:t>
            </w:r>
          </w:p>
        </w:tc>
      </w:tr>
      <w:tr w:rsidR="00755CF1">
        <w:trPr>
          <w:trHeight w:val="255"/>
        </w:trPr>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rPr>
                <w:sz w:val="22"/>
              </w:rPr>
            </w:pPr>
            <w:r>
              <w:rPr>
                <w:sz w:val="22"/>
              </w:rPr>
              <w:t>Coût de l'endettement financier brut</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- 680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- 460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- 450 </w:t>
            </w:r>
          </w:p>
        </w:tc>
      </w:tr>
      <w:tr w:rsidR="00755CF1">
        <w:trPr>
          <w:trHeight w:val="255"/>
        </w:trPr>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rPr>
                <w:sz w:val="22"/>
              </w:rPr>
            </w:pPr>
            <w:r>
              <w:rPr>
                <w:sz w:val="22"/>
              </w:rPr>
              <w:t>Produits de trésorerie</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50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50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60 </w:t>
            </w:r>
          </w:p>
        </w:tc>
      </w:tr>
      <w:tr w:rsidR="00755CF1">
        <w:trPr>
          <w:trHeight w:val="255"/>
        </w:trPr>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rPr>
                <w:b/>
                <w:bCs/>
                <w:sz w:val="22"/>
              </w:rPr>
            </w:pPr>
            <w:r>
              <w:rPr>
                <w:b/>
                <w:bCs/>
                <w:sz w:val="22"/>
              </w:rPr>
              <w:t>Coût de l'endettement financier net</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- 630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- 410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- 390 </w:t>
            </w:r>
          </w:p>
        </w:tc>
      </w:tr>
      <w:tr w:rsidR="00755CF1">
        <w:trPr>
          <w:trHeight w:val="255"/>
        </w:trPr>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rPr>
                <w:sz w:val="22"/>
              </w:rPr>
            </w:pPr>
            <w:r>
              <w:rPr>
                <w:sz w:val="22"/>
              </w:rPr>
              <w:t>Autres produits et charges financiers</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- 120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- 160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- 150 </w:t>
            </w:r>
          </w:p>
        </w:tc>
      </w:tr>
      <w:tr w:rsidR="00755CF1">
        <w:trPr>
          <w:trHeight w:val="255"/>
        </w:trPr>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rPr>
                <w:b/>
                <w:bCs/>
                <w:sz w:val="22"/>
              </w:rPr>
            </w:pPr>
            <w:r>
              <w:rPr>
                <w:b/>
                <w:bCs/>
                <w:sz w:val="22"/>
              </w:rPr>
              <w:t>Résultat financier</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- 750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- 570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- 540 </w:t>
            </w:r>
          </w:p>
        </w:tc>
      </w:tr>
      <w:tr w:rsidR="00755CF1">
        <w:trPr>
          <w:trHeight w:val="255"/>
        </w:trPr>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rPr>
                <w:sz w:val="22"/>
              </w:rPr>
            </w:pPr>
            <w:r>
              <w:rPr>
                <w:sz w:val="22"/>
              </w:rPr>
              <w:t>Impôts sur les résultats</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- 890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- 690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- 610 </w:t>
            </w:r>
          </w:p>
        </w:tc>
      </w:tr>
      <w:tr w:rsidR="00755CF1">
        <w:trPr>
          <w:trHeight w:val="255"/>
        </w:trPr>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rPr>
                <w:b/>
                <w:bCs/>
                <w:sz w:val="22"/>
              </w:rPr>
            </w:pPr>
            <w:r>
              <w:rPr>
                <w:b/>
                <w:bCs/>
                <w:sz w:val="22"/>
              </w:rPr>
              <w:t>Résultat net de l'ensemble consolidé</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1 690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1 290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1 270 </w:t>
            </w:r>
          </w:p>
        </w:tc>
      </w:tr>
      <w:tr w:rsidR="00755CF1">
        <w:trPr>
          <w:trHeight w:val="255"/>
        </w:trPr>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rPr>
                <w:sz w:val="22"/>
              </w:rPr>
            </w:pPr>
            <w:r>
              <w:rPr>
                <w:sz w:val="22"/>
              </w:rPr>
              <w:t>- Résultat net Part du Groupe</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1 640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1 260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1 240 </w:t>
            </w:r>
          </w:p>
        </w:tc>
      </w:tr>
      <w:tr w:rsidR="00755CF1">
        <w:trPr>
          <w:trHeight w:val="255"/>
        </w:trPr>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rPr>
                <w:sz w:val="22"/>
              </w:rPr>
            </w:pPr>
            <w:r>
              <w:rPr>
                <w:sz w:val="22"/>
              </w:rPr>
              <w:t>- Part revenant aux intérêts minoritaires</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50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30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30 </w:t>
            </w:r>
          </w:p>
        </w:tc>
      </w:tr>
    </w:tbl>
    <w:p w:rsidR="00755CF1" w:rsidRDefault="00755CF1">
      <w:pPr>
        <w:tabs>
          <w:tab w:val="left" w:pos="4960"/>
          <w:tab w:val="left" w:pos="6620"/>
          <w:tab w:val="left" w:pos="8280"/>
        </w:tabs>
        <w:jc w:val="left"/>
        <w:rPr>
          <w:sz w:val="22"/>
        </w:rPr>
      </w:pPr>
      <w:r>
        <w:rPr>
          <w:sz w:val="22"/>
        </w:rPr>
        <w:tab/>
      </w:r>
    </w:p>
    <w:p w:rsidR="00755CF1" w:rsidRDefault="00755CF1">
      <w:pPr>
        <w:tabs>
          <w:tab w:val="left" w:pos="4960"/>
          <w:tab w:val="left" w:pos="6620"/>
          <w:tab w:val="left" w:pos="8280"/>
        </w:tabs>
        <w:jc w:val="left"/>
        <w:rPr>
          <w:sz w:val="22"/>
        </w:rPr>
      </w:pPr>
      <w:r>
        <w:rPr>
          <w:sz w:val="22"/>
        </w:rPr>
        <w:tab/>
      </w:r>
      <w:r>
        <w:rPr>
          <w:sz w:val="22"/>
        </w:rPr>
        <w:tab/>
      </w:r>
    </w:p>
    <w:tbl>
      <w:tblPr>
        <w:tblW w:w="9940" w:type="dxa"/>
        <w:tblCellMar>
          <w:left w:w="0" w:type="dxa"/>
          <w:right w:w="0" w:type="dxa"/>
        </w:tblCellMar>
        <w:tblLook w:val="0000" w:firstRow="0" w:lastRow="0" w:firstColumn="0" w:lastColumn="0" w:noHBand="0" w:noVBand="0"/>
      </w:tblPr>
      <w:tblGrid>
        <w:gridCol w:w="6673"/>
        <w:gridCol w:w="1089"/>
        <w:gridCol w:w="1089"/>
        <w:gridCol w:w="1089"/>
      </w:tblGrid>
      <w:tr w:rsidR="00755CF1">
        <w:trPr>
          <w:trHeight w:val="255"/>
        </w:trPr>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center"/>
              <w:rPr>
                <w:b/>
                <w:bCs/>
                <w:sz w:val="22"/>
              </w:rPr>
            </w:pPr>
            <w:r>
              <w:rPr>
                <w:b/>
                <w:bCs/>
                <w:sz w:val="22"/>
              </w:rPr>
              <w:t>Bilan - Actif</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center"/>
              <w:rPr>
                <w:b/>
                <w:bCs/>
                <w:sz w:val="22"/>
              </w:rPr>
            </w:pPr>
            <w:r>
              <w:rPr>
                <w:b/>
                <w:bCs/>
                <w:sz w:val="22"/>
              </w:rPr>
              <w:t>N</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center"/>
              <w:rPr>
                <w:b/>
                <w:bCs/>
                <w:sz w:val="22"/>
              </w:rPr>
            </w:pPr>
            <w:r>
              <w:rPr>
                <w:b/>
                <w:bCs/>
                <w:sz w:val="22"/>
              </w:rPr>
              <w:t>N-1</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center"/>
              <w:rPr>
                <w:b/>
                <w:bCs/>
                <w:sz w:val="22"/>
              </w:rPr>
            </w:pPr>
            <w:r>
              <w:rPr>
                <w:b/>
                <w:bCs/>
                <w:sz w:val="22"/>
              </w:rPr>
              <w:t>N-2</w:t>
            </w:r>
          </w:p>
        </w:tc>
      </w:tr>
      <w:tr w:rsidR="00755CF1">
        <w:trPr>
          <w:trHeight w:val="255"/>
        </w:trPr>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rPr>
                <w:sz w:val="22"/>
              </w:rPr>
            </w:pPr>
            <w:r>
              <w:rPr>
                <w:sz w:val="22"/>
              </w:rPr>
              <w:t>Ecarts d'acquisition</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9 330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9 720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5 200 </w:t>
            </w:r>
          </w:p>
        </w:tc>
      </w:tr>
      <w:tr w:rsidR="00755CF1">
        <w:trPr>
          <w:trHeight w:val="255"/>
        </w:trPr>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rPr>
                <w:sz w:val="22"/>
              </w:rPr>
            </w:pPr>
            <w:r>
              <w:rPr>
                <w:sz w:val="22"/>
              </w:rPr>
              <w:t>Autres immobilisations incorporelles</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3 200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3 200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1 800 </w:t>
            </w:r>
          </w:p>
        </w:tc>
      </w:tr>
      <w:tr w:rsidR="00755CF1">
        <w:trPr>
          <w:trHeight w:val="255"/>
        </w:trPr>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rPr>
                <w:sz w:val="22"/>
              </w:rPr>
            </w:pPr>
            <w:r>
              <w:rPr>
                <w:sz w:val="22"/>
              </w:rPr>
              <w:t>Immobilisations corporelles</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12 770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12 820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9 370 </w:t>
            </w:r>
          </w:p>
        </w:tc>
      </w:tr>
      <w:tr w:rsidR="00755CF1">
        <w:trPr>
          <w:trHeight w:val="255"/>
        </w:trPr>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rPr>
                <w:sz w:val="22"/>
              </w:rPr>
            </w:pPr>
            <w:r>
              <w:rPr>
                <w:sz w:val="22"/>
              </w:rPr>
              <w:t>Autres actifs non courants</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980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1 030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810 </w:t>
            </w:r>
          </w:p>
        </w:tc>
      </w:tr>
      <w:tr w:rsidR="00755CF1">
        <w:trPr>
          <w:trHeight w:val="255"/>
        </w:trPr>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Total de l'actif non courant</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26 280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26 770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17 180 </w:t>
            </w:r>
          </w:p>
        </w:tc>
      </w:tr>
      <w:tr w:rsidR="00755CF1">
        <w:trPr>
          <w:trHeight w:val="255"/>
        </w:trPr>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rPr>
                <w:sz w:val="22"/>
              </w:rPr>
            </w:pPr>
            <w:r>
              <w:rPr>
                <w:sz w:val="22"/>
              </w:rPr>
              <w:t>Stocks</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5 630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5 530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4 810 </w:t>
            </w:r>
          </w:p>
        </w:tc>
      </w:tr>
      <w:tr w:rsidR="00755CF1">
        <w:trPr>
          <w:trHeight w:val="255"/>
        </w:trPr>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rPr>
                <w:sz w:val="22"/>
              </w:rPr>
            </w:pPr>
            <w:r>
              <w:rPr>
                <w:sz w:val="22"/>
              </w:rPr>
              <w:t>Créances clients</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6 300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5 800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4 750 </w:t>
            </w:r>
          </w:p>
        </w:tc>
      </w:tr>
      <w:tr w:rsidR="00755CF1">
        <w:trPr>
          <w:trHeight w:val="255"/>
        </w:trPr>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rPr>
                <w:sz w:val="22"/>
              </w:rPr>
            </w:pPr>
            <w:r>
              <w:rPr>
                <w:sz w:val="22"/>
              </w:rPr>
              <w:t>Autres créances</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2 000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1 020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1 070 </w:t>
            </w:r>
          </w:p>
        </w:tc>
      </w:tr>
      <w:tr w:rsidR="00755CF1">
        <w:trPr>
          <w:trHeight w:val="255"/>
        </w:trPr>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rPr>
                <w:sz w:val="22"/>
              </w:rPr>
            </w:pPr>
            <w:r>
              <w:rPr>
                <w:sz w:val="22"/>
              </w:rPr>
              <w:t>Disponibilités et équivalents de trésorerie</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1 470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2 080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2 900 </w:t>
            </w:r>
          </w:p>
        </w:tc>
      </w:tr>
      <w:tr w:rsidR="00755CF1">
        <w:trPr>
          <w:trHeight w:val="255"/>
        </w:trPr>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Total de l'actif courant</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15 400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14 430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13 530 </w:t>
            </w:r>
          </w:p>
        </w:tc>
      </w:tr>
      <w:tr w:rsidR="00755CF1">
        <w:trPr>
          <w:trHeight w:val="255"/>
        </w:trPr>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center"/>
              <w:rPr>
                <w:b/>
                <w:bCs/>
                <w:sz w:val="22"/>
              </w:rPr>
            </w:pPr>
            <w:r>
              <w:rPr>
                <w:b/>
                <w:bCs/>
                <w:sz w:val="22"/>
              </w:rPr>
              <w:t>TOTAL DE L'ACTIF</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41 680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41 200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30 710 </w:t>
            </w:r>
          </w:p>
        </w:tc>
      </w:tr>
      <w:tr w:rsidR="00755CF1">
        <w:trPr>
          <w:trHeight w:val="255"/>
        </w:trPr>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rPr>
                <w:sz w:val="22"/>
              </w:rPr>
            </w:pP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rPr>
                <w:sz w:val="22"/>
              </w:rPr>
            </w:pP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rPr>
                <w:sz w:val="22"/>
              </w:rPr>
            </w:pP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rPr>
                <w:sz w:val="22"/>
              </w:rPr>
            </w:pPr>
          </w:p>
        </w:tc>
      </w:tr>
      <w:tr w:rsidR="00755CF1">
        <w:trPr>
          <w:trHeight w:val="255"/>
        </w:trPr>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center"/>
              <w:rPr>
                <w:b/>
                <w:bCs/>
                <w:sz w:val="22"/>
              </w:rPr>
            </w:pPr>
            <w:r>
              <w:rPr>
                <w:b/>
                <w:bCs/>
                <w:sz w:val="22"/>
              </w:rPr>
              <w:t>Bilan - Passif</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center"/>
              <w:rPr>
                <w:b/>
                <w:bCs/>
                <w:sz w:val="22"/>
              </w:rPr>
            </w:pPr>
            <w:r>
              <w:rPr>
                <w:b/>
                <w:bCs/>
                <w:sz w:val="22"/>
              </w:rPr>
              <w:t>N</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center"/>
              <w:rPr>
                <w:b/>
                <w:bCs/>
                <w:sz w:val="22"/>
              </w:rPr>
            </w:pPr>
            <w:r>
              <w:rPr>
                <w:b/>
                <w:bCs/>
                <w:sz w:val="22"/>
              </w:rPr>
              <w:t>N-1</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center"/>
              <w:rPr>
                <w:b/>
                <w:bCs/>
                <w:sz w:val="22"/>
              </w:rPr>
            </w:pPr>
            <w:r>
              <w:rPr>
                <w:b/>
                <w:bCs/>
                <w:sz w:val="22"/>
              </w:rPr>
              <w:t>N-2</w:t>
            </w:r>
          </w:p>
        </w:tc>
      </w:tr>
      <w:tr w:rsidR="00755CF1">
        <w:trPr>
          <w:trHeight w:val="255"/>
        </w:trPr>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rPr>
                <w:sz w:val="22"/>
              </w:rPr>
            </w:pPr>
            <w:r>
              <w:rPr>
                <w:sz w:val="22"/>
              </w:rPr>
              <w:t>Capitaux propres du Groupe</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14 160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11 990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10 630 </w:t>
            </w:r>
          </w:p>
        </w:tc>
      </w:tr>
      <w:tr w:rsidR="00755CF1">
        <w:trPr>
          <w:trHeight w:val="255"/>
        </w:trPr>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rPr>
                <w:sz w:val="22"/>
              </w:rPr>
            </w:pPr>
            <w:r>
              <w:rPr>
                <w:sz w:val="22"/>
              </w:rPr>
              <w:t>Intérêts minoritaires</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320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330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240 </w:t>
            </w:r>
          </w:p>
        </w:tc>
      </w:tr>
      <w:tr w:rsidR="00755CF1">
        <w:trPr>
          <w:trHeight w:val="255"/>
        </w:trPr>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Capitaux propres de l'ensemble consolidé</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14 480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12 320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10 870 </w:t>
            </w:r>
          </w:p>
        </w:tc>
      </w:tr>
      <w:tr w:rsidR="00755CF1">
        <w:trPr>
          <w:trHeight w:val="255"/>
        </w:trPr>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rPr>
                <w:sz w:val="22"/>
              </w:rPr>
            </w:pPr>
            <w:r>
              <w:rPr>
                <w:sz w:val="22"/>
              </w:rPr>
              <w:t>Dettes financières</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9 880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11 310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5 630 </w:t>
            </w:r>
          </w:p>
        </w:tc>
      </w:tr>
      <w:tr w:rsidR="00755CF1">
        <w:trPr>
          <w:trHeight w:val="255"/>
        </w:trPr>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rPr>
                <w:sz w:val="22"/>
              </w:rPr>
            </w:pPr>
            <w:r>
              <w:rPr>
                <w:sz w:val="22"/>
              </w:rPr>
              <w:t>Provisions pour retraites et avantages au pers.</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2 200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3 430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2 760 </w:t>
            </w:r>
          </w:p>
        </w:tc>
      </w:tr>
      <w:tr w:rsidR="00755CF1">
        <w:trPr>
          <w:trHeight w:val="255"/>
        </w:trPr>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rPr>
                <w:sz w:val="22"/>
              </w:rPr>
            </w:pPr>
            <w:r>
              <w:rPr>
                <w:sz w:val="22"/>
              </w:rPr>
              <w:t>Autres passifs non courants</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2 160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2 020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1 100 </w:t>
            </w:r>
          </w:p>
        </w:tc>
      </w:tr>
      <w:tr w:rsidR="00755CF1">
        <w:trPr>
          <w:trHeight w:val="255"/>
        </w:trPr>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Total des dettes non courantes</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14 240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16 760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9 490 </w:t>
            </w:r>
          </w:p>
        </w:tc>
      </w:tr>
      <w:tr w:rsidR="00755CF1">
        <w:trPr>
          <w:trHeight w:val="255"/>
        </w:trPr>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rPr>
                <w:sz w:val="22"/>
              </w:rPr>
            </w:pPr>
            <w:r>
              <w:rPr>
                <w:sz w:val="22"/>
              </w:rPr>
              <w:t>Partie court terme des dettes financières</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990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920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1 340 </w:t>
            </w:r>
          </w:p>
        </w:tc>
      </w:tr>
      <w:tr w:rsidR="00755CF1">
        <w:trPr>
          <w:trHeight w:val="255"/>
        </w:trPr>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rPr>
                <w:sz w:val="22"/>
              </w:rPr>
            </w:pPr>
            <w:r>
              <w:rPr>
                <w:sz w:val="22"/>
              </w:rPr>
              <w:t>Partie court terme des autres passifs</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470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680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350 </w:t>
            </w:r>
          </w:p>
        </w:tc>
      </w:tr>
      <w:tr w:rsidR="00755CF1">
        <w:trPr>
          <w:trHeight w:val="255"/>
        </w:trPr>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rPr>
                <w:sz w:val="22"/>
              </w:rPr>
            </w:pPr>
            <w:r>
              <w:rPr>
                <w:sz w:val="22"/>
              </w:rPr>
              <w:t>Dettes fournisseurs</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5 520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4 780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3 950 </w:t>
            </w:r>
          </w:p>
        </w:tc>
      </w:tr>
      <w:tr w:rsidR="00755CF1">
        <w:trPr>
          <w:trHeight w:val="255"/>
        </w:trPr>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rPr>
                <w:sz w:val="22"/>
              </w:rPr>
            </w:pPr>
            <w:r>
              <w:rPr>
                <w:sz w:val="22"/>
              </w:rPr>
              <w:t>Autres dettes</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3 780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3 050 </w:t>
            </w:r>
          </w:p>
        </w:tc>
        <w:tc>
          <w:tcPr>
            <w:tcW w:w="0" w:type="auto"/>
            <w:tcBorders>
              <w:top w:val="nil"/>
              <w:left w:val="nil"/>
              <w:bottom w:val="nil"/>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2 560 </w:t>
            </w:r>
          </w:p>
        </w:tc>
      </w:tr>
      <w:tr w:rsidR="00755CF1">
        <w:trPr>
          <w:trHeight w:val="255"/>
        </w:trPr>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rPr>
                <w:sz w:val="22"/>
              </w:rPr>
            </w:pPr>
            <w:r>
              <w:rPr>
                <w:sz w:val="22"/>
              </w:rPr>
              <w:t>Emprunts à moins d'un an et banques créditrices</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2 200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2 690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sz w:val="22"/>
              </w:rPr>
            </w:pPr>
            <w:r>
              <w:rPr>
                <w:sz w:val="22"/>
              </w:rPr>
              <w:t xml:space="preserve"> 2 150 </w:t>
            </w:r>
          </w:p>
        </w:tc>
      </w:tr>
      <w:tr w:rsidR="00755CF1">
        <w:trPr>
          <w:trHeight w:val="255"/>
        </w:trPr>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Total des dettes courantes</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12 960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12 120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10 350 </w:t>
            </w:r>
          </w:p>
        </w:tc>
      </w:tr>
      <w:tr w:rsidR="00755CF1">
        <w:trPr>
          <w:trHeight w:val="255"/>
        </w:trPr>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center"/>
              <w:rPr>
                <w:b/>
                <w:bCs/>
                <w:sz w:val="22"/>
              </w:rPr>
            </w:pPr>
            <w:r>
              <w:rPr>
                <w:b/>
                <w:bCs/>
                <w:sz w:val="22"/>
              </w:rPr>
              <w:t>TOTAL DU PASSIF</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41 680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41 200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755CF1" w:rsidRDefault="00755CF1">
            <w:pPr>
              <w:jc w:val="right"/>
              <w:rPr>
                <w:b/>
                <w:bCs/>
                <w:sz w:val="22"/>
              </w:rPr>
            </w:pPr>
            <w:r>
              <w:rPr>
                <w:b/>
                <w:bCs/>
                <w:sz w:val="22"/>
              </w:rPr>
              <w:t xml:space="preserve"> 30 710 </w:t>
            </w:r>
          </w:p>
        </w:tc>
      </w:tr>
    </w:tbl>
    <w:p w:rsidR="00755CF1" w:rsidRDefault="00755CF1">
      <w:pPr>
        <w:jc w:val="center"/>
        <w:rPr>
          <w:b/>
          <w:sz w:val="22"/>
        </w:rPr>
      </w:pPr>
    </w:p>
    <w:p w:rsidR="00755CF1" w:rsidRDefault="00755CF1">
      <w:pPr>
        <w:rPr>
          <w:b/>
          <w:sz w:val="22"/>
        </w:rPr>
      </w:pPr>
      <w:r>
        <w:rPr>
          <w:b/>
          <w:sz w:val="22"/>
        </w:rPr>
        <w:t xml:space="preserve"> </w:t>
      </w:r>
    </w:p>
    <w:p w:rsidR="00755CF1" w:rsidRDefault="00755CF1">
      <w:pPr>
        <w:jc w:val="center"/>
        <w:rPr>
          <w:b/>
          <w:szCs w:val="24"/>
        </w:rPr>
      </w:pPr>
      <w:r>
        <w:rPr>
          <w:b/>
          <w:sz w:val="22"/>
          <w:u w:val="single"/>
        </w:rPr>
        <w:br w:type="page"/>
      </w:r>
      <w:r>
        <w:rPr>
          <w:b/>
          <w:szCs w:val="24"/>
        </w:rPr>
        <w:lastRenderedPageBreak/>
        <w:t>Annexe 2</w:t>
      </w:r>
    </w:p>
    <w:p w:rsidR="00755CF1" w:rsidRDefault="00755CF1">
      <w:pPr>
        <w:jc w:val="center"/>
        <w:rPr>
          <w:b/>
          <w:szCs w:val="24"/>
          <w:u w:val="single"/>
        </w:rPr>
      </w:pPr>
    </w:p>
    <w:p w:rsidR="00755CF1" w:rsidRDefault="00755CF1">
      <w:pPr>
        <w:jc w:val="center"/>
        <w:rPr>
          <w:b/>
          <w:bCs/>
          <w:szCs w:val="24"/>
          <w:u w:val="single"/>
        </w:rPr>
      </w:pPr>
      <w:r>
        <w:rPr>
          <w:b/>
          <w:szCs w:val="24"/>
          <w:u w:val="single"/>
        </w:rPr>
        <w:t xml:space="preserve">Estimation du coût du capital de </w:t>
      </w:r>
      <w:r>
        <w:rPr>
          <w:b/>
          <w:bCs/>
          <w:szCs w:val="24"/>
          <w:u w:val="single"/>
        </w:rPr>
        <w:t>Peletier</w:t>
      </w:r>
    </w:p>
    <w:p w:rsidR="00755CF1" w:rsidRDefault="00755CF1">
      <w:pPr>
        <w:jc w:val="center"/>
        <w:rPr>
          <w:b/>
          <w:szCs w:val="24"/>
          <w:u w:val="single"/>
        </w:rPr>
      </w:pPr>
    </w:p>
    <w:p w:rsidR="00755CF1" w:rsidRDefault="00755CF1">
      <w:pPr>
        <w:rPr>
          <w:sz w:val="22"/>
        </w:rPr>
      </w:pPr>
      <w:r>
        <w:rPr>
          <w:sz w:val="22"/>
        </w:rPr>
        <w:t xml:space="preserve">Pour estimer le coût moyen pondéré du capital de Peletier, vous vous fonderez sur les données de trois sociétés cotées européennes, comparables en termes d’activités. Pour ce faire, vous utiliserez la formule de désendettement du coefficient bêta suivante : </w:t>
      </w:r>
    </w:p>
    <w:p w:rsidR="00755CF1" w:rsidRDefault="00755CF1">
      <w:pPr>
        <w:jc w:val="center"/>
        <w:rPr>
          <w:sz w:val="22"/>
        </w:rPr>
      </w:pPr>
      <w:r>
        <w:rPr>
          <w:position w:val="-24"/>
          <w:sz w:val="22"/>
        </w:rPr>
        <w:object w:dxaOrig="25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0.75pt" o:ole="">
            <v:imagedata r:id="rId8" o:title=""/>
          </v:shape>
          <o:OLEObject Type="Embed" ProgID="Equation.DSMT4" ShapeID="_x0000_i1025" DrawAspect="Content" ObjectID="_1458244920" r:id="rId9"/>
        </w:object>
      </w:r>
    </w:p>
    <w:p w:rsidR="00755CF1" w:rsidRDefault="00755CF1">
      <w:pPr>
        <w:rPr>
          <w:sz w:val="22"/>
        </w:rPr>
      </w:pPr>
      <w:r>
        <w:rPr>
          <w:sz w:val="22"/>
        </w:rPr>
        <w:t xml:space="preserve">où </w:t>
      </w:r>
      <w:bookmarkStart w:id="0" w:name="OLE_LINK1"/>
      <w:r>
        <w:rPr>
          <w:position w:val="-12"/>
          <w:sz w:val="22"/>
        </w:rPr>
        <w:object w:dxaOrig="260" w:dyaOrig="360">
          <v:shape id="_x0000_i1026" type="#_x0000_t75" style="width:12.75pt;height:18pt" o:ole="">
            <v:imagedata r:id="rId10" o:title=""/>
          </v:shape>
          <o:OLEObject Type="Embed" ProgID="Equation.DSMT4" ShapeID="_x0000_i1026" DrawAspect="Content" ObjectID="_1458244921" r:id="rId11"/>
        </w:object>
      </w:r>
      <w:bookmarkEnd w:id="0"/>
      <w:r>
        <w:rPr>
          <w:sz w:val="22"/>
        </w:rPr>
        <w:t xml:space="preserve">représente le bêta de l’action, </w:t>
      </w:r>
      <w:r>
        <w:rPr>
          <w:position w:val="-12"/>
          <w:sz w:val="22"/>
        </w:rPr>
        <w:object w:dxaOrig="279" w:dyaOrig="360">
          <v:shape id="_x0000_i1027" type="#_x0000_t75" style="width:14.25pt;height:18pt" o:ole="">
            <v:imagedata r:id="rId12" o:title=""/>
          </v:shape>
          <o:OLEObject Type="Embed" ProgID="Equation.DSMT4" ShapeID="_x0000_i1027" DrawAspect="Content" ObjectID="_1458244922" r:id="rId13"/>
        </w:object>
      </w:r>
      <w:r>
        <w:rPr>
          <w:sz w:val="22"/>
        </w:rPr>
        <w:t xml:space="preserve">le bêta de l’activité, </w:t>
      </w:r>
      <w:r>
        <w:rPr>
          <w:position w:val="-12"/>
          <w:sz w:val="22"/>
        </w:rPr>
        <w:object w:dxaOrig="279" w:dyaOrig="360">
          <v:shape id="_x0000_i1028" type="#_x0000_t75" style="width:14.25pt;height:18pt" o:ole="">
            <v:imagedata r:id="rId14" o:title=""/>
          </v:shape>
          <o:OLEObject Type="Embed" ProgID="Equation.DSMT4" ShapeID="_x0000_i1028" DrawAspect="Content" ObjectID="_1458244923" r:id="rId15"/>
        </w:object>
      </w:r>
      <w:r>
        <w:rPr>
          <w:sz w:val="22"/>
        </w:rPr>
        <w:t xml:space="preserve"> le bêta des dettes financières, VDF la valeur de marché des dettes financières et VCP la valeur de marché des capitaux propres.</w:t>
      </w:r>
    </w:p>
    <w:p w:rsidR="00755CF1" w:rsidRDefault="00755CF1">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5"/>
        <w:gridCol w:w="2445"/>
        <w:gridCol w:w="2445"/>
      </w:tblGrid>
      <w:tr w:rsidR="00755CF1">
        <w:tc>
          <w:tcPr>
            <w:tcW w:w="2444" w:type="dxa"/>
          </w:tcPr>
          <w:p w:rsidR="00755CF1" w:rsidRDefault="00755CF1">
            <w:pPr>
              <w:jc w:val="center"/>
              <w:rPr>
                <w:b/>
                <w:bCs/>
                <w:sz w:val="22"/>
              </w:rPr>
            </w:pPr>
          </w:p>
        </w:tc>
        <w:tc>
          <w:tcPr>
            <w:tcW w:w="2445" w:type="dxa"/>
          </w:tcPr>
          <w:p w:rsidR="00755CF1" w:rsidRDefault="00755CF1">
            <w:pPr>
              <w:jc w:val="center"/>
              <w:rPr>
                <w:b/>
                <w:bCs/>
                <w:sz w:val="22"/>
              </w:rPr>
            </w:pPr>
            <w:r>
              <w:rPr>
                <w:b/>
                <w:bCs/>
                <w:sz w:val="22"/>
              </w:rPr>
              <w:t>Société A</w:t>
            </w:r>
          </w:p>
        </w:tc>
        <w:tc>
          <w:tcPr>
            <w:tcW w:w="2445" w:type="dxa"/>
          </w:tcPr>
          <w:p w:rsidR="00755CF1" w:rsidRDefault="00755CF1">
            <w:pPr>
              <w:jc w:val="center"/>
              <w:rPr>
                <w:b/>
                <w:bCs/>
                <w:sz w:val="22"/>
              </w:rPr>
            </w:pPr>
            <w:r>
              <w:rPr>
                <w:b/>
                <w:bCs/>
                <w:sz w:val="22"/>
              </w:rPr>
              <w:t>Société B</w:t>
            </w:r>
          </w:p>
        </w:tc>
        <w:tc>
          <w:tcPr>
            <w:tcW w:w="2445" w:type="dxa"/>
          </w:tcPr>
          <w:p w:rsidR="00755CF1" w:rsidRDefault="00755CF1">
            <w:pPr>
              <w:jc w:val="center"/>
              <w:rPr>
                <w:b/>
                <w:bCs/>
                <w:sz w:val="22"/>
              </w:rPr>
            </w:pPr>
            <w:r>
              <w:rPr>
                <w:b/>
                <w:bCs/>
                <w:sz w:val="22"/>
              </w:rPr>
              <w:t>Société C</w:t>
            </w:r>
          </w:p>
        </w:tc>
      </w:tr>
      <w:tr w:rsidR="00755CF1">
        <w:tc>
          <w:tcPr>
            <w:tcW w:w="2444" w:type="dxa"/>
          </w:tcPr>
          <w:p w:rsidR="00755CF1" w:rsidRDefault="00755CF1">
            <w:pPr>
              <w:rPr>
                <w:sz w:val="22"/>
              </w:rPr>
            </w:pPr>
            <w:r>
              <w:rPr>
                <w:sz w:val="22"/>
              </w:rPr>
              <w:t>Bêta de l’action</w:t>
            </w:r>
          </w:p>
        </w:tc>
        <w:tc>
          <w:tcPr>
            <w:tcW w:w="2445" w:type="dxa"/>
          </w:tcPr>
          <w:p w:rsidR="00755CF1" w:rsidRDefault="00755CF1">
            <w:pPr>
              <w:jc w:val="center"/>
              <w:rPr>
                <w:sz w:val="22"/>
              </w:rPr>
            </w:pPr>
            <w:r>
              <w:rPr>
                <w:sz w:val="22"/>
              </w:rPr>
              <w:t>1,15</w:t>
            </w:r>
          </w:p>
        </w:tc>
        <w:tc>
          <w:tcPr>
            <w:tcW w:w="2445" w:type="dxa"/>
          </w:tcPr>
          <w:p w:rsidR="00755CF1" w:rsidRDefault="00755CF1">
            <w:pPr>
              <w:jc w:val="center"/>
              <w:rPr>
                <w:sz w:val="22"/>
              </w:rPr>
            </w:pPr>
            <w:r>
              <w:rPr>
                <w:sz w:val="22"/>
              </w:rPr>
              <w:t>1,22</w:t>
            </w:r>
          </w:p>
        </w:tc>
        <w:tc>
          <w:tcPr>
            <w:tcW w:w="2445" w:type="dxa"/>
          </w:tcPr>
          <w:p w:rsidR="00755CF1" w:rsidRDefault="00755CF1">
            <w:pPr>
              <w:jc w:val="center"/>
              <w:rPr>
                <w:sz w:val="22"/>
              </w:rPr>
            </w:pPr>
            <w:r>
              <w:rPr>
                <w:sz w:val="22"/>
              </w:rPr>
              <w:t>1,40</w:t>
            </w:r>
          </w:p>
        </w:tc>
      </w:tr>
      <w:tr w:rsidR="00755CF1">
        <w:tc>
          <w:tcPr>
            <w:tcW w:w="2444" w:type="dxa"/>
          </w:tcPr>
          <w:p w:rsidR="00755CF1" w:rsidRDefault="00755CF1">
            <w:pPr>
              <w:rPr>
                <w:sz w:val="22"/>
              </w:rPr>
            </w:pPr>
            <w:r>
              <w:rPr>
                <w:sz w:val="22"/>
              </w:rPr>
              <w:t>Bêta de la dette</w:t>
            </w:r>
          </w:p>
        </w:tc>
        <w:tc>
          <w:tcPr>
            <w:tcW w:w="2445" w:type="dxa"/>
          </w:tcPr>
          <w:p w:rsidR="00755CF1" w:rsidRDefault="00755CF1">
            <w:pPr>
              <w:jc w:val="center"/>
              <w:rPr>
                <w:sz w:val="22"/>
              </w:rPr>
            </w:pPr>
            <w:r>
              <w:rPr>
                <w:sz w:val="22"/>
              </w:rPr>
              <w:t>0,1</w:t>
            </w:r>
          </w:p>
        </w:tc>
        <w:tc>
          <w:tcPr>
            <w:tcW w:w="2445" w:type="dxa"/>
          </w:tcPr>
          <w:p w:rsidR="00755CF1" w:rsidRDefault="00755CF1">
            <w:pPr>
              <w:jc w:val="center"/>
              <w:rPr>
                <w:sz w:val="22"/>
              </w:rPr>
            </w:pPr>
            <w:r>
              <w:rPr>
                <w:sz w:val="22"/>
              </w:rPr>
              <w:t>0,1</w:t>
            </w:r>
          </w:p>
        </w:tc>
        <w:tc>
          <w:tcPr>
            <w:tcW w:w="2445" w:type="dxa"/>
          </w:tcPr>
          <w:p w:rsidR="00755CF1" w:rsidRDefault="00755CF1">
            <w:pPr>
              <w:jc w:val="center"/>
              <w:rPr>
                <w:sz w:val="22"/>
              </w:rPr>
            </w:pPr>
            <w:r>
              <w:rPr>
                <w:sz w:val="22"/>
              </w:rPr>
              <w:t>0,2</w:t>
            </w:r>
          </w:p>
        </w:tc>
      </w:tr>
      <w:tr w:rsidR="00755CF1">
        <w:tc>
          <w:tcPr>
            <w:tcW w:w="2444" w:type="dxa"/>
          </w:tcPr>
          <w:p w:rsidR="00755CF1" w:rsidRDefault="00755CF1">
            <w:pPr>
              <w:rPr>
                <w:sz w:val="22"/>
              </w:rPr>
            </w:pPr>
            <w:r>
              <w:rPr>
                <w:sz w:val="22"/>
              </w:rPr>
              <w:t>VDF (M€)</w:t>
            </w:r>
          </w:p>
        </w:tc>
        <w:tc>
          <w:tcPr>
            <w:tcW w:w="2445" w:type="dxa"/>
          </w:tcPr>
          <w:p w:rsidR="00755CF1" w:rsidRDefault="00755CF1">
            <w:pPr>
              <w:jc w:val="center"/>
              <w:rPr>
                <w:sz w:val="22"/>
              </w:rPr>
            </w:pPr>
            <w:r>
              <w:rPr>
                <w:sz w:val="22"/>
              </w:rPr>
              <w:t>200</w:t>
            </w:r>
          </w:p>
        </w:tc>
        <w:tc>
          <w:tcPr>
            <w:tcW w:w="2445" w:type="dxa"/>
          </w:tcPr>
          <w:p w:rsidR="00755CF1" w:rsidRDefault="00755CF1">
            <w:pPr>
              <w:jc w:val="center"/>
              <w:rPr>
                <w:sz w:val="22"/>
              </w:rPr>
            </w:pPr>
            <w:r>
              <w:rPr>
                <w:sz w:val="22"/>
              </w:rPr>
              <w:t>300</w:t>
            </w:r>
          </w:p>
        </w:tc>
        <w:tc>
          <w:tcPr>
            <w:tcW w:w="2445" w:type="dxa"/>
          </w:tcPr>
          <w:p w:rsidR="00755CF1" w:rsidRDefault="00755CF1">
            <w:pPr>
              <w:jc w:val="center"/>
              <w:rPr>
                <w:sz w:val="22"/>
              </w:rPr>
            </w:pPr>
            <w:r>
              <w:rPr>
                <w:sz w:val="22"/>
              </w:rPr>
              <w:t>400</w:t>
            </w:r>
          </w:p>
        </w:tc>
      </w:tr>
      <w:tr w:rsidR="00755CF1">
        <w:tc>
          <w:tcPr>
            <w:tcW w:w="2444" w:type="dxa"/>
          </w:tcPr>
          <w:p w:rsidR="00755CF1" w:rsidRDefault="00755CF1">
            <w:pPr>
              <w:rPr>
                <w:sz w:val="22"/>
              </w:rPr>
            </w:pPr>
            <w:r>
              <w:rPr>
                <w:sz w:val="22"/>
              </w:rPr>
              <w:t>VCP (M€)</w:t>
            </w:r>
          </w:p>
        </w:tc>
        <w:tc>
          <w:tcPr>
            <w:tcW w:w="2445" w:type="dxa"/>
          </w:tcPr>
          <w:p w:rsidR="00755CF1" w:rsidRDefault="00755CF1">
            <w:pPr>
              <w:jc w:val="center"/>
              <w:rPr>
                <w:sz w:val="22"/>
              </w:rPr>
            </w:pPr>
            <w:r>
              <w:rPr>
                <w:sz w:val="22"/>
              </w:rPr>
              <w:t>400</w:t>
            </w:r>
          </w:p>
        </w:tc>
        <w:tc>
          <w:tcPr>
            <w:tcW w:w="2445" w:type="dxa"/>
          </w:tcPr>
          <w:p w:rsidR="00755CF1" w:rsidRDefault="00755CF1">
            <w:pPr>
              <w:jc w:val="center"/>
              <w:rPr>
                <w:sz w:val="22"/>
              </w:rPr>
            </w:pPr>
            <w:r>
              <w:rPr>
                <w:sz w:val="22"/>
              </w:rPr>
              <w:t>500</w:t>
            </w:r>
          </w:p>
        </w:tc>
        <w:tc>
          <w:tcPr>
            <w:tcW w:w="2445" w:type="dxa"/>
          </w:tcPr>
          <w:p w:rsidR="00755CF1" w:rsidRDefault="00755CF1">
            <w:pPr>
              <w:jc w:val="center"/>
              <w:rPr>
                <w:sz w:val="22"/>
              </w:rPr>
            </w:pPr>
            <w:r>
              <w:rPr>
                <w:sz w:val="22"/>
              </w:rPr>
              <w:t>400</w:t>
            </w:r>
          </w:p>
        </w:tc>
      </w:tr>
    </w:tbl>
    <w:p w:rsidR="00755CF1" w:rsidRDefault="00755CF1">
      <w:pPr>
        <w:rPr>
          <w:sz w:val="22"/>
        </w:rPr>
      </w:pPr>
    </w:p>
    <w:p w:rsidR="00755CF1" w:rsidRDefault="00755CF1">
      <w:pPr>
        <w:rPr>
          <w:sz w:val="22"/>
        </w:rPr>
      </w:pPr>
      <w:r>
        <w:rPr>
          <w:sz w:val="22"/>
        </w:rPr>
        <w:t>Dans le cas de la société Peletier, vous retiendrez un levier d’endettement (VDF/VCP) de 0,7 et un bêta des dettes financières de 0,2. Le taux des obligations assimilables du Trésor est de 4% et la prime de risque du marché de 6%. S’agissant d’une société non cotée, pour l’estimation du coût des fonds propres, une prime d’illiquidité de 4 points sera ajoutée au taux obtenu dans le cadre du MEDAF.</w:t>
      </w:r>
    </w:p>
    <w:p w:rsidR="00755CF1" w:rsidRDefault="00755CF1">
      <w:pPr>
        <w:rPr>
          <w:sz w:val="22"/>
        </w:rPr>
      </w:pPr>
    </w:p>
    <w:p w:rsidR="00755CF1" w:rsidRDefault="00755CF1">
      <w:pPr>
        <w:rPr>
          <w:sz w:val="22"/>
        </w:rPr>
      </w:pPr>
      <w:r>
        <w:rPr>
          <w:sz w:val="22"/>
        </w:rPr>
        <w:t>Compte tenu de sa situation financière, Peletier estime pouvoir s’endetter à un taux d’intérêt de 8 %. Quant au coût des fonds propres à retenir pour le coût du capital, après divers ajustements, il est retenu à 16%. La structure financière sera arrondie à la dizaine près (par exemple, on retiendra 40 % au lieu de 38%). Le taux de l’impôt sur les sociétés est de 33 1/3 %.</w:t>
      </w:r>
    </w:p>
    <w:p w:rsidR="00755CF1" w:rsidRDefault="00755CF1">
      <w:pPr>
        <w:rPr>
          <w:sz w:val="22"/>
        </w:rPr>
      </w:pPr>
    </w:p>
    <w:p w:rsidR="00755CF1" w:rsidRDefault="00755CF1">
      <w:pPr>
        <w:rPr>
          <w:sz w:val="22"/>
        </w:rPr>
      </w:pPr>
    </w:p>
    <w:p w:rsidR="00755CF1" w:rsidRDefault="00755CF1">
      <w:pPr>
        <w:jc w:val="center"/>
        <w:rPr>
          <w:b/>
          <w:szCs w:val="24"/>
        </w:rPr>
      </w:pPr>
      <w:r>
        <w:rPr>
          <w:b/>
          <w:szCs w:val="24"/>
        </w:rPr>
        <w:t>Annexe 3</w:t>
      </w:r>
    </w:p>
    <w:p w:rsidR="00755CF1" w:rsidRDefault="00755CF1">
      <w:pPr>
        <w:jc w:val="center"/>
        <w:rPr>
          <w:b/>
          <w:szCs w:val="24"/>
          <w:u w:val="single"/>
        </w:rPr>
      </w:pPr>
    </w:p>
    <w:p w:rsidR="00755CF1" w:rsidRDefault="00755CF1">
      <w:pPr>
        <w:jc w:val="center"/>
        <w:rPr>
          <w:b/>
          <w:bCs/>
          <w:szCs w:val="24"/>
          <w:u w:val="single"/>
        </w:rPr>
      </w:pPr>
      <w:r>
        <w:rPr>
          <w:b/>
          <w:szCs w:val="24"/>
          <w:u w:val="single"/>
        </w:rPr>
        <w:t xml:space="preserve">Construction du plan d’affaires de </w:t>
      </w:r>
      <w:r>
        <w:rPr>
          <w:b/>
          <w:bCs/>
          <w:szCs w:val="24"/>
          <w:u w:val="single"/>
        </w:rPr>
        <w:t>Peletier</w:t>
      </w:r>
    </w:p>
    <w:p w:rsidR="00755CF1" w:rsidRDefault="00755CF1">
      <w:pPr>
        <w:jc w:val="center"/>
        <w:rPr>
          <w:b/>
          <w:szCs w:val="24"/>
          <w:u w:val="single"/>
        </w:rPr>
      </w:pPr>
    </w:p>
    <w:p w:rsidR="00755CF1" w:rsidRDefault="00755CF1">
      <w:pPr>
        <w:rPr>
          <w:bCs/>
          <w:sz w:val="22"/>
        </w:rPr>
      </w:pPr>
      <w:r>
        <w:rPr>
          <w:bCs/>
          <w:sz w:val="22"/>
        </w:rPr>
        <w:t>Le chiffre d’affaires prévisionnel pour l’exercice N+1 est de 44 millions d’euros. Vous anticipez une augmentation du chiffre d’affaires en N+2 de 15%, de 10% en N+3, de 5% en N+4, puis une stabilisation de la croissance à 2% par an. Le taux de marge opérationnelle prévisionnel est de 8% pour N+1, 9% pour N+2 puis de 10% pour les exercices suivants. Les dotations aux amortissements sont estimées à 4% du chiffre d’affaires, de même que les investissements annuels. Le besoin en fonds de roulement est évalué à 10% du chiffre d’affaires de l’année.</w:t>
      </w:r>
    </w:p>
    <w:p w:rsidR="00755CF1" w:rsidRDefault="00755CF1">
      <w:pPr>
        <w:rPr>
          <w:bCs/>
          <w:sz w:val="22"/>
        </w:rPr>
      </w:pPr>
    </w:p>
    <w:p w:rsidR="00755CF1" w:rsidRDefault="00755CF1">
      <w:pPr>
        <w:rPr>
          <w:bCs/>
          <w:sz w:val="22"/>
        </w:rPr>
      </w:pPr>
    </w:p>
    <w:p w:rsidR="00755CF1" w:rsidRDefault="00755CF1">
      <w:pPr>
        <w:jc w:val="center"/>
        <w:rPr>
          <w:b/>
          <w:szCs w:val="24"/>
        </w:rPr>
      </w:pPr>
      <w:r>
        <w:rPr>
          <w:b/>
          <w:szCs w:val="24"/>
        </w:rPr>
        <w:t>Annexe 4</w:t>
      </w:r>
    </w:p>
    <w:p w:rsidR="00755CF1" w:rsidRDefault="00755CF1">
      <w:pPr>
        <w:jc w:val="center"/>
        <w:rPr>
          <w:b/>
          <w:szCs w:val="24"/>
          <w:u w:val="single"/>
        </w:rPr>
      </w:pPr>
    </w:p>
    <w:p w:rsidR="00755CF1" w:rsidRDefault="00755CF1">
      <w:pPr>
        <w:jc w:val="center"/>
        <w:rPr>
          <w:b/>
          <w:szCs w:val="24"/>
          <w:u w:val="single"/>
        </w:rPr>
      </w:pPr>
      <w:r>
        <w:rPr>
          <w:b/>
          <w:szCs w:val="24"/>
          <w:u w:val="single"/>
        </w:rPr>
        <w:t>Évaluation par actualisation des flux de trésorerie disponibles</w:t>
      </w:r>
    </w:p>
    <w:p w:rsidR="00755CF1" w:rsidRDefault="00755CF1">
      <w:pPr>
        <w:jc w:val="center"/>
        <w:rPr>
          <w:b/>
          <w:szCs w:val="24"/>
          <w:u w:val="single"/>
        </w:rPr>
      </w:pPr>
    </w:p>
    <w:p w:rsidR="00755CF1" w:rsidRDefault="00755CF1">
      <w:pPr>
        <w:rPr>
          <w:bCs/>
          <w:sz w:val="22"/>
        </w:rPr>
      </w:pPr>
      <w:r>
        <w:rPr>
          <w:bCs/>
          <w:sz w:val="22"/>
        </w:rPr>
        <w:t xml:space="preserve">À l’issue de nombreux échanges, il est décidé de retenir un coût moyen pondéré du capital de 12% et les projections de flux de trésorerie disponibles suivantes : </w:t>
      </w:r>
    </w:p>
    <w:p w:rsidR="00755CF1" w:rsidRDefault="00755CF1">
      <w:pPr>
        <w:rPr>
          <w:bCs/>
          <w:sz w:val="22"/>
        </w:rPr>
      </w:pPr>
    </w:p>
    <w:tbl>
      <w:tblPr>
        <w:tblW w:w="8906" w:type="dxa"/>
        <w:jc w:val="center"/>
        <w:tblCellMar>
          <w:left w:w="0" w:type="dxa"/>
          <w:right w:w="0" w:type="dxa"/>
        </w:tblCellMar>
        <w:tblLook w:val="0000" w:firstRow="0" w:lastRow="0" w:firstColumn="0" w:lastColumn="0" w:noHBand="0" w:noVBand="0"/>
      </w:tblPr>
      <w:tblGrid>
        <w:gridCol w:w="2835"/>
        <w:gridCol w:w="1300"/>
        <w:gridCol w:w="1280"/>
        <w:gridCol w:w="1260"/>
        <w:gridCol w:w="1260"/>
        <w:gridCol w:w="1260"/>
      </w:tblGrid>
      <w:tr w:rsidR="00755CF1">
        <w:trPr>
          <w:trHeight w:val="255"/>
          <w:jc w:val="center"/>
        </w:trPr>
        <w:tc>
          <w:tcPr>
            <w:tcW w:w="28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755CF1" w:rsidRDefault="00755CF1">
            <w:pPr>
              <w:jc w:val="center"/>
              <w:rPr>
                <w:b/>
                <w:bCs/>
                <w:sz w:val="22"/>
              </w:rPr>
            </w:pPr>
            <w:r>
              <w:rPr>
                <w:b/>
                <w:bCs/>
                <w:sz w:val="22"/>
              </w:rPr>
              <w:t>(en K€)</w:t>
            </w:r>
          </w:p>
        </w:tc>
        <w:tc>
          <w:tcPr>
            <w:tcW w:w="130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755CF1" w:rsidRDefault="00755CF1">
            <w:pPr>
              <w:jc w:val="center"/>
              <w:rPr>
                <w:b/>
                <w:bCs/>
                <w:sz w:val="22"/>
              </w:rPr>
            </w:pPr>
            <w:r>
              <w:rPr>
                <w:b/>
                <w:bCs/>
                <w:sz w:val="22"/>
              </w:rPr>
              <w:t>N+1</w:t>
            </w:r>
          </w:p>
        </w:tc>
        <w:tc>
          <w:tcPr>
            <w:tcW w:w="12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755CF1" w:rsidRDefault="00755CF1">
            <w:pPr>
              <w:jc w:val="center"/>
              <w:rPr>
                <w:b/>
                <w:bCs/>
                <w:sz w:val="22"/>
              </w:rPr>
            </w:pPr>
            <w:r>
              <w:rPr>
                <w:b/>
                <w:bCs/>
                <w:sz w:val="22"/>
              </w:rPr>
              <w:t>N+2</w:t>
            </w:r>
          </w:p>
        </w:tc>
        <w:tc>
          <w:tcPr>
            <w:tcW w:w="126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755CF1" w:rsidRDefault="00755CF1">
            <w:pPr>
              <w:jc w:val="center"/>
              <w:rPr>
                <w:b/>
                <w:bCs/>
                <w:sz w:val="22"/>
              </w:rPr>
            </w:pPr>
            <w:r>
              <w:rPr>
                <w:b/>
                <w:bCs/>
                <w:sz w:val="22"/>
              </w:rPr>
              <w:t>N+3</w:t>
            </w:r>
          </w:p>
        </w:tc>
        <w:tc>
          <w:tcPr>
            <w:tcW w:w="126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755CF1" w:rsidRDefault="00755CF1">
            <w:pPr>
              <w:jc w:val="center"/>
              <w:rPr>
                <w:b/>
                <w:bCs/>
                <w:sz w:val="22"/>
              </w:rPr>
            </w:pPr>
            <w:r>
              <w:rPr>
                <w:b/>
                <w:bCs/>
                <w:sz w:val="22"/>
              </w:rPr>
              <w:t>N+4</w:t>
            </w:r>
          </w:p>
        </w:tc>
        <w:tc>
          <w:tcPr>
            <w:tcW w:w="126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755CF1" w:rsidRDefault="00755CF1">
            <w:pPr>
              <w:jc w:val="center"/>
              <w:rPr>
                <w:b/>
                <w:bCs/>
                <w:sz w:val="22"/>
              </w:rPr>
            </w:pPr>
            <w:r>
              <w:rPr>
                <w:b/>
                <w:bCs/>
                <w:sz w:val="22"/>
              </w:rPr>
              <w:t>N+5</w:t>
            </w:r>
          </w:p>
        </w:tc>
      </w:tr>
      <w:tr w:rsidR="00755CF1">
        <w:trPr>
          <w:trHeight w:val="255"/>
          <w:jc w:val="center"/>
        </w:trPr>
        <w:tc>
          <w:tcPr>
            <w:tcW w:w="283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755CF1" w:rsidRDefault="00755CF1">
            <w:pPr>
              <w:rPr>
                <w:b/>
                <w:bCs/>
                <w:sz w:val="22"/>
              </w:rPr>
            </w:pPr>
            <w:r>
              <w:rPr>
                <w:b/>
                <w:bCs/>
                <w:sz w:val="22"/>
              </w:rPr>
              <w:t xml:space="preserve">Flux trésorerie disponibles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755CF1" w:rsidRDefault="00755CF1">
            <w:pPr>
              <w:jc w:val="center"/>
              <w:rPr>
                <w:b/>
                <w:bCs/>
                <w:sz w:val="22"/>
              </w:rPr>
            </w:pPr>
            <w:r>
              <w:rPr>
                <w:b/>
                <w:bCs/>
                <w:sz w:val="22"/>
              </w:rPr>
              <w:t>2 400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755CF1" w:rsidRDefault="00755CF1">
            <w:pPr>
              <w:jc w:val="center"/>
              <w:rPr>
                <w:b/>
                <w:bCs/>
                <w:sz w:val="22"/>
              </w:rPr>
            </w:pPr>
            <w:r>
              <w:rPr>
                <w:b/>
                <w:bCs/>
                <w:sz w:val="22"/>
              </w:rPr>
              <w:t>2 500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755CF1" w:rsidRDefault="00755CF1">
            <w:pPr>
              <w:jc w:val="center"/>
              <w:rPr>
                <w:b/>
                <w:bCs/>
                <w:sz w:val="22"/>
              </w:rPr>
            </w:pPr>
            <w:r>
              <w:rPr>
                <w:b/>
                <w:bCs/>
                <w:sz w:val="22"/>
              </w:rPr>
              <w:t>3 200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755CF1" w:rsidRDefault="00755CF1">
            <w:pPr>
              <w:jc w:val="center"/>
              <w:rPr>
                <w:b/>
                <w:bCs/>
                <w:sz w:val="22"/>
              </w:rPr>
            </w:pPr>
            <w:r>
              <w:rPr>
                <w:b/>
                <w:bCs/>
                <w:sz w:val="22"/>
              </w:rPr>
              <w:t>3 600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755CF1" w:rsidRDefault="00755CF1">
            <w:pPr>
              <w:jc w:val="center"/>
              <w:rPr>
                <w:b/>
                <w:bCs/>
                <w:sz w:val="22"/>
              </w:rPr>
            </w:pPr>
            <w:r>
              <w:rPr>
                <w:b/>
                <w:bCs/>
                <w:sz w:val="22"/>
              </w:rPr>
              <w:t>3 800</w:t>
            </w:r>
          </w:p>
        </w:tc>
      </w:tr>
    </w:tbl>
    <w:p w:rsidR="00755CF1" w:rsidRDefault="00755CF1">
      <w:pPr>
        <w:rPr>
          <w:bCs/>
          <w:sz w:val="22"/>
        </w:rPr>
      </w:pPr>
    </w:p>
    <w:p w:rsidR="00755CF1" w:rsidRDefault="00755CF1">
      <w:pPr>
        <w:rPr>
          <w:sz w:val="22"/>
        </w:rPr>
      </w:pPr>
      <w:r>
        <w:rPr>
          <w:sz w:val="22"/>
        </w:rPr>
        <w:t>Au-delà de l’année N+5 (et sur un horizon infini), il sera retenu un taux de croissance constant des flux de trésorerie disponibles de 2% par an. La valeur retenue pour les dettes sera celle du bilan.</w:t>
      </w:r>
    </w:p>
    <w:p w:rsidR="00755CF1" w:rsidRDefault="00755CF1">
      <w:pPr>
        <w:rPr>
          <w:sz w:val="22"/>
        </w:rPr>
      </w:pPr>
    </w:p>
    <w:p w:rsidR="00755CF1" w:rsidRDefault="00755CF1">
      <w:pPr>
        <w:jc w:val="center"/>
        <w:rPr>
          <w:b/>
          <w:szCs w:val="24"/>
        </w:rPr>
      </w:pPr>
      <w:r>
        <w:rPr>
          <w:b/>
          <w:szCs w:val="24"/>
        </w:rPr>
        <w:br w:type="page"/>
      </w:r>
      <w:r>
        <w:rPr>
          <w:b/>
          <w:szCs w:val="24"/>
        </w:rPr>
        <w:lastRenderedPageBreak/>
        <w:t>Annexe 5</w:t>
      </w:r>
    </w:p>
    <w:p w:rsidR="00755CF1" w:rsidRDefault="00755CF1">
      <w:pPr>
        <w:jc w:val="center"/>
        <w:rPr>
          <w:b/>
          <w:szCs w:val="24"/>
          <w:u w:val="single"/>
        </w:rPr>
      </w:pPr>
    </w:p>
    <w:p w:rsidR="00755CF1" w:rsidRDefault="00755CF1">
      <w:pPr>
        <w:jc w:val="center"/>
        <w:rPr>
          <w:b/>
          <w:szCs w:val="24"/>
          <w:u w:val="single"/>
        </w:rPr>
      </w:pPr>
      <w:r>
        <w:rPr>
          <w:b/>
          <w:szCs w:val="24"/>
          <w:u w:val="single"/>
        </w:rPr>
        <w:t>Évaluation par comparaison</w:t>
      </w:r>
    </w:p>
    <w:p w:rsidR="00755CF1" w:rsidRDefault="00755CF1">
      <w:pPr>
        <w:jc w:val="center"/>
        <w:rPr>
          <w:b/>
          <w:szCs w:val="24"/>
          <w:u w:val="single"/>
        </w:rPr>
      </w:pPr>
    </w:p>
    <w:p w:rsidR="00755CF1" w:rsidRDefault="00755CF1">
      <w:pPr>
        <w:rPr>
          <w:bCs/>
          <w:sz w:val="22"/>
        </w:rPr>
      </w:pPr>
      <w:r>
        <w:rPr>
          <w:bCs/>
          <w:sz w:val="22"/>
        </w:rPr>
        <w:t xml:space="preserve">Pour l’évaluation par comparaison, le même échantillon d’entreprises comparables que pour l’estimation du coût des fonds propres de la société </w:t>
      </w:r>
      <w:r>
        <w:rPr>
          <w:sz w:val="22"/>
        </w:rPr>
        <w:t>Peletier</w:t>
      </w:r>
      <w:r>
        <w:rPr>
          <w:bCs/>
          <w:sz w:val="22"/>
        </w:rPr>
        <w:t xml:space="preserve"> est retenu. Les inducteurs de valeur (ou multiples) servant à la comparaison sont :</w:t>
      </w:r>
    </w:p>
    <w:p w:rsidR="00755CF1" w:rsidRDefault="00755CF1">
      <w:pPr>
        <w:numPr>
          <w:ilvl w:val="0"/>
          <w:numId w:val="2"/>
        </w:numPr>
        <w:rPr>
          <w:bCs/>
          <w:sz w:val="22"/>
        </w:rPr>
      </w:pPr>
      <w:r>
        <w:rPr>
          <w:bCs/>
          <w:sz w:val="22"/>
        </w:rPr>
        <w:t>le résultat opérationnel anticipé pour l’exercice N+1</w:t>
      </w:r>
    </w:p>
    <w:p w:rsidR="00755CF1" w:rsidRDefault="00755CF1">
      <w:pPr>
        <w:numPr>
          <w:ilvl w:val="0"/>
          <w:numId w:val="2"/>
        </w:numPr>
        <w:rPr>
          <w:bCs/>
          <w:sz w:val="22"/>
        </w:rPr>
      </w:pPr>
      <w:r>
        <w:rPr>
          <w:bCs/>
          <w:sz w:val="22"/>
        </w:rPr>
        <w:t xml:space="preserve">le résultat net part du Groupe anticipés pour l’exercice N+1. </w:t>
      </w:r>
    </w:p>
    <w:p w:rsidR="00755CF1" w:rsidRDefault="00755CF1">
      <w:pPr>
        <w:rPr>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701"/>
        <w:gridCol w:w="1701"/>
        <w:gridCol w:w="1701"/>
      </w:tblGrid>
      <w:tr w:rsidR="00755CF1">
        <w:trPr>
          <w:jc w:val="center"/>
        </w:trPr>
        <w:tc>
          <w:tcPr>
            <w:tcW w:w="2988" w:type="dxa"/>
          </w:tcPr>
          <w:p w:rsidR="00755CF1" w:rsidRDefault="00755CF1">
            <w:pPr>
              <w:jc w:val="center"/>
              <w:rPr>
                <w:b/>
                <w:bCs/>
                <w:sz w:val="22"/>
              </w:rPr>
            </w:pPr>
            <w:bookmarkStart w:id="1" w:name="OLE_LINK4"/>
            <w:r>
              <w:rPr>
                <w:b/>
                <w:bCs/>
                <w:sz w:val="22"/>
              </w:rPr>
              <w:t>M€</w:t>
            </w:r>
          </w:p>
        </w:tc>
        <w:tc>
          <w:tcPr>
            <w:tcW w:w="1701" w:type="dxa"/>
          </w:tcPr>
          <w:p w:rsidR="00755CF1" w:rsidRDefault="00755CF1">
            <w:pPr>
              <w:jc w:val="center"/>
              <w:rPr>
                <w:b/>
                <w:bCs/>
                <w:sz w:val="22"/>
              </w:rPr>
            </w:pPr>
            <w:r>
              <w:rPr>
                <w:b/>
                <w:bCs/>
                <w:sz w:val="22"/>
              </w:rPr>
              <w:t>Société A</w:t>
            </w:r>
          </w:p>
        </w:tc>
        <w:tc>
          <w:tcPr>
            <w:tcW w:w="1701" w:type="dxa"/>
          </w:tcPr>
          <w:p w:rsidR="00755CF1" w:rsidRDefault="00755CF1">
            <w:pPr>
              <w:jc w:val="center"/>
              <w:rPr>
                <w:b/>
                <w:bCs/>
                <w:sz w:val="22"/>
              </w:rPr>
            </w:pPr>
            <w:r>
              <w:rPr>
                <w:b/>
                <w:bCs/>
                <w:sz w:val="22"/>
              </w:rPr>
              <w:t>Société B</w:t>
            </w:r>
          </w:p>
        </w:tc>
        <w:tc>
          <w:tcPr>
            <w:tcW w:w="1701" w:type="dxa"/>
          </w:tcPr>
          <w:p w:rsidR="00755CF1" w:rsidRDefault="00755CF1">
            <w:pPr>
              <w:jc w:val="center"/>
              <w:rPr>
                <w:b/>
                <w:bCs/>
                <w:sz w:val="22"/>
              </w:rPr>
            </w:pPr>
            <w:bookmarkStart w:id="2" w:name="OLE_LINK5"/>
            <w:r>
              <w:rPr>
                <w:b/>
                <w:bCs/>
                <w:sz w:val="22"/>
              </w:rPr>
              <w:t>Société C</w:t>
            </w:r>
            <w:bookmarkEnd w:id="2"/>
          </w:p>
        </w:tc>
      </w:tr>
      <w:tr w:rsidR="00755CF1">
        <w:trPr>
          <w:jc w:val="center"/>
        </w:trPr>
        <w:tc>
          <w:tcPr>
            <w:tcW w:w="2988" w:type="dxa"/>
          </w:tcPr>
          <w:p w:rsidR="00755CF1" w:rsidRDefault="00755CF1">
            <w:pPr>
              <w:rPr>
                <w:sz w:val="22"/>
              </w:rPr>
            </w:pPr>
            <w:r>
              <w:rPr>
                <w:sz w:val="22"/>
              </w:rPr>
              <w:t>Résultat opérationnel</w:t>
            </w:r>
          </w:p>
        </w:tc>
        <w:tc>
          <w:tcPr>
            <w:tcW w:w="1701" w:type="dxa"/>
          </w:tcPr>
          <w:p w:rsidR="00755CF1" w:rsidRDefault="00755CF1">
            <w:pPr>
              <w:jc w:val="center"/>
              <w:rPr>
                <w:sz w:val="22"/>
              </w:rPr>
            </w:pPr>
            <w:r>
              <w:rPr>
                <w:sz w:val="22"/>
              </w:rPr>
              <w:t>60</w:t>
            </w:r>
          </w:p>
        </w:tc>
        <w:tc>
          <w:tcPr>
            <w:tcW w:w="1701" w:type="dxa"/>
          </w:tcPr>
          <w:p w:rsidR="00755CF1" w:rsidRDefault="00755CF1">
            <w:pPr>
              <w:jc w:val="center"/>
              <w:rPr>
                <w:sz w:val="22"/>
              </w:rPr>
            </w:pPr>
            <w:r>
              <w:rPr>
                <w:sz w:val="22"/>
              </w:rPr>
              <w:t>70</w:t>
            </w:r>
          </w:p>
        </w:tc>
        <w:tc>
          <w:tcPr>
            <w:tcW w:w="1701" w:type="dxa"/>
          </w:tcPr>
          <w:p w:rsidR="00755CF1" w:rsidRDefault="00755CF1">
            <w:pPr>
              <w:jc w:val="center"/>
              <w:rPr>
                <w:sz w:val="22"/>
              </w:rPr>
            </w:pPr>
            <w:r>
              <w:rPr>
                <w:sz w:val="22"/>
              </w:rPr>
              <w:t>80</w:t>
            </w:r>
          </w:p>
        </w:tc>
      </w:tr>
      <w:tr w:rsidR="00755CF1">
        <w:trPr>
          <w:jc w:val="center"/>
        </w:trPr>
        <w:tc>
          <w:tcPr>
            <w:tcW w:w="2988" w:type="dxa"/>
          </w:tcPr>
          <w:p w:rsidR="00755CF1" w:rsidRDefault="00755CF1">
            <w:pPr>
              <w:rPr>
                <w:sz w:val="22"/>
              </w:rPr>
            </w:pPr>
            <w:r>
              <w:rPr>
                <w:sz w:val="22"/>
              </w:rPr>
              <w:t>Résultat net part du Groupe</w:t>
            </w:r>
          </w:p>
        </w:tc>
        <w:tc>
          <w:tcPr>
            <w:tcW w:w="1701" w:type="dxa"/>
          </w:tcPr>
          <w:p w:rsidR="00755CF1" w:rsidRDefault="00755CF1">
            <w:pPr>
              <w:jc w:val="center"/>
              <w:rPr>
                <w:sz w:val="22"/>
              </w:rPr>
            </w:pPr>
            <w:r>
              <w:rPr>
                <w:sz w:val="22"/>
              </w:rPr>
              <w:t>50</w:t>
            </w:r>
          </w:p>
        </w:tc>
        <w:tc>
          <w:tcPr>
            <w:tcW w:w="1701" w:type="dxa"/>
          </w:tcPr>
          <w:p w:rsidR="00755CF1" w:rsidRDefault="00755CF1">
            <w:pPr>
              <w:jc w:val="center"/>
              <w:rPr>
                <w:sz w:val="22"/>
              </w:rPr>
            </w:pPr>
            <w:r>
              <w:rPr>
                <w:sz w:val="22"/>
              </w:rPr>
              <w:t>64</w:t>
            </w:r>
          </w:p>
        </w:tc>
        <w:tc>
          <w:tcPr>
            <w:tcW w:w="1701" w:type="dxa"/>
          </w:tcPr>
          <w:p w:rsidR="00755CF1" w:rsidRDefault="00755CF1">
            <w:pPr>
              <w:jc w:val="center"/>
              <w:rPr>
                <w:sz w:val="22"/>
              </w:rPr>
            </w:pPr>
            <w:r>
              <w:rPr>
                <w:sz w:val="22"/>
              </w:rPr>
              <w:t>45</w:t>
            </w:r>
          </w:p>
        </w:tc>
      </w:tr>
      <w:tr w:rsidR="00755CF1">
        <w:trPr>
          <w:jc w:val="center"/>
        </w:trPr>
        <w:tc>
          <w:tcPr>
            <w:tcW w:w="2988" w:type="dxa"/>
          </w:tcPr>
          <w:p w:rsidR="00755CF1" w:rsidRDefault="00755CF1">
            <w:pPr>
              <w:rPr>
                <w:sz w:val="22"/>
              </w:rPr>
            </w:pPr>
            <w:r>
              <w:rPr>
                <w:sz w:val="22"/>
              </w:rPr>
              <w:t>VDF (M€)</w:t>
            </w:r>
          </w:p>
        </w:tc>
        <w:tc>
          <w:tcPr>
            <w:tcW w:w="1701" w:type="dxa"/>
          </w:tcPr>
          <w:p w:rsidR="00755CF1" w:rsidRDefault="00755CF1">
            <w:pPr>
              <w:jc w:val="center"/>
              <w:rPr>
                <w:sz w:val="22"/>
              </w:rPr>
            </w:pPr>
            <w:r>
              <w:rPr>
                <w:sz w:val="22"/>
              </w:rPr>
              <w:t>200</w:t>
            </w:r>
          </w:p>
        </w:tc>
        <w:tc>
          <w:tcPr>
            <w:tcW w:w="1701" w:type="dxa"/>
          </w:tcPr>
          <w:p w:rsidR="00755CF1" w:rsidRDefault="00755CF1">
            <w:pPr>
              <w:jc w:val="center"/>
              <w:rPr>
                <w:sz w:val="22"/>
              </w:rPr>
            </w:pPr>
            <w:r>
              <w:rPr>
                <w:sz w:val="22"/>
              </w:rPr>
              <w:t>300</w:t>
            </w:r>
          </w:p>
        </w:tc>
        <w:tc>
          <w:tcPr>
            <w:tcW w:w="1701" w:type="dxa"/>
          </w:tcPr>
          <w:p w:rsidR="00755CF1" w:rsidRDefault="00755CF1">
            <w:pPr>
              <w:jc w:val="center"/>
              <w:rPr>
                <w:sz w:val="22"/>
              </w:rPr>
            </w:pPr>
            <w:r>
              <w:rPr>
                <w:sz w:val="22"/>
              </w:rPr>
              <w:t>400</w:t>
            </w:r>
          </w:p>
        </w:tc>
      </w:tr>
      <w:tr w:rsidR="00755CF1">
        <w:trPr>
          <w:jc w:val="center"/>
        </w:trPr>
        <w:tc>
          <w:tcPr>
            <w:tcW w:w="2988" w:type="dxa"/>
          </w:tcPr>
          <w:p w:rsidR="00755CF1" w:rsidRDefault="00755CF1">
            <w:pPr>
              <w:rPr>
                <w:sz w:val="22"/>
              </w:rPr>
            </w:pPr>
            <w:r>
              <w:rPr>
                <w:sz w:val="22"/>
              </w:rPr>
              <w:t>VCP (M€)</w:t>
            </w:r>
          </w:p>
        </w:tc>
        <w:tc>
          <w:tcPr>
            <w:tcW w:w="1701" w:type="dxa"/>
          </w:tcPr>
          <w:p w:rsidR="00755CF1" w:rsidRDefault="00755CF1">
            <w:pPr>
              <w:jc w:val="center"/>
              <w:rPr>
                <w:sz w:val="22"/>
              </w:rPr>
            </w:pPr>
            <w:r>
              <w:rPr>
                <w:sz w:val="22"/>
              </w:rPr>
              <w:t>400</w:t>
            </w:r>
          </w:p>
        </w:tc>
        <w:tc>
          <w:tcPr>
            <w:tcW w:w="1701" w:type="dxa"/>
          </w:tcPr>
          <w:p w:rsidR="00755CF1" w:rsidRDefault="00755CF1">
            <w:pPr>
              <w:jc w:val="center"/>
              <w:rPr>
                <w:sz w:val="22"/>
              </w:rPr>
            </w:pPr>
            <w:r>
              <w:rPr>
                <w:sz w:val="22"/>
              </w:rPr>
              <w:t>500</w:t>
            </w:r>
          </w:p>
        </w:tc>
        <w:tc>
          <w:tcPr>
            <w:tcW w:w="1701" w:type="dxa"/>
          </w:tcPr>
          <w:p w:rsidR="00755CF1" w:rsidRDefault="00755CF1">
            <w:pPr>
              <w:jc w:val="center"/>
              <w:rPr>
                <w:sz w:val="22"/>
              </w:rPr>
            </w:pPr>
            <w:r>
              <w:rPr>
                <w:sz w:val="22"/>
              </w:rPr>
              <w:t>400</w:t>
            </w:r>
          </w:p>
        </w:tc>
      </w:tr>
      <w:bookmarkEnd w:id="1"/>
    </w:tbl>
    <w:p w:rsidR="00755CF1" w:rsidRDefault="00755CF1">
      <w:pPr>
        <w:rPr>
          <w:sz w:val="22"/>
        </w:rPr>
      </w:pPr>
    </w:p>
    <w:p w:rsidR="00755CF1" w:rsidRDefault="00755CF1">
      <w:pPr>
        <w:rPr>
          <w:sz w:val="22"/>
        </w:rPr>
      </w:pPr>
      <w:r>
        <w:rPr>
          <w:sz w:val="22"/>
        </w:rPr>
        <w:t>En ce qui concerne la société Peletier, les anticipations sont de 3,5 M€ pour le résultat opérationnel et de 2,3 M€ pour le résultat net par du Groupe.</w:t>
      </w:r>
    </w:p>
    <w:p w:rsidR="00755CF1" w:rsidRDefault="00755CF1">
      <w:pPr>
        <w:rPr>
          <w:sz w:val="22"/>
        </w:rPr>
      </w:pPr>
    </w:p>
    <w:p w:rsidR="00755CF1" w:rsidRDefault="00755CF1">
      <w:pPr>
        <w:rPr>
          <w:sz w:val="22"/>
        </w:rPr>
      </w:pPr>
    </w:p>
    <w:p w:rsidR="00755CF1" w:rsidRDefault="00755CF1">
      <w:pPr>
        <w:jc w:val="center"/>
        <w:rPr>
          <w:b/>
          <w:szCs w:val="24"/>
        </w:rPr>
      </w:pPr>
      <w:r>
        <w:rPr>
          <w:b/>
          <w:szCs w:val="24"/>
        </w:rPr>
        <w:t>Annexe 6</w:t>
      </w:r>
    </w:p>
    <w:p w:rsidR="00755CF1" w:rsidRDefault="00755CF1">
      <w:pPr>
        <w:jc w:val="center"/>
        <w:rPr>
          <w:b/>
          <w:szCs w:val="24"/>
          <w:u w:val="single"/>
        </w:rPr>
      </w:pPr>
    </w:p>
    <w:p w:rsidR="00755CF1" w:rsidRDefault="00755CF1">
      <w:pPr>
        <w:jc w:val="center"/>
        <w:rPr>
          <w:b/>
          <w:szCs w:val="24"/>
          <w:u w:val="single"/>
        </w:rPr>
      </w:pPr>
      <w:r>
        <w:rPr>
          <w:b/>
          <w:szCs w:val="24"/>
          <w:u w:val="single"/>
        </w:rPr>
        <w:t>Taux d’intérêts pratiqués sur le marché monétaire</w:t>
      </w:r>
    </w:p>
    <w:p w:rsidR="00755CF1" w:rsidRDefault="00755CF1">
      <w:pPr>
        <w:jc w:val="center"/>
        <w:rPr>
          <w:b/>
          <w:szCs w:val="24"/>
          <w:u w:val="single"/>
        </w:rPr>
      </w:pPr>
    </w:p>
    <w:p w:rsidR="00755CF1" w:rsidRDefault="00755CF1">
      <w:pPr>
        <w:rPr>
          <w:sz w:val="22"/>
        </w:rPr>
      </w:pPr>
      <w:r>
        <w:rPr>
          <w:sz w:val="22"/>
        </w:rPr>
        <w:t>Les taux sont les suivants :</w:t>
      </w:r>
    </w:p>
    <w:p w:rsidR="00755CF1" w:rsidRDefault="00755CF1">
      <w:pPr>
        <w:rPr>
          <w:sz w:val="22"/>
        </w:rPr>
      </w:pPr>
      <w:r>
        <w:rPr>
          <w:sz w:val="22"/>
        </w:rPr>
        <w:t>Taux à 2 mois de : 4,50 %</w:t>
      </w:r>
    </w:p>
    <w:p w:rsidR="00755CF1" w:rsidRDefault="00755CF1">
      <w:pPr>
        <w:rPr>
          <w:sz w:val="22"/>
        </w:rPr>
      </w:pPr>
      <w:r>
        <w:rPr>
          <w:sz w:val="22"/>
        </w:rPr>
        <w:t xml:space="preserve">Taux à 10 mois de : 5,00 % </w:t>
      </w:r>
    </w:p>
    <w:p w:rsidR="00755CF1" w:rsidRDefault="00755CF1">
      <w:pPr>
        <w:rPr>
          <w:b/>
          <w:sz w:val="22"/>
        </w:rPr>
      </w:pPr>
    </w:p>
    <w:p w:rsidR="00755CF1" w:rsidRDefault="00755CF1">
      <w:pPr>
        <w:jc w:val="center"/>
        <w:rPr>
          <w:b/>
          <w:szCs w:val="24"/>
        </w:rPr>
      </w:pPr>
      <w:r>
        <w:rPr>
          <w:b/>
          <w:szCs w:val="24"/>
        </w:rPr>
        <w:t>Annexe 7</w:t>
      </w:r>
    </w:p>
    <w:p w:rsidR="00755CF1" w:rsidRDefault="00755CF1">
      <w:pPr>
        <w:jc w:val="center"/>
        <w:rPr>
          <w:b/>
          <w:szCs w:val="24"/>
          <w:u w:val="single"/>
        </w:rPr>
      </w:pPr>
    </w:p>
    <w:p w:rsidR="00755CF1" w:rsidRDefault="00755CF1">
      <w:pPr>
        <w:jc w:val="center"/>
        <w:rPr>
          <w:b/>
          <w:szCs w:val="24"/>
          <w:u w:val="single"/>
        </w:rPr>
      </w:pPr>
      <w:r>
        <w:rPr>
          <w:b/>
          <w:szCs w:val="24"/>
          <w:u w:val="single"/>
        </w:rPr>
        <w:t>Rémunération des dirigeants de groupes cotés : nouvel environnement, nouveaux outils ?</w:t>
      </w:r>
    </w:p>
    <w:p w:rsidR="00755CF1" w:rsidRDefault="00755CF1">
      <w:pPr>
        <w:rPr>
          <w:sz w:val="22"/>
        </w:rPr>
      </w:pPr>
    </w:p>
    <w:p w:rsidR="00755CF1" w:rsidRDefault="00755CF1">
      <w:pPr>
        <w:rPr>
          <w:i/>
          <w:iCs/>
          <w:sz w:val="22"/>
        </w:rPr>
      </w:pPr>
      <w:r>
        <w:rPr>
          <w:i/>
          <w:iCs/>
          <w:sz w:val="22"/>
        </w:rPr>
        <w:t>Option Finance, n° 1014, lundi 2 février 2009, par Jean-François Louit et Jérémie Jeausserand</w:t>
      </w:r>
    </w:p>
    <w:p w:rsidR="00755CF1" w:rsidRDefault="00755CF1">
      <w:pPr>
        <w:rPr>
          <w:sz w:val="22"/>
        </w:rPr>
      </w:pPr>
    </w:p>
    <w:p w:rsidR="00755CF1" w:rsidRDefault="00755CF1">
      <w:pPr>
        <w:rPr>
          <w:sz w:val="22"/>
        </w:rPr>
      </w:pPr>
      <w:r>
        <w:rPr>
          <w:sz w:val="22"/>
        </w:rPr>
        <w:t>La déprime persistante des marchés couplée à un cadre réglementaire de plus en plus sévère affectent les packages de rémunération des dirigeants des groupes cotés. C’est dans ce contexte que certains groupes réfléchissent à l’utilisation de nouveaux outils de motivation.</w:t>
      </w:r>
    </w:p>
    <w:p w:rsidR="00755CF1" w:rsidRDefault="00755CF1">
      <w:pPr>
        <w:rPr>
          <w:sz w:val="22"/>
        </w:rPr>
      </w:pPr>
    </w:p>
    <w:p w:rsidR="00755CF1" w:rsidRDefault="00755CF1">
      <w:pPr>
        <w:rPr>
          <w:sz w:val="22"/>
        </w:rPr>
      </w:pPr>
      <w:r>
        <w:rPr>
          <w:sz w:val="22"/>
        </w:rPr>
        <w:t xml:space="preserve">La crise financière actuelle a significativement affecté certains plans d'actionnariat salarié mis en place au sein des groupes cotés. Ces plans ont ainsi perdu toute valeur à court terme, supprimant, de fait, un élément de fidélisation des principaux dirigeants des groupes cotés, qu'il s'agisse des mandataires sociaux ou des principaux cadres. En outre, la pression fiscale et sociale sur les différents éléments de rémunération de ces dirigeants n'a cessé de croître ces dernières années et cette tendance devrait se poursuivre dans les années à venir. Enfin, la question de la rémunération des dirigeants est devenue particulièrement sensible aux yeux des pouvoirs publics et de l'opinion, comme l'a rappelé le récent épisode médiatique sur les bonus des dirigeants des banques françaises. </w:t>
      </w:r>
    </w:p>
    <w:p w:rsidR="00755CF1" w:rsidRDefault="00755CF1">
      <w:pPr>
        <w:rPr>
          <w:sz w:val="22"/>
        </w:rPr>
      </w:pPr>
    </w:p>
    <w:p w:rsidR="00755CF1" w:rsidRDefault="00755CF1">
      <w:pPr>
        <w:rPr>
          <w:sz w:val="22"/>
        </w:rPr>
      </w:pPr>
      <w:r>
        <w:rPr>
          <w:sz w:val="22"/>
        </w:rPr>
        <w:t xml:space="preserve">Or, dans la période de crise actuelle, les groupes ont intérêt à conserver leurs meilleurs éléments, ce qui induit nécessairement un package financier efficient et motivant. Cette période devrait donc être l'occasion de repenser l'association des dirigeants des groupes cotés à la création de valeur à laquelle ils contribuent, alignant leurs intérêts avec ceux de leur groupe et de ses actionnaires. </w:t>
      </w:r>
    </w:p>
    <w:p w:rsidR="00755CF1" w:rsidRDefault="00755CF1">
      <w:pPr>
        <w:rPr>
          <w:sz w:val="22"/>
        </w:rPr>
      </w:pPr>
    </w:p>
    <w:p w:rsidR="00755CF1" w:rsidRDefault="00755CF1">
      <w:pPr>
        <w:rPr>
          <w:sz w:val="22"/>
        </w:rPr>
      </w:pPr>
      <w:r>
        <w:rPr>
          <w:sz w:val="22"/>
        </w:rPr>
        <w:t>Les solutions offertes en la matière sont limitées par une règlementation en constante évolution. Après la loi Breton et la loi Tepa, ce sont les recommandations Afep/Medef d'octobre 2008 qui mettent un tour de vis supplémentaire sur de nombreux sujets: prohibition du cumul mandat social et contrat de travail et encadrement sévère des indemnités de départ, des retraites supplémentaires et des attributions de stock-</w:t>
      </w:r>
      <w:r>
        <w:rPr>
          <w:sz w:val="22"/>
        </w:rPr>
        <w:lastRenderedPageBreak/>
        <w:t>options ou d'actions gratuites</w:t>
      </w:r>
      <w:r>
        <w:rPr>
          <w:rStyle w:val="Appelnotedebasdep"/>
          <w:sz w:val="22"/>
        </w:rPr>
        <w:footnoteReference w:id="1"/>
      </w:r>
      <w:r>
        <w:rPr>
          <w:sz w:val="22"/>
        </w:rPr>
        <w:t xml:space="preserve">. Le principal objectif de ces règles est de sensibiliser les dirigeants au risque en les rendant responsables de leur gestion, notamment lorsque celle-ci s'est révélée inefficace, voire destructrice de valeur. Si les mandataires sociaux de la société cotée sont les premiers visés par cette évolution, il est probable qu'à terme l'ensemble des dirigeants, y compris les mandataires sociaux des filiales et les principaux cadres, sera concerné. </w:t>
      </w:r>
    </w:p>
    <w:p w:rsidR="00755CF1" w:rsidRDefault="00755CF1">
      <w:pPr>
        <w:rPr>
          <w:sz w:val="22"/>
        </w:rPr>
      </w:pPr>
    </w:p>
    <w:p w:rsidR="00755CF1" w:rsidRDefault="00755CF1">
      <w:pPr>
        <w:rPr>
          <w:sz w:val="22"/>
        </w:rPr>
      </w:pPr>
      <w:r>
        <w:rPr>
          <w:sz w:val="22"/>
        </w:rPr>
        <w:t xml:space="preserve">D'où l'idée d'abandonner certains éléments de rémunération contre la possibilité d'investir dans le groupe, en utilisant certains outils éprouvés dans le cadre du </w:t>
      </w:r>
      <w:r>
        <w:rPr>
          <w:i/>
          <w:sz w:val="22"/>
        </w:rPr>
        <w:t>private equity</w:t>
      </w:r>
      <w:r>
        <w:rPr>
          <w:sz w:val="22"/>
        </w:rPr>
        <w:t xml:space="preserve"> (souscription de BSA </w:t>
      </w:r>
      <w:r>
        <w:rPr>
          <w:i/>
          <w:sz w:val="22"/>
        </w:rPr>
        <w:t>ratchet</w:t>
      </w:r>
      <w:r>
        <w:rPr>
          <w:sz w:val="22"/>
        </w:rPr>
        <w:t xml:space="preserve">, d'actions de préférence, etc.), dont la valeur à terme dépendra d'une formule de calcul reflétant la création de valeur attribuée au dirigeant, en fonction des missions qui lui ont été confiées (développement d'un nouveau produit, d'un nouveau territoire, etc.). Leur mérite essentiel est de donner au dirigeant le statut d'investisseur à risque dans le groupe qu'il gère. Ceci explique pourquoi ces outils sont compatibles avec l'évolution actuelle de la réglementation : s'ils offrent aux dirigeants une perspective de gain significatif, celui-ci ne pourra être réalisé qu'en cas de création de valeur avérée, et sera la </w:t>
      </w:r>
      <w:r>
        <w:rPr>
          <w:rFonts w:eastAsia="HiddenHorzOCR"/>
          <w:sz w:val="22"/>
        </w:rPr>
        <w:t xml:space="preserve">contrepartie </w:t>
      </w:r>
      <w:r>
        <w:rPr>
          <w:sz w:val="22"/>
        </w:rPr>
        <w:t xml:space="preserve">de la prise d'un risque patrimonial effectif. Autres avantages de ces outils : </w:t>
      </w:r>
    </w:p>
    <w:p w:rsidR="00755CF1" w:rsidRDefault="00755CF1">
      <w:pPr>
        <w:numPr>
          <w:ilvl w:val="0"/>
          <w:numId w:val="3"/>
        </w:numPr>
        <w:rPr>
          <w:sz w:val="22"/>
        </w:rPr>
      </w:pPr>
      <w:r>
        <w:rPr>
          <w:sz w:val="22"/>
        </w:rPr>
        <w:t xml:space="preserve">le gain réalisé bénéficie d'un régime fiscal et social avantageux, tant pour le dirigeant que pour la société; </w:t>
      </w:r>
    </w:p>
    <w:p w:rsidR="00755CF1" w:rsidRDefault="00755CF1">
      <w:pPr>
        <w:numPr>
          <w:ilvl w:val="0"/>
          <w:numId w:val="3"/>
        </w:numPr>
        <w:rPr>
          <w:sz w:val="22"/>
        </w:rPr>
      </w:pPr>
      <w:r>
        <w:rPr>
          <w:sz w:val="22"/>
        </w:rPr>
        <w:t xml:space="preserve">l'allocation de valeur est souple, puisque contractuelle, et plus fine qu'avec l'attribution de stock-options ou d'actions gratuites émises par la société mère ; </w:t>
      </w:r>
    </w:p>
    <w:p w:rsidR="00755CF1" w:rsidRDefault="00755CF1">
      <w:pPr>
        <w:numPr>
          <w:ilvl w:val="0"/>
          <w:numId w:val="3"/>
        </w:numPr>
        <w:rPr>
          <w:sz w:val="22"/>
        </w:rPr>
      </w:pPr>
      <w:r>
        <w:rPr>
          <w:sz w:val="22"/>
        </w:rPr>
        <w:t xml:space="preserve">les actionnaires peuvent ne subir aucune dilution en droits de vote. </w:t>
      </w:r>
    </w:p>
    <w:p w:rsidR="00755CF1" w:rsidRDefault="00755CF1">
      <w:pPr>
        <w:rPr>
          <w:sz w:val="22"/>
        </w:rPr>
      </w:pPr>
    </w:p>
    <w:p w:rsidR="00755CF1" w:rsidRDefault="00755CF1">
      <w:pPr>
        <w:rPr>
          <w:sz w:val="22"/>
        </w:rPr>
      </w:pPr>
      <w:r>
        <w:rPr>
          <w:sz w:val="22"/>
        </w:rPr>
        <w:t xml:space="preserve">Leur principal inconvénient est constitué par le risque de perte de l'investissement par le dirigeant, nécessaire contrepartie des avantages décrits ci-dessus. En pratique, la mise en place de ces outils nécessitera notamment de définir avec précision les caractéristiques des instruments financiers à émettre, leur valorisation initiale, l'identité de la société émettrice, le mode de liquidité à terme et la formule d'allocation de valeur entre les actionnaires et les dirigeants. </w:t>
      </w:r>
    </w:p>
    <w:p w:rsidR="00755CF1" w:rsidRDefault="00755CF1">
      <w:pPr>
        <w:rPr>
          <w:sz w:val="22"/>
        </w:rPr>
      </w:pPr>
    </w:p>
    <w:p w:rsidR="00755CF1" w:rsidRDefault="00755CF1">
      <w:pPr>
        <w:rPr>
          <w:sz w:val="22"/>
        </w:rPr>
      </w:pPr>
      <w:r>
        <w:rPr>
          <w:sz w:val="22"/>
        </w:rPr>
        <w:t xml:space="preserve">C'est aujourd'hui qu'il est intéressant pour les groupes de réfléchir à la mise en place de ces outils: afin d'éviter de perdre leurs meilleurs éléments bien sûr, mais aussi parce que ces solutions pourront être mises en place en bas de cycle en termes de valorisation, limitant ainsi leur coût d'acquisition. </w:t>
      </w:r>
    </w:p>
    <w:p w:rsidR="00755CF1" w:rsidRDefault="00755CF1">
      <w:pPr>
        <w:rPr>
          <w:sz w:val="22"/>
        </w:rPr>
      </w:pPr>
    </w:p>
    <w:p w:rsidR="00755CF1" w:rsidRDefault="00755CF1">
      <w:pPr>
        <w:rPr>
          <w:sz w:val="22"/>
        </w:rPr>
      </w:pPr>
    </w:p>
    <w:p w:rsidR="00755CF1" w:rsidRDefault="00755CF1">
      <w:pPr>
        <w:jc w:val="center"/>
        <w:rPr>
          <w:b/>
          <w:szCs w:val="24"/>
        </w:rPr>
      </w:pPr>
      <w:r>
        <w:rPr>
          <w:b/>
          <w:szCs w:val="24"/>
        </w:rPr>
        <w:t>Annexe 8</w:t>
      </w:r>
    </w:p>
    <w:p w:rsidR="00755CF1" w:rsidRDefault="00755CF1">
      <w:pPr>
        <w:jc w:val="center"/>
        <w:rPr>
          <w:b/>
          <w:szCs w:val="24"/>
          <w:u w:val="single"/>
        </w:rPr>
      </w:pPr>
    </w:p>
    <w:p w:rsidR="00755CF1" w:rsidRDefault="00755CF1">
      <w:pPr>
        <w:jc w:val="center"/>
        <w:rPr>
          <w:b/>
          <w:szCs w:val="24"/>
          <w:u w:val="single"/>
        </w:rPr>
      </w:pPr>
      <w:r>
        <w:rPr>
          <w:b/>
          <w:szCs w:val="24"/>
          <w:u w:val="single"/>
        </w:rPr>
        <w:t>Extrait du Rapport annuel 2007, Groupe Bouygues</w:t>
      </w:r>
    </w:p>
    <w:p w:rsidR="00755CF1" w:rsidRDefault="00755CF1">
      <w:pPr>
        <w:rPr>
          <w:sz w:val="22"/>
        </w:rPr>
      </w:pPr>
    </w:p>
    <w:p w:rsidR="00755CF1" w:rsidRDefault="00755CF1">
      <w:pPr>
        <w:autoSpaceDE w:val="0"/>
        <w:autoSpaceDN w:val="0"/>
        <w:adjustRightInd w:val="0"/>
        <w:rPr>
          <w:b/>
          <w:bCs/>
          <w:szCs w:val="24"/>
        </w:rPr>
      </w:pPr>
      <w:r>
        <w:rPr>
          <w:b/>
          <w:bCs/>
          <w:szCs w:val="24"/>
        </w:rPr>
        <w:t>1. Comité des rémunérations</w:t>
      </w:r>
    </w:p>
    <w:p w:rsidR="00755CF1" w:rsidRDefault="00755CF1">
      <w:pPr>
        <w:rPr>
          <w:color w:val="000000"/>
          <w:sz w:val="22"/>
        </w:rPr>
      </w:pPr>
      <w:r>
        <w:rPr>
          <w:color w:val="000000"/>
          <w:sz w:val="22"/>
        </w:rPr>
        <w:t xml:space="preserve">Mis en place en 1996, le comité des rémunérations a pour mission, en s’inspirant des recommandations sur la rémunération des dirigeants et mandataires sociaux de sociétés cotées formulées en janvier 2007 par l’Afep et le Medef : </w:t>
      </w:r>
    </w:p>
    <w:p w:rsidR="00755CF1" w:rsidRDefault="00755CF1">
      <w:pPr>
        <w:numPr>
          <w:ilvl w:val="0"/>
          <w:numId w:val="4"/>
        </w:numPr>
        <w:rPr>
          <w:color w:val="000000"/>
          <w:sz w:val="22"/>
        </w:rPr>
      </w:pPr>
      <w:r>
        <w:rPr>
          <w:color w:val="000000"/>
          <w:sz w:val="22"/>
        </w:rPr>
        <w:t xml:space="preserve">de proposer au conseil d’administration la rémunération à allouer aux mandataires sociaux, ainsi que les avantages de toute nature mis à leur disposition ; </w:t>
      </w:r>
    </w:p>
    <w:p w:rsidR="00755CF1" w:rsidRDefault="00755CF1">
      <w:pPr>
        <w:numPr>
          <w:ilvl w:val="0"/>
          <w:numId w:val="4"/>
        </w:numPr>
        <w:rPr>
          <w:color w:val="000000"/>
          <w:sz w:val="22"/>
        </w:rPr>
      </w:pPr>
      <w:r>
        <w:rPr>
          <w:color w:val="000000"/>
          <w:sz w:val="22"/>
        </w:rPr>
        <w:t xml:space="preserve">de définir à cet effet et de contrôler chaque année les règles de fixation de la part variable de la rémunération des mandataires sociaux en veillant à la cohérence avec l’évaluation de leurs performances et la stratégie à moyen terme de la société ; </w:t>
      </w:r>
    </w:p>
    <w:p w:rsidR="00755CF1" w:rsidRDefault="00755CF1">
      <w:pPr>
        <w:numPr>
          <w:ilvl w:val="0"/>
          <w:numId w:val="4"/>
        </w:numPr>
        <w:rPr>
          <w:color w:val="000000"/>
          <w:sz w:val="22"/>
        </w:rPr>
      </w:pPr>
      <w:r>
        <w:rPr>
          <w:color w:val="000000"/>
          <w:sz w:val="22"/>
        </w:rPr>
        <w:t xml:space="preserve">de définir une politique générale d’attribution des options, étant précisé que cette politique devra prévoir la suppression de toute décote en cas d’attribution d’options aux dirigeants du Groupe, en particulier les mandataires sociaux de la société ; </w:t>
      </w:r>
    </w:p>
    <w:p w:rsidR="00755CF1" w:rsidRDefault="00755CF1">
      <w:pPr>
        <w:numPr>
          <w:ilvl w:val="0"/>
          <w:numId w:val="4"/>
        </w:numPr>
        <w:rPr>
          <w:color w:val="000000"/>
          <w:sz w:val="22"/>
        </w:rPr>
      </w:pPr>
      <w:r>
        <w:rPr>
          <w:color w:val="000000"/>
          <w:sz w:val="22"/>
        </w:rPr>
        <w:t xml:space="preserve">d’examiner le ou les plans de souscription ou d'achat d'actions, en faveur des mandataires sociaux et des collaborateurs ; et de transmettre une proposition au conseil d’administration portant notamment sur le choix entre options d’achat ou de souscription ; </w:t>
      </w:r>
    </w:p>
    <w:p w:rsidR="00755CF1" w:rsidRDefault="00755CF1">
      <w:pPr>
        <w:numPr>
          <w:ilvl w:val="0"/>
          <w:numId w:val="4"/>
        </w:numPr>
        <w:rPr>
          <w:color w:val="000000"/>
          <w:sz w:val="22"/>
        </w:rPr>
      </w:pPr>
      <w:r>
        <w:rPr>
          <w:color w:val="000000"/>
          <w:sz w:val="22"/>
        </w:rPr>
        <w:t xml:space="preserve">d’émettre des propositions sur les systèmes de rémunération et d’incitation des dirigeants du Groupe ; </w:t>
      </w:r>
    </w:p>
    <w:p w:rsidR="00755CF1" w:rsidRDefault="00755CF1">
      <w:pPr>
        <w:numPr>
          <w:ilvl w:val="0"/>
          <w:numId w:val="4"/>
        </w:numPr>
        <w:rPr>
          <w:color w:val="000000"/>
          <w:sz w:val="22"/>
        </w:rPr>
      </w:pPr>
      <w:r>
        <w:rPr>
          <w:color w:val="000000"/>
          <w:sz w:val="22"/>
        </w:rPr>
        <w:lastRenderedPageBreak/>
        <w:t xml:space="preserve">d’émettre des propositions, en cas d’attribution d’options ou d’attribution gratuite d’actions au président, au directeur général ou à un directeur général délégué, sur le nombre d’actions issues de levées d’options ou d’actions attribuées gratuitement que l’intéressé sera tenu de conserver jusqu’à la fin de ses fonctions. </w:t>
      </w:r>
    </w:p>
    <w:p w:rsidR="00755CF1" w:rsidRDefault="00755CF1">
      <w:pPr>
        <w:numPr>
          <w:ilvl w:val="0"/>
          <w:numId w:val="4"/>
        </w:numPr>
        <w:rPr>
          <w:color w:val="000000"/>
          <w:sz w:val="22"/>
        </w:rPr>
      </w:pPr>
      <w:r>
        <w:rPr>
          <w:color w:val="000000"/>
          <w:sz w:val="22"/>
        </w:rPr>
        <w:t xml:space="preserve">de soumettre chaque année au conseil le projet de rapport exigé par le Code de commerce : </w:t>
      </w:r>
    </w:p>
    <w:p w:rsidR="00755CF1" w:rsidRDefault="00755CF1">
      <w:pPr>
        <w:numPr>
          <w:ilvl w:val="1"/>
          <w:numId w:val="5"/>
        </w:numPr>
        <w:rPr>
          <w:color w:val="000000"/>
          <w:sz w:val="22"/>
        </w:rPr>
      </w:pPr>
      <w:r>
        <w:rPr>
          <w:color w:val="000000"/>
          <w:sz w:val="22"/>
        </w:rPr>
        <w:t xml:space="preserve">sur la rémunération et les avantages de toute nature consentis aux mandataires sociaux par la société et les sociétés contrôlées au sens de l’article L. 233-16 du Code de commerce ; </w:t>
      </w:r>
    </w:p>
    <w:p w:rsidR="00755CF1" w:rsidRDefault="00755CF1">
      <w:pPr>
        <w:numPr>
          <w:ilvl w:val="1"/>
          <w:numId w:val="5"/>
        </w:numPr>
        <w:rPr>
          <w:color w:val="000000"/>
          <w:sz w:val="22"/>
        </w:rPr>
      </w:pPr>
      <w:r>
        <w:rPr>
          <w:color w:val="000000"/>
          <w:sz w:val="22"/>
        </w:rPr>
        <w:t xml:space="preserve">sur les options de souscription ou d’achat d’actions, et levées par les mandataires sociaux et les dix salariés de la société, principaux bénéficiaires. </w:t>
      </w:r>
    </w:p>
    <w:p w:rsidR="00755CF1" w:rsidRDefault="00755CF1">
      <w:pPr>
        <w:numPr>
          <w:ilvl w:val="1"/>
          <w:numId w:val="5"/>
        </w:numPr>
        <w:rPr>
          <w:color w:val="000000"/>
          <w:sz w:val="22"/>
        </w:rPr>
      </w:pPr>
      <w:r>
        <w:rPr>
          <w:color w:val="000000"/>
          <w:sz w:val="22"/>
        </w:rPr>
        <w:t xml:space="preserve">sur les options consenties et levées par les salariés des sociétés contrôlées majoritairement par Bouygues. </w:t>
      </w:r>
    </w:p>
    <w:p w:rsidR="00755CF1" w:rsidRDefault="00755CF1">
      <w:pPr>
        <w:rPr>
          <w:color w:val="000000"/>
          <w:sz w:val="22"/>
        </w:rPr>
      </w:pPr>
    </w:p>
    <w:p w:rsidR="00755CF1" w:rsidRDefault="00755CF1">
      <w:pPr>
        <w:rPr>
          <w:color w:val="000000"/>
          <w:sz w:val="22"/>
        </w:rPr>
      </w:pPr>
      <w:r>
        <w:rPr>
          <w:color w:val="000000"/>
          <w:sz w:val="22"/>
        </w:rPr>
        <w:t xml:space="preserve">Pour l'accomplissement de ses travaux, le comité peut entendre le président du conseil d'administration ou toute personne désignée par celui-ci. Le comité des rémunérations est composé de deux ou trois administrateurs indépendants de la direction de la société. La présidence du comité est assurée par un administrateur indépendant au sens du rapport Afep/Medef d’octobre 2003 et de la Recommandation européenne du 15 février 2005. </w:t>
      </w:r>
    </w:p>
    <w:p w:rsidR="00755CF1" w:rsidRDefault="00755CF1">
      <w:pPr>
        <w:rPr>
          <w:color w:val="000000"/>
          <w:sz w:val="22"/>
        </w:rPr>
      </w:pPr>
    </w:p>
    <w:p w:rsidR="00755CF1" w:rsidRDefault="00755CF1">
      <w:pPr>
        <w:rPr>
          <w:color w:val="000000"/>
          <w:sz w:val="22"/>
        </w:rPr>
      </w:pPr>
      <w:r>
        <w:rPr>
          <w:color w:val="000000"/>
          <w:sz w:val="22"/>
        </w:rPr>
        <w:t xml:space="preserve">Un administrateur ou censeur ne peut être nommé membre du comité des rémunérations si un mandataire social ou un administrateur salarié de Bouygues est membre du comité analogue d’une société dans laquelle cet administrateur ou censeur exerce lui-même une fonction de mandataire social. </w:t>
      </w:r>
    </w:p>
    <w:p w:rsidR="00755CF1" w:rsidRDefault="00755CF1">
      <w:pPr>
        <w:rPr>
          <w:color w:val="000000"/>
          <w:sz w:val="22"/>
        </w:rPr>
      </w:pPr>
    </w:p>
    <w:p w:rsidR="00755CF1" w:rsidRDefault="00755CF1">
      <w:pPr>
        <w:rPr>
          <w:color w:val="000000"/>
          <w:sz w:val="22"/>
        </w:rPr>
      </w:pPr>
      <w:r>
        <w:rPr>
          <w:color w:val="000000"/>
          <w:sz w:val="22"/>
        </w:rPr>
        <w:t xml:space="preserve">Actuellement, le comité est composé de Pierre Barberis (président) et Patricia Barbizet. Tous deux sont des administrateurs indépendants. </w:t>
      </w:r>
    </w:p>
    <w:p w:rsidR="00755CF1" w:rsidRDefault="00755CF1">
      <w:pPr>
        <w:rPr>
          <w:color w:val="000000"/>
          <w:sz w:val="22"/>
        </w:rPr>
      </w:pPr>
    </w:p>
    <w:p w:rsidR="00755CF1" w:rsidRDefault="00755CF1">
      <w:pPr>
        <w:rPr>
          <w:color w:val="000000"/>
          <w:sz w:val="22"/>
        </w:rPr>
      </w:pPr>
      <w:r>
        <w:rPr>
          <w:color w:val="000000"/>
          <w:sz w:val="22"/>
        </w:rPr>
        <w:t xml:space="preserve">Le comité des rémunérations s’est réuni deux fois en 2007. Le taux de présence a été de 100 %. Il a examiné la rémunération des mandataires sociaux et les attributions d’options qui leur ont été consenties. Il a proposé les critères servant à déterminer la partie variable de la rémunération. Il a été consulté sur la mise à jour du règlement intérieur en vue de préciser le régime des stock-options (période d’attribution, fenêtres négatives). Il a formulé des propositions en ce qui concerne la conservation par les mandataires sociaux d’une partie des actions résultant d’une levée de stock-options ; il a proposé la mise en place d’un nouveau plan d’options. Le comité a également examiné et proposé au conseil les rapports sur les rémunérations des mandataires sociaux, ainsi que sur les attributions et levées de stock-options au cours de l’exercice.  </w:t>
      </w:r>
    </w:p>
    <w:p w:rsidR="00755CF1" w:rsidRDefault="00755CF1">
      <w:pPr>
        <w:rPr>
          <w:color w:val="000000"/>
          <w:sz w:val="22"/>
        </w:rPr>
      </w:pPr>
    </w:p>
    <w:p w:rsidR="00755CF1" w:rsidRDefault="00755CF1">
      <w:pPr>
        <w:rPr>
          <w:b/>
          <w:bCs/>
          <w:szCs w:val="24"/>
        </w:rPr>
      </w:pPr>
      <w:r>
        <w:rPr>
          <w:b/>
          <w:bCs/>
          <w:szCs w:val="24"/>
        </w:rPr>
        <w:t xml:space="preserve">2. Rapport sur les rémunérations </w:t>
      </w:r>
    </w:p>
    <w:p w:rsidR="00755CF1" w:rsidRDefault="00755CF1">
      <w:pPr>
        <w:rPr>
          <w:i/>
          <w:iCs/>
          <w:color w:val="000000"/>
          <w:sz w:val="22"/>
        </w:rPr>
      </w:pPr>
      <w:r>
        <w:rPr>
          <w:i/>
          <w:iCs/>
          <w:color w:val="000000"/>
          <w:sz w:val="22"/>
        </w:rPr>
        <w:t xml:space="preserve">(Articles L. 225-102-1 et L. 225-37 dernier alinéa, du Code de commerce) </w:t>
      </w:r>
    </w:p>
    <w:p w:rsidR="00755CF1" w:rsidRDefault="00755CF1">
      <w:pPr>
        <w:rPr>
          <w:b/>
          <w:sz w:val="22"/>
        </w:rPr>
      </w:pPr>
      <w:r>
        <w:rPr>
          <w:b/>
          <w:sz w:val="22"/>
        </w:rPr>
        <w:t xml:space="preserve">Les principes et règles de détermination des rémunérations accordés aux mandataires sociaux </w:t>
      </w:r>
    </w:p>
    <w:p w:rsidR="00755CF1" w:rsidRDefault="00755CF1">
      <w:pPr>
        <w:rPr>
          <w:sz w:val="22"/>
        </w:rPr>
      </w:pPr>
      <w:r>
        <w:rPr>
          <w:sz w:val="22"/>
        </w:rPr>
        <w:t xml:space="preserve">Le conseil d’administration a arrêté comme suit les principes et règles de détermination des rémunérations et avantages accordés aux mandataires sociaux. Le conseil d’administration a pris en compte dès l’exercice 2007 les recommandations Afep/ Medef qui ont été publiées en janvier 2007 et qui traitent des rémunérations des dirigeants, mandataires sociaux de sociétés cotées. </w:t>
      </w:r>
    </w:p>
    <w:p w:rsidR="00755CF1" w:rsidRDefault="00755CF1">
      <w:pPr>
        <w:rPr>
          <w:sz w:val="22"/>
        </w:rPr>
      </w:pPr>
    </w:p>
    <w:p w:rsidR="00755CF1" w:rsidRDefault="00755CF1">
      <w:pPr>
        <w:rPr>
          <w:b/>
          <w:sz w:val="22"/>
        </w:rPr>
      </w:pPr>
      <w:r>
        <w:rPr>
          <w:b/>
          <w:sz w:val="22"/>
        </w:rPr>
        <w:t xml:space="preserve">Rémunération fixe et avantages en nature </w:t>
      </w:r>
    </w:p>
    <w:p w:rsidR="00755CF1" w:rsidRDefault="00755CF1">
      <w:pPr>
        <w:rPr>
          <w:sz w:val="22"/>
        </w:rPr>
      </w:pPr>
      <w:r>
        <w:rPr>
          <w:sz w:val="22"/>
        </w:rPr>
        <w:t xml:space="preserve">Les règles de détermination de la rémunération fixe ont été définies en 1999 et ont été appliquées depuis de façon constante. La rémunération fixe est déterminée en prenant en compte le niveau et la difficulté des responsabilités, l’expérience dans la fonction, l’ancienneté dans le Groupe, ainsi que les pratiques relevées dans les groupes ou dans les entreprises exerçant des activités comparables. Les avantages en nature consistent en la mise à disposition d’une voiture de fonction, à laquelle s’ajoute, pour Martin Bouygues et Olivier Bouygues, la mise à disposition pour des besoins personnels d’une partie du temps d’une assistante de direction et d’un chauffeur-agent de sécurité. </w:t>
      </w:r>
    </w:p>
    <w:p w:rsidR="00755CF1" w:rsidRDefault="00755CF1">
      <w:pPr>
        <w:rPr>
          <w:sz w:val="22"/>
        </w:rPr>
      </w:pPr>
    </w:p>
    <w:p w:rsidR="00755CF1" w:rsidRDefault="00755CF1">
      <w:pPr>
        <w:rPr>
          <w:b/>
          <w:sz w:val="22"/>
        </w:rPr>
      </w:pPr>
      <w:r>
        <w:rPr>
          <w:b/>
          <w:sz w:val="22"/>
        </w:rPr>
        <w:t xml:space="preserve">Rémunération variable </w:t>
      </w:r>
    </w:p>
    <w:p w:rsidR="00755CF1" w:rsidRDefault="00755CF1">
      <w:pPr>
        <w:rPr>
          <w:color w:val="000000"/>
          <w:sz w:val="22"/>
        </w:rPr>
      </w:pPr>
      <w:r>
        <w:rPr>
          <w:color w:val="000000"/>
          <w:sz w:val="22"/>
        </w:rPr>
        <w:t xml:space="preserve">Les règles de détermination de la rémunération variable ont également été arrêtées en 1999 et n’ont pas été modifiées jusqu’en 2007. Le conseil a décidé en février 2007 de modifier les critères de la rémunération variable, en tenant compte des recommandations Afep/Medef. </w:t>
      </w:r>
    </w:p>
    <w:p w:rsidR="00755CF1" w:rsidRDefault="00755CF1">
      <w:pPr>
        <w:rPr>
          <w:color w:val="000000"/>
          <w:sz w:val="22"/>
        </w:rPr>
      </w:pPr>
      <w:r>
        <w:rPr>
          <w:color w:val="000000"/>
          <w:sz w:val="22"/>
        </w:rPr>
        <w:t xml:space="preserve">La rémunération variable est individualisée : le conseil a défini pour chaque dirigeant des critères de détermination de la rémunération variable et plafonné celle-ci à un pourcentage de la rémunération fixe. Le plafond a été fixé à un pourcentage de la rémunération fixe qui varie lui aussi selon le dirigeant concerné. </w:t>
      </w:r>
      <w:r>
        <w:rPr>
          <w:color w:val="000000"/>
          <w:sz w:val="22"/>
        </w:rPr>
        <w:lastRenderedPageBreak/>
        <w:t xml:space="preserve">Les critères ont été retenus en tenant compte de la fonction confiée au mandataire social et du métier dans lequel il exerce son activité. </w:t>
      </w:r>
    </w:p>
    <w:p w:rsidR="00755CF1" w:rsidRDefault="00755CF1">
      <w:pPr>
        <w:rPr>
          <w:color w:val="000000"/>
          <w:sz w:val="22"/>
        </w:rPr>
      </w:pPr>
    </w:p>
    <w:p w:rsidR="00755CF1" w:rsidRDefault="00755CF1">
      <w:pPr>
        <w:rPr>
          <w:color w:val="000000"/>
          <w:sz w:val="22"/>
        </w:rPr>
      </w:pPr>
      <w:r>
        <w:rPr>
          <w:color w:val="000000"/>
          <w:sz w:val="22"/>
        </w:rPr>
        <w:t xml:space="preserve">La rémunération variable est fondée sur les performances de l’entreprise dirigée par le mandataire social et/ou celle du Groupe, celles-ci étant déterminée par référence à des indicateurs économiques significatifs. </w:t>
      </w:r>
    </w:p>
    <w:p w:rsidR="00755CF1" w:rsidRDefault="00755CF1">
      <w:pPr>
        <w:numPr>
          <w:ilvl w:val="0"/>
          <w:numId w:val="6"/>
        </w:numPr>
        <w:rPr>
          <w:color w:val="000000"/>
          <w:sz w:val="22"/>
        </w:rPr>
      </w:pPr>
      <w:r>
        <w:rPr>
          <w:color w:val="000000"/>
          <w:sz w:val="22"/>
        </w:rPr>
        <w:t xml:space="preserve">Progression du résultat opérationnel courant. </w:t>
      </w:r>
    </w:p>
    <w:p w:rsidR="00755CF1" w:rsidRDefault="00755CF1">
      <w:pPr>
        <w:numPr>
          <w:ilvl w:val="0"/>
          <w:numId w:val="6"/>
        </w:numPr>
        <w:rPr>
          <w:color w:val="000000"/>
          <w:sz w:val="22"/>
        </w:rPr>
      </w:pPr>
      <w:r>
        <w:rPr>
          <w:color w:val="000000"/>
          <w:sz w:val="22"/>
        </w:rPr>
        <w:t xml:space="preserve">Évolution du bénéfice net consolidé (part du Groupe) de Bouygues. </w:t>
      </w:r>
    </w:p>
    <w:p w:rsidR="00755CF1" w:rsidRDefault="00755CF1">
      <w:pPr>
        <w:numPr>
          <w:ilvl w:val="0"/>
          <w:numId w:val="6"/>
        </w:numPr>
        <w:rPr>
          <w:color w:val="000000"/>
          <w:sz w:val="22"/>
        </w:rPr>
      </w:pPr>
      <w:r>
        <w:rPr>
          <w:color w:val="000000"/>
          <w:sz w:val="22"/>
        </w:rPr>
        <w:t xml:space="preserve">Cash-flow libre, avant BFR, de Bouygues. </w:t>
      </w:r>
    </w:p>
    <w:p w:rsidR="00755CF1" w:rsidRDefault="00755CF1">
      <w:pPr>
        <w:numPr>
          <w:ilvl w:val="0"/>
          <w:numId w:val="6"/>
        </w:numPr>
        <w:rPr>
          <w:color w:val="000000"/>
          <w:sz w:val="22"/>
        </w:rPr>
      </w:pPr>
      <w:r>
        <w:rPr>
          <w:color w:val="000000"/>
          <w:sz w:val="22"/>
        </w:rPr>
        <w:t xml:space="preserve">Évolution du bénéfice net consolidé (part du Groupe) de la filiale dirigée par le mandataire social (Bouygues Construction, Bouygues Immobilier, Colas, TF1 ou Bouygues Telecom). </w:t>
      </w:r>
    </w:p>
    <w:p w:rsidR="00755CF1" w:rsidRDefault="00755CF1">
      <w:pPr>
        <w:numPr>
          <w:ilvl w:val="0"/>
          <w:numId w:val="6"/>
        </w:numPr>
        <w:rPr>
          <w:color w:val="000000"/>
          <w:sz w:val="22"/>
        </w:rPr>
      </w:pPr>
      <w:r>
        <w:rPr>
          <w:color w:val="000000"/>
          <w:sz w:val="22"/>
        </w:rPr>
        <w:t xml:space="preserve">Cash-flow libre avant BFR de la filiale dirigée par le mandataire social (Bouygues Construction, Bouygues Immobilier, Colas, TF1 ou Bouygues Telecom). </w:t>
      </w:r>
    </w:p>
    <w:p w:rsidR="00755CF1" w:rsidRDefault="00755CF1">
      <w:pPr>
        <w:rPr>
          <w:color w:val="000000"/>
          <w:sz w:val="22"/>
        </w:rPr>
      </w:pPr>
    </w:p>
    <w:p w:rsidR="00755CF1" w:rsidRDefault="00755CF1">
      <w:pPr>
        <w:rPr>
          <w:sz w:val="22"/>
        </w:rPr>
      </w:pPr>
      <w:r>
        <w:rPr>
          <w:color w:val="000000"/>
          <w:sz w:val="22"/>
        </w:rPr>
        <w:t>Chaque mandataire social se voit appliquer une sélection de ces critères. Chaque critère détermine une partie de la rémunération variable.</w:t>
      </w:r>
      <w:r>
        <w:rPr>
          <w:sz w:val="22"/>
        </w:rPr>
        <w:t xml:space="preserve">  </w:t>
      </w:r>
    </w:p>
    <w:p w:rsidR="00755CF1" w:rsidRDefault="00755CF1">
      <w:pPr>
        <w:autoSpaceDE w:val="0"/>
        <w:autoSpaceDN w:val="0"/>
        <w:adjustRightInd w:val="0"/>
        <w:rPr>
          <w:b/>
          <w:bCs/>
          <w:color w:val="E85113"/>
          <w:sz w:val="22"/>
        </w:rPr>
      </w:pPr>
    </w:p>
    <w:p w:rsidR="00755CF1" w:rsidRDefault="00755CF1">
      <w:pPr>
        <w:ind w:right="567"/>
        <w:rPr>
          <w:sz w:val="22"/>
        </w:rPr>
      </w:pPr>
    </w:p>
    <w:sectPr w:rsidR="00755CF1">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B92" w:rsidRDefault="00B23B92">
      <w:r>
        <w:separator/>
      </w:r>
    </w:p>
  </w:endnote>
  <w:endnote w:type="continuationSeparator" w:id="0">
    <w:p w:rsidR="00B23B92" w:rsidRDefault="00B2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CF1" w:rsidRDefault="00755CF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55CF1" w:rsidRDefault="00755CF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CF1" w:rsidRPr="008612CC" w:rsidRDefault="008612CC" w:rsidP="008612CC">
    <w:pPr>
      <w:pStyle w:val="Pieddepage"/>
      <w:tabs>
        <w:tab w:val="left" w:pos="709"/>
      </w:tabs>
      <w:ind w:right="357"/>
      <w:rPr>
        <w:sz w:val="20"/>
        <w:szCs w:val="20"/>
      </w:rPr>
    </w:pPr>
    <w:r w:rsidRPr="00642AF9">
      <w:rPr>
        <w:sz w:val="20"/>
        <w:szCs w:val="20"/>
      </w:rPr>
      <w:t xml:space="preserve">©Comptazine – Reproduction interdite – DSCG </w:t>
    </w:r>
    <w:r>
      <w:rPr>
        <w:sz w:val="20"/>
        <w:szCs w:val="20"/>
      </w:rPr>
      <w:t>Finance</w:t>
    </w:r>
    <w:r w:rsidRPr="00642AF9">
      <w:rPr>
        <w:sz w:val="20"/>
        <w:szCs w:val="20"/>
      </w:rPr>
      <w:t xml:space="preserve"> 200</w:t>
    </w:r>
    <w:r>
      <w:rPr>
        <w:sz w:val="20"/>
        <w:szCs w:val="20"/>
      </w:rPr>
      <w:t>9</w:t>
    </w:r>
    <w:bookmarkStart w:id="3" w:name="_GoBack"/>
    <w:bookmarkEnd w:id="3"/>
    <w:r w:rsidRPr="00642AF9">
      <w:rPr>
        <w:bCs/>
        <w:sz w:val="20"/>
        <w:szCs w:val="20"/>
      </w:rPr>
      <w:tab/>
    </w:r>
    <w:r w:rsidRPr="00642AF9">
      <w:rPr>
        <w:rStyle w:val="Numrodepage"/>
        <w:bCs/>
        <w:sz w:val="20"/>
        <w:szCs w:val="20"/>
      </w:rPr>
      <w:fldChar w:fldCharType="begin"/>
    </w:r>
    <w:r w:rsidRPr="00642AF9">
      <w:rPr>
        <w:rStyle w:val="Numrodepage"/>
        <w:bCs/>
        <w:sz w:val="20"/>
        <w:szCs w:val="20"/>
      </w:rPr>
      <w:instrText xml:space="preserve"> PAGE </w:instrText>
    </w:r>
    <w:r w:rsidRPr="00642AF9">
      <w:rPr>
        <w:rStyle w:val="Numrodepage"/>
        <w:bCs/>
        <w:sz w:val="20"/>
        <w:szCs w:val="20"/>
      </w:rPr>
      <w:fldChar w:fldCharType="separate"/>
    </w:r>
    <w:r w:rsidR="003F462D">
      <w:rPr>
        <w:rStyle w:val="Numrodepage"/>
        <w:bCs/>
        <w:noProof/>
        <w:sz w:val="20"/>
        <w:szCs w:val="20"/>
      </w:rPr>
      <w:t>1</w:t>
    </w:r>
    <w:r w:rsidRPr="00642AF9">
      <w:rPr>
        <w:rStyle w:val="Numrodepage"/>
        <w:bCs/>
        <w:sz w:val="20"/>
        <w:szCs w:val="20"/>
      </w:rPr>
      <w:fldChar w:fldCharType="end"/>
    </w:r>
    <w:r w:rsidRPr="00642AF9">
      <w:rPr>
        <w:rStyle w:val="Numrodepage"/>
        <w:bCs/>
        <w:sz w:val="20"/>
        <w:szCs w:val="20"/>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CF1" w:rsidRDefault="00755CF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B92" w:rsidRDefault="00B23B92">
      <w:r>
        <w:separator/>
      </w:r>
    </w:p>
  </w:footnote>
  <w:footnote w:type="continuationSeparator" w:id="0">
    <w:p w:rsidR="00B23B92" w:rsidRDefault="00B23B92">
      <w:r>
        <w:continuationSeparator/>
      </w:r>
    </w:p>
  </w:footnote>
  <w:footnote w:id="1">
    <w:p w:rsidR="00755CF1" w:rsidRDefault="00755CF1">
      <w:pPr>
        <w:pStyle w:val="Notedebasdepage"/>
        <w:jc w:val="both"/>
        <w:rPr>
          <w:rFonts w:ascii="Times" w:hAnsi="Times" w:cs="Arial"/>
        </w:rPr>
      </w:pPr>
      <w:r>
        <w:rPr>
          <w:rStyle w:val="Appelnotedebasdep"/>
          <w:rFonts w:ascii="Arial Narrow" w:hAnsi="Arial Narrow" w:cs="Arial"/>
        </w:rPr>
        <w:footnoteRef/>
      </w:r>
      <w:r>
        <w:rPr>
          <w:rFonts w:ascii="Arial Narrow" w:hAnsi="Arial Narrow" w:cs="Arial"/>
        </w:rPr>
        <w:t xml:space="preserve"> </w:t>
      </w:r>
      <w:r>
        <w:rPr>
          <w:rFonts w:ascii="Times" w:hAnsi="Times" w:cs="Arial"/>
        </w:rPr>
        <w:t>Même si ces recommandations n’ont pas (encore) de force obligatoire et sont susceptibles d’être ajustées prochainement, la plupart des sociétés françaises cotées ont annoncé qu’elles s’y plieront, sous réserve de la marge de manœuvre, non négligeable, laissée par le principe de « </w:t>
      </w:r>
      <w:r>
        <w:rPr>
          <w:rFonts w:ascii="Times" w:hAnsi="Times" w:cs="Arial"/>
          <w:i/>
        </w:rPr>
        <w:t>comply or explain</w:t>
      </w:r>
      <w:r>
        <w:rPr>
          <w:rFonts w:ascii="Times" w:hAnsi="Times" w:cs="Arial"/>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CF1" w:rsidRDefault="00755CF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2CC" w:rsidRDefault="003F462D" w:rsidP="008612CC">
    <w:pPr>
      <w:pStyle w:val="En-tte"/>
      <w:ind w:left="3252" w:right="849" w:firstLine="3828"/>
    </w:pPr>
    <w:r>
      <w:rPr>
        <w:noProof/>
      </w:rPr>
      <w:drawing>
        <wp:anchor distT="0" distB="0" distL="114300" distR="114300" simplePos="0" relativeHeight="251659264" behindDoc="1" locked="0" layoutInCell="1" allowOverlap="1">
          <wp:simplePos x="0" y="0"/>
          <wp:positionH relativeFrom="margin">
            <wp:posOffset>5678805</wp:posOffset>
          </wp:positionH>
          <wp:positionV relativeFrom="margin">
            <wp:posOffset>-495300</wp:posOffset>
          </wp:positionV>
          <wp:extent cx="381000" cy="381000"/>
          <wp:effectExtent l="0" t="0" r="0" b="0"/>
          <wp:wrapNone/>
          <wp:docPr id="1" name="Image 6"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8612CC">
        <w:rPr>
          <w:rStyle w:val="Lienhypertexte"/>
          <w:rFonts w:ascii="Calibri" w:hAnsi="Calibri" w:cs="Calibri"/>
          <w:color w:val="E36C0A"/>
          <w:sz w:val="18"/>
        </w:rPr>
        <w:t>www.comptazine.fr</w:t>
      </w:r>
    </w:hyperlink>
    <w:r w:rsidR="008612C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6192;mso-position-horizontal:center;mso-position-horizontal-relative:margin;mso-position-vertical:center;mso-position-vertical-relative:margin" o:allowincell="f">
          <v:imagedata r:id="rId3" o:title="logos_Comptazine_NB-OPACITE-20-200-x-200"/>
          <w10:wrap anchorx="margin" anchory="margin"/>
        </v:shape>
      </w:pict>
    </w:r>
  </w:p>
  <w:p w:rsidR="00755CF1" w:rsidRPr="008612CC" w:rsidRDefault="00755CF1" w:rsidP="008612C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CF1" w:rsidRDefault="00755CF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6210"/>
    <w:multiLevelType w:val="hybridMultilevel"/>
    <w:tmpl w:val="AE6C117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66059FF"/>
    <w:multiLevelType w:val="hybridMultilevel"/>
    <w:tmpl w:val="A74A48E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45BE4B67"/>
    <w:multiLevelType w:val="hybridMultilevel"/>
    <w:tmpl w:val="D686725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FFE1969"/>
    <w:multiLevelType w:val="hybridMultilevel"/>
    <w:tmpl w:val="0F162CE2"/>
    <w:lvl w:ilvl="0" w:tplc="D264EEE2">
      <w:numFmt w:val="bullet"/>
      <w:lvlText w:val="-"/>
      <w:lvlJc w:val="left"/>
      <w:pPr>
        <w:tabs>
          <w:tab w:val="num" w:pos="360"/>
        </w:tabs>
        <w:ind w:left="360" w:hanging="360"/>
      </w:pPr>
      <w:rPr>
        <w:rFonts w:ascii="Arial Narrow" w:eastAsia="Times New Roman" w:hAnsi="Arial Narrow"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nsid w:val="622F75EC"/>
    <w:multiLevelType w:val="hybridMultilevel"/>
    <w:tmpl w:val="F56CDBBA"/>
    <w:lvl w:ilvl="0" w:tplc="D264EEE2">
      <w:numFmt w:val="bullet"/>
      <w:lvlText w:val="-"/>
      <w:lvlJc w:val="left"/>
      <w:pPr>
        <w:tabs>
          <w:tab w:val="num" w:pos="360"/>
        </w:tabs>
        <w:ind w:left="360" w:hanging="360"/>
      </w:pPr>
      <w:rPr>
        <w:rFonts w:ascii="Arial Narrow" w:eastAsia="Times New Roman" w:hAnsi="Arial Narrow"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72B01CA1"/>
    <w:multiLevelType w:val="hybridMultilevel"/>
    <w:tmpl w:val="02886E88"/>
    <w:lvl w:ilvl="0" w:tplc="D264EEE2">
      <w:numFmt w:val="bullet"/>
      <w:lvlText w:val="-"/>
      <w:lvlJc w:val="left"/>
      <w:pPr>
        <w:tabs>
          <w:tab w:val="num" w:pos="360"/>
        </w:tabs>
        <w:ind w:left="360" w:hanging="360"/>
      </w:pPr>
      <w:rPr>
        <w:rFonts w:ascii="Arial Narrow" w:eastAsia="Times New Roman" w:hAnsi="Arial Narrow" w:cs="Times New Roman" w:hint="default"/>
      </w:rPr>
    </w:lvl>
    <w:lvl w:ilvl="1" w:tplc="040C0005">
      <w:start w:val="1"/>
      <w:numFmt w:val="bullet"/>
      <w:lvlText w:val=""/>
      <w:lvlJc w:val="left"/>
      <w:pPr>
        <w:tabs>
          <w:tab w:val="num" w:pos="1080"/>
        </w:tabs>
        <w:ind w:left="108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C5A"/>
    <w:rsid w:val="003F462D"/>
    <w:rsid w:val="005A2C5A"/>
    <w:rsid w:val="00755CF1"/>
    <w:rsid w:val="008612CC"/>
    <w:rsid w:val="00B23B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semiHidden/>
    <w:pPr>
      <w:widowControl w:val="0"/>
      <w:autoSpaceDE w:val="0"/>
      <w:autoSpaceDN w:val="0"/>
      <w:adjustRightInd w:val="0"/>
    </w:pPr>
    <w:rPr>
      <w:rFonts w:ascii="Arial" w:hAnsi="Arial" w:cs="Arial"/>
      <w:sz w:val="22"/>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536"/>
        <w:tab w:val="right" w:pos="9072"/>
      </w:tabs>
    </w:pPr>
  </w:style>
  <w:style w:type="paragraph" w:styleId="Corpsdetexte">
    <w:name w:val="Body Text"/>
    <w:basedOn w:val="Normal"/>
    <w:semiHidden/>
    <w:pPr>
      <w:widowControl w:val="0"/>
      <w:autoSpaceDE w:val="0"/>
      <w:autoSpaceDN w:val="0"/>
      <w:adjustRightInd w:val="0"/>
    </w:pPr>
    <w:rPr>
      <w:b/>
      <w:bCs/>
      <w:szCs w:val="24"/>
    </w:rPr>
  </w:style>
  <w:style w:type="paragraph" w:styleId="Notedebasdepage">
    <w:name w:val="footnote text"/>
    <w:basedOn w:val="Normal"/>
    <w:semiHidden/>
    <w:pPr>
      <w:jc w:val="left"/>
    </w:pPr>
    <w:rPr>
      <w:sz w:val="20"/>
      <w:szCs w:val="20"/>
    </w:rPr>
  </w:style>
  <w:style w:type="character" w:styleId="Appelnotedebasdep">
    <w:name w:val="footnote reference"/>
    <w:basedOn w:val="Policepardfaut"/>
    <w:semiHidden/>
    <w:rPr>
      <w:vertAlign w:val="superscript"/>
    </w:rPr>
  </w:style>
  <w:style w:type="character" w:styleId="lev">
    <w:name w:val="Strong"/>
    <w:basedOn w:val="Policepardfaut"/>
    <w:qFormat/>
    <w:rPr>
      <w:b/>
      <w:bCs/>
    </w:rPr>
  </w:style>
  <w:style w:type="paragraph" w:styleId="Retraitcorpsdetexte2">
    <w:name w:val="Body Text Indent 2"/>
    <w:basedOn w:val="Normal"/>
    <w:semiHidden/>
    <w:pPr>
      <w:ind w:left="284"/>
    </w:pPr>
    <w:rPr>
      <w:b/>
      <w:bCs/>
      <w:szCs w:val="24"/>
    </w:rPr>
  </w:style>
  <w:style w:type="character" w:customStyle="1" w:styleId="PieddepageCar">
    <w:name w:val="Pied de page Car"/>
    <w:link w:val="Pieddepage"/>
    <w:uiPriority w:val="99"/>
    <w:rsid w:val="008612CC"/>
    <w:rPr>
      <w:sz w:val="24"/>
      <w:szCs w:val="22"/>
    </w:rPr>
  </w:style>
  <w:style w:type="character" w:styleId="Lienhypertexte">
    <w:name w:val="Hyperlink"/>
    <w:unhideWhenUsed/>
    <w:rsid w:val="008612CC"/>
    <w:rPr>
      <w:color w:val="0000FF"/>
      <w:u w:val="single"/>
    </w:rPr>
  </w:style>
  <w:style w:type="character" w:customStyle="1" w:styleId="En-tteCar">
    <w:name w:val="En-tête Car"/>
    <w:link w:val="En-tte"/>
    <w:rsid w:val="008612CC"/>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semiHidden/>
    <w:pPr>
      <w:widowControl w:val="0"/>
      <w:autoSpaceDE w:val="0"/>
      <w:autoSpaceDN w:val="0"/>
      <w:adjustRightInd w:val="0"/>
    </w:pPr>
    <w:rPr>
      <w:rFonts w:ascii="Arial" w:hAnsi="Arial" w:cs="Arial"/>
      <w:sz w:val="22"/>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536"/>
        <w:tab w:val="right" w:pos="9072"/>
      </w:tabs>
    </w:pPr>
  </w:style>
  <w:style w:type="paragraph" w:styleId="Corpsdetexte">
    <w:name w:val="Body Text"/>
    <w:basedOn w:val="Normal"/>
    <w:semiHidden/>
    <w:pPr>
      <w:widowControl w:val="0"/>
      <w:autoSpaceDE w:val="0"/>
      <w:autoSpaceDN w:val="0"/>
      <w:adjustRightInd w:val="0"/>
    </w:pPr>
    <w:rPr>
      <w:b/>
      <w:bCs/>
      <w:szCs w:val="24"/>
    </w:rPr>
  </w:style>
  <w:style w:type="paragraph" w:styleId="Notedebasdepage">
    <w:name w:val="footnote text"/>
    <w:basedOn w:val="Normal"/>
    <w:semiHidden/>
    <w:pPr>
      <w:jc w:val="left"/>
    </w:pPr>
    <w:rPr>
      <w:sz w:val="20"/>
      <w:szCs w:val="20"/>
    </w:rPr>
  </w:style>
  <w:style w:type="character" w:styleId="Appelnotedebasdep">
    <w:name w:val="footnote reference"/>
    <w:basedOn w:val="Policepardfaut"/>
    <w:semiHidden/>
    <w:rPr>
      <w:vertAlign w:val="superscript"/>
    </w:rPr>
  </w:style>
  <w:style w:type="character" w:styleId="lev">
    <w:name w:val="Strong"/>
    <w:basedOn w:val="Policepardfaut"/>
    <w:qFormat/>
    <w:rPr>
      <w:b/>
      <w:bCs/>
    </w:rPr>
  </w:style>
  <w:style w:type="paragraph" w:styleId="Retraitcorpsdetexte2">
    <w:name w:val="Body Text Indent 2"/>
    <w:basedOn w:val="Normal"/>
    <w:semiHidden/>
    <w:pPr>
      <w:ind w:left="284"/>
    </w:pPr>
    <w:rPr>
      <w:b/>
      <w:bCs/>
      <w:szCs w:val="24"/>
    </w:rPr>
  </w:style>
  <w:style w:type="character" w:customStyle="1" w:styleId="PieddepageCar">
    <w:name w:val="Pied de page Car"/>
    <w:link w:val="Pieddepage"/>
    <w:uiPriority w:val="99"/>
    <w:rsid w:val="008612CC"/>
    <w:rPr>
      <w:sz w:val="24"/>
      <w:szCs w:val="22"/>
    </w:rPr>
  </w:style>
  <w:style w:type="character" w:styleId="Lienhypertexte">
    <w:name w:val="Hyperlink"/>
    <w:unhideWhenUsed/>
    <w:rsid w:val="008612CC"/>
    <w:rPr>
      <w:color w:val="0000FF"/>
      <w:u w:val="single"/>
    </w:rPr>
  </w:style>
  <w:style w:type="character" w:customStyle="1" w:styleId="En-tteCar">
    <w:name w:val="En-tête Car"/>
    <w:link w:val="En-tte"/>
    <w:rsid w:val="008612CC"/>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hyperlink" Target="http://www.comptazine.fr" TargetMode="External"/><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3493</Words>
  <Characters>19214</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22662</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2</cp:revision>
  <cp:lastPrinted>2009-06-05T12:11:00Z</cp:lastPrinted>
  <dcterms:created xsi:type="dcterms:W3CDTF">2014-04-05T21:15:00Z</dcterms:created>
  <dcterms:modified xsi:type="dcterms:W3CDTF">2014-04-05T21:15:00Z</dcterms:modified>
</cp:coreProperties>
</file>