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E0A" w:rsidRDefault="006B295B" w:rsidP="006B295B">
      <w:pPr>
        <w:autoSpaceDE w:val="0"/>
        <w:autoSpaceDN w:val="0"/>
        <w:adjustRightInd w:val="0"/>
        <w:rPr>
          <w:b/>
          <w:bCs/>
          <w:color w:val="000000"/>
          <w:sz w:val="32"/>
          <w:szCs w:val="32"/>
        </w:rPr>
      </w:pPr>
      <w:r>
        <w:rPr>
          <w:b/>
          <w:bCs/>
          <w:color w:val="000000"/>
          <w:sz w:val="20"/>
          <w:szCs w:val="20"/>
        </w:rPr>
        <w:t xml:space="preserve"> </w:t>
      </w:r>
      <w:bookmarkStart w:id="0" w:name="_GoBack"/>
      <w:bookmarkEnd w:id="0"/>
    </w:p>
    <w:p w:rsidR="00B22E0A" w:rsidRDefault="00DD087E" w:rsidP="006E202D">
      <w:pPr>
        <w:autoSpaceDE w:val="0"/>
        <w:autoSpaceDN w:val="0"/>
        <w:adjustRightInd w:val="0"/>
        <w:jc w:val="center"/>
        <w:rPr>
          <w:b/>
          <w:bCs/>
          <w:color w:val="000000"/>
          <w:sz w:val="32"/>
          <w:szCs w:val="32"/>
        </w:rPr>
      </w:pPr>
      <w:r>
        <w:rPr>
          <w:b/>
          <w:bCs/>
          <w:noProof/>
          <w:color w:val="000000"/>
          <w:sz w:val="32"/>
          <w:szCs w:val="32"/>
        </w:rPr>
        <mc:AlternateContent>
          <mc:Choice Requires="wpg">
            <w:drawing>
              <wp:anchor distT="0" distB="0" distL="114300" distR="114300" simplePos="0" relativeHeight="251657728" behindDoc="0" locked="0" layoutInCell="1" allowOverlap="1">
                <wp:simplePos x="0" y="0"/>
                <wp:positionH relativeFrom="column">
                  <wp:posOffset>-337820</wp:posOffset>
                </wp:positionH>
                <wp:positionV relativeFrom="paragraph">
                  <wp:posOffset>1905</wp:posOffset>
                </wp:positionV>
                <wp:extent cx="1429385" cy="723900"/>
                <wp:effectExtent l="9525" t="11430" r="0" b="762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9385" cy="723900"/>
                          <a:chOff x="1605" y="1319"/>
                          <a:chExt cx="2251" cy="1140"/>
                        </a:xfrm>
                      </wpg:grpSpPr>
                      <wps:wsp>
                        <wps:cNvPr id="3" name="Text Box 6"/>
                        <wps:cNvSpPr txBox="1">
                          <a:spLocks noChangeArrowheads="1"/>
                        </wps:cNvSpPr>
                        <wps:spPr bwMode="auto">
                          <a:xfrm>
                            <a:off x="1786" y="1543"/>
                            <a:ext cx="207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2E0A" w:rsidRDefault="00B22E0A" w:rsidP="00B22E0A">
                              <w:pPr>
                                <w:rPr>
                                  <w:sz w:val="40"/>
                                </w:rPr>
                              </w:pPr>
                              <w:r>
                                <w:rPr>
                                  <w:sz w:val="40"/>
                                </w:rPr>
                                <w:t>DSCG</w:t>
                              </w:r>
                            </w:p>
                          </w:txbxContent>
                        </wps:txbx>
                        <wps:bodyPr rot="0" vert="horz" wrap="square" lIns="91440" tIns="45720" rIns="91440" bIns="45720" anchor="t" anchorCtr="0" upright="1">
                          <a:noAutofit/>
                        </wps:bodyPr>
                      </wps:wsp>
                      <wps:wsp>
                        <wps:cNvPr id="4" name="AutoShape 7"/>
                        <wps:cNvSpPr>
                          <a:spLocks noChangeArrowheads="1"/>
                        </wps:cNvSpPr>
                        <wps:spPr bwMode="auto">
                          <a:xfrm>
                            <a:off x="1605" y="1319"/>
                            <a:ext cx="1860" cy="1140"/>
                          </a:xfrm>
                          <a:prstGeom prst="foldedCorner">
                            <a:avLst>
                              <a:gd name="adj" fmla="val 1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 o:spid="_x0000_s1026" style="position:absolute;left:0;text-align:left;margin-left:-26.6pt;margin-top:.15pt;width:112.55pt;height:57pt;z-index:251657728" coordorigin="1605,1319" coordsize="2251,1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">
                <v:shapetype id="_x0000_t202" coordsize="21600,21600" o:spt="202" path="m,l,21600r21600,l21600,xe">
                  <v:stroke joinstyle="miter"/>
                  <v:path gradientshapeok="t" o:connecttype="rect"/>
                </v:shapetype>
                <v:shape id="Text Box 6" o:spid="_x0000_s1027" type="#_x0000_t202" style="position:absolute;left:1786;top:1543;width:2070;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B22E0A" w:rsidRDefault="00B22E0A" w:rsidP="00B22E0A">
                        <w:pPr>
                          <w:rPr>
                            <w:sz w:val="40"/>
                          </w:rPr>
                        </w:pPr>
                        <w:r>
                          <w:rPr>
                            <w:sz w:val="40"/>
                          </w:rPr>
                          <w:t>DSCG</w:t>
                        </w:r>
                      </w:p>
                    </w:txbxContent>
                  </v:textbox>
                </v:shape>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7" o:spid="_x0000_s1028" type="#_x0000_t65" style="position:absolute;left:1605;top:1319;width:1860;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U+kMEA&#10;AADaAAAADwAAAGRycy9kb3ducmV2LnhtbESPT4vCMBTE7wt+h/AEb2uqiLtUo6gou3jxL3h9JM+2&#10;2ryUJmr99kZY2OMwM79hxtPGluJOtS8cK+h1ExDE2pmCMwXHw+rzG4QPyAZLx6TgSR6mk9bHGFPj&#10;Hryj+z5kIkLYp6ggD6FKpfQ6J4u+6yri6J1dbTFEWWfS1PiIcFvKfpIMpcWC40KOFS1y0tf9zSpw&#10;l/BlNrvtabhd6vmPznB9xLVSnXYzG4EI1IT/8F/71ygYwPtKvAFy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VPpDBAAAA2gAAAA8AAAAAAAAAAAAAAAAAmAIAAGRycy9kb3du&#10;cmV2LnhtbFBLBQYAAAAABAAEAPUAAACGAwAAAAA=&#10;" filled="f"/>
              </v:group>
            </w:pict>
          </mc:Fallback>
        </mc:AlternateContent>
      </w:r>
    </w:p>
    <w:p w:rsidR="00B22E0A" w:rsidRDefault="00B22E0A" w:rsidP="006E202D">
      <w:pPr>
        <w:autoSpaceDE w:val="0"/>
        <w:autoSpaceDN w:val="0"/>
        <w:adjustRightInd w:val="0"/>
        <w:jc w:val="center"/>
        <w:rPr>
          <w:b/>
          <w:bCs/>
          <w:color w:val="000000"/>
          <w:sz w:val="32"/>
          <w:szCs w:val="32"/>
        </w:rPr>
      </w:pPr>
    </w:p>
    <w:p w:rsidR="00845C4C" w:rsidRPr="00C65D19" w:rsidRDefault="00845C4C" w:rsidP="006E202D">
      <w:pPr>
        <w:autoSpaceDE w:val="0"/>
        <w:autoSpaceDN w:val="0"/>
        <w:adjustRightInd w:val="0"/>
        <w:jc w:val="center"/>
        <w:rPr>
          <w:b/>
          <w:bCs/>
          <w:color w:val="000000"/>
          <w:sz w:val="32"/>
          <w:szCs w:val="32"/>
        </w:rPr>
      </w:pPr>
      <w:r w:rsidRPr="00C65D19">
        <w:rPr>
          <w:b/>
          <w:bCs/>
          <w:color w:val="000000"/>
          <w:sz w:val="32"/>
          <w:szCs w:val="32"/>
        </w:rPr>
        <w:t>SESSION 20</w:t>
      </w:r>
      <w:r w:rsidR="00B64279">
        <w:rPr>
          <w:b/>
          <w:bCs/>
          <w:color w:val="000000"/>
          <w:sz w:val="32"/>
          <w:szCs w:val="32"/>
        </w:rPr>
        <w:t>10</w:t>
      </w:r>
    </w:p>
    <w:p w:rsidR="006E202D" w:rsidRPr="006E202D" w:rsidRDefault="006E202D" w:rsidP="00845C4C">
      <w:pPr>
        <w:autoSpaceDE w:val="0"/>
        <w:autoSpaceDN w:val="0"/>
        <w:adjustRightInd w:val="0"/>
        <w:jc w:val="center"/>
        <w:rPr>
          <w:b/>
          <w:bCs/>
          <w:color w:val="000000"/>
        </w:rPr>
      </w:pPr>
    </w:p>
    <w:p w:rsidR="006E202D" w:rsidRPr="006E202D" w:rsidRDefault="006E202D" w:rsidP="00845C4C">
      <w:pPr>
        <w:autoSpaceDE w:val="0"/>
        <w:autoSpaceDN w:val="0"/>
        <w:adjustRightInd w:val="0"/>
        <w:jc w:val="center"/>
        <w:rPr>
          <w:b/>
          <w:bCs/>
          <w:color w:val="000000"/>
        </w:rPr>
      </w:pPr>
    </w:p>
    <w:p w:rsidR="00845C4C" w:rsidRPr="006E202D" w:rsidRDefault="00845C4C" w:rsidP="00845C4C">
      <w:pPr>
        <w:autoSpaceDE w:val="0"/>
        <w:autoSpaceDN w:val="0"/>
        <w:adjustRightInd w:val="0"/>
        <w:jc w:val="center"/>
        <w:rPr>
          <w:b/>
          <w:bCs/>
          <w:color w:val="000000"/>
        </w:rPr>
      </w:pPr>
      <w:r w:rsidRPr="006E202D">
        <w:rPr>
          <w:b/>
          <w:bCs/>
          <w:color w:val="000000"/>
        </w:rPr>
        <w:t>UE 2 – FINANCE</w:t>
      </w:r>
    </w:p>
    <w:p w:rsidR="00845C4C" w:rsidRPr="006E202D" w:rsidRDefault="00845C4C" w:rsidP="00845C4C">
      <w:pPr>
        <w:autoSpaceDE w:val="0"/>
        <w:autoSpaceDN w:val="0"/>
        <w:adjustRightInd w:val="0"/>
        <w:jc w:val="center"/>
        <w:rPr>
          <w:color w:val="000000"/>
        </w:rPr>
      </w:pPr>
      <w:r w:rsidRPr="006E202D">
        <w:rPr>
          <w:color w:val="000000"/>
        </w:rPr>
        <w:t>Durée de l’épreuve : 3 heures - coefficient : 1</w:t>
      </w:r>
    </w:p>
    <w:p w:rsidR="00845C4C" w:rsidRPr="006E202D" w:rsidRDefault="00845C4C" w:rsidP="00845C4C">
      <w:pPr>
        <w:pBdr>
          <w:bottom w:val="single" w:sz="4" w:space="1" w:color="auto"/>
        </w:pBdr>
        <w:autoSpaceDE w:val="0"/>
        <w:autoSpaceDN w:val="0"/>
        <w:adjustRightInd w:val="0"/>
        <w:rPr>
          <w:color w:val="000000"/>
          <w:sz w:val="22"/>
          <w:szCs w:val="22"/>
        </w:rPr>
      </w:pPr>
    </w:p>
    <w:p w:rsidR="00845C4C" w:rsidRPr="006E202D" w:rsidRDefault="00845C4C" w:rsidP="00845C4C">
      <w:pPr>
        <w:autoSpaceDE w:val="0"/>
        <w:autoSpaceDN w:val="0"/>
        <w:adjustRightInd w:val="0"/>
        <w:rPr>
          <w:color w:val="000000"/>
          <w:sz w:val="22"/>
          <w:szCs w:val="22"/>
        </w:rPr>
      </w:pPr>
      <w:r w:rsidRPr="006E202D">
        <w:rPr>
          <w:color w:val="000000"/>
          <w:sz w:val="22"/>
          <w:szCs w:val="22"/>
        </w:rPr>
        <w:t>Document autorisé :</w:t>
      </w:r>
    </w:p>
    <w:p w:rsidR="00845C4C" w:rsidRPr="006E202D" w:rsidRDefault="00845C4C" w:rsidP="00845C4C">
      <w:pPr>
        <w:autoSpaceDE w:val="0"/>
        <w:autoSpaceDN w:val="0"/>
        <w:adjustRightInd w:val="0"/>
        <w:rPr>
          <w:b/>
          <w:bCs/>
          <w:color w:val="000000"/>
          <w:sz w:val="22"/>
          <w:szCs w:val="22"/>
        </w:rPr>
      </w:pPr>
      <w:r w:rsidRPr="006E202D">
        <w:rPr>
          <w:b/>
          <w:bCs/>
          <w:color w:val="000000"/>
          <w:sz w:val="22"/>
          <w:szCs w:val="22"/>
        </w:rPr>
        <w:t>Aucun</w:t>
      </w:r>
    </w:p>
    <w:p w:rsidR="00845C4C" w:rsidRPr="006E202D" w:rsidRDefault="00845C4C" w:rsidP="00845C4C">
      <w:pPr>
        <w:autoSpaceDE w:val="0"/>
        <w:autoSpaceDN w:val="0"/>
        <w:adjustRightInd w:val="0"/>
        <w:rPr>
          <w:b/>
          <w:bCs/>
          <w:color w:val="000000"/>
          <w:sz w:val="22"/>
          <w:szCs w:val="22"/>
        </w:rPr>
      </w:pPr>
    </w:p>
    <w:p w:rsidR="00845C4C" w:rsidRPr="006E202D" w:rsidRDefault="00845C4C" w:rsidP="00845C4C">
      <w:pPr>
        <w:autoSpaceDE w:val="0"/>
        <w:autoSpaceDN w:val="0"/>
        <w:adjustRightInd w:val="0"/>
        <w:rPr>
          <w:color w:val="000000"/>
          <w:sz w:val="22"/>
          <w:szCs w:val="22"/>
        </w:rPr>
      </w:pPr>
      <w:r w:rsidRPr="006E202D">
        <w:rPr>
          <w:color w:val="000000"/>
          <w:sz w:val="22"/>
          <w:szCs w:val="22"/>
        </w:rPr>
        <w:t>Matériel autorisé :</w:t>
      </w:r>
    </w:p>
    <w:p w:rsidR="00845C4C" w:rsidRPr="006E202D" w:rsidRDefault="00845C4C" w:rsidP="00C23667">
      <w:pPr>
        <w:autoSpaceDE w:val="0"/>
        <w:autoSpaceDN w:val="0"/>
        <w:adjustRightInd w:val="0"/>
        <w:jc w:val="both"/>
        <w:rPr>
          <w:b/>
          <w:bCs/>
          <w:color w:val="000000"/>
          <w:sz w:val="22"/>
          <w:szCs w:val="22"/>
        </w:rPr>
      </w:pPr>
      <w:r w:rsidRPr="006E202D">
        <w:rPr>
          <w:color w:val="000000"/>
          <w:sz w:val="22"/>
          <w:szCs w:val="22"/>
        </w:rPr>
        <w:t xml:space="preserve">Une calculatrice de poche </w:t>
      </w:r>
      <w:r w:rsidRPr="006E202D">
        <w:rPr>
          <w:b/>
          <w:bCs/>
          <w:color w:val="000000"/>
          <w:sz w:val="22"/>
          <w:szCs w:val="22"/>
        </w:rPr>
        <w:t>à fonctionnement autonome sans imprimante et sans aucun moyen de</w:t>
      </w:r>
      <w:r w:rsidR="00C23667">
        <w:rPr>
          <w:b/>
          <w:bCs/>
          <w:color w:val="000000"/>
          <w:sz w:val="22"/>
          <w:szCs w:val="22"/>
        </w:rPr>
        <w:t xml:space="preserve"> </w:t>
      </w:r>
      <w:r w:rsidRPr="006E202D">
        <w:rPr>
          <w:b/>
          <w:bCs/>
          <w:color w:val="000000"/>
          <w:sz w:val="22"/>
          <w:szCs w:val="22"/>
        </w:rPr>
        <w:t>transmission, à l’exclusion de tout autre élément matériel ou documentaire (circulaire n° 99-186 du 16/11/99 ; BOEN n° 42).</w:t>
      </w:r>
    </w:p>
    <w:p w:rsidR="00845C4C" w:rsidRPr="006E202D" w:rsidRDefault="00845C4C" w:rsidP="00845C4C">
      <w:pPr>
        <w:autoSpaceDE w:val="0"/>
        <w:autoSpaceDN w:val="0"/>
        <w:adjustRightInd w:val="0"/>
        <w:rPr>
          <w:color w:val="000000"/>
          <w:sz w:val="22"/>
          <w:szCs w:val="22"/>
        </w:rPr>
      </w:pPr>
    </w:p>
    <w:p w:rsidR="00845C4C" w:rsidRPr="006E202D" w:rsidRDefault="00845C4C" w:rsidP="00845C4C">
      <w:pPr>
        <w:autoSpaceDE w:val="0"/>
        <w:autoSpaceDN w:val="0"/>
        <w:adjustRightInd w:val="0"/>
        <w:rPr>
          <w:color w:val="000000"/>
          <w:sz w:val="22"/>
          <w:szCs w:val="22"/>
        </w:rPr>
      </w:pPr>
      <w:r w:rsidRPr="006E202D">
        <w:rPr>
          <w:color w:val="000000"/>
          <w:sz w:val="22"/>
          <w:szCs w:val="22"/>
        </w:rPr>
        <w:t>Document remis au candidat :</w:t>
      </w:r>
    </w:p>
    <w:p w:rsidR="00845C4C" w:rsidRPr="006E202D" w:rsidRDefault="00845C4C" w:rsidP="00845C4C">
      <w:pPr>
        <w:autoSpaceDE w:val="0"/>
        <w:autoSpaceDN w:val="0"/>
        <w:adjustRightInd w:val="0"/>
        <w:rPr>
          <w:b/>
          <w:bCs/>
          <w:color w:val="000000"/>
          <w:sz w:val="22"/>
          <w:szCs w:val="22"/>
        </w:rPr>
      </w:pPr>
      <w:r w:rsidRPr="006E202D">
        <w:rPr>
          <w:b/>
          <w:bCs/>
          <w:color w:val="000000"/>
          <w:sz w:val="22"/>
          <w:szCs w:val="22"/>
        </w:rPr>
        <w:t xml:space="preserve">Le sujet comporte </w:t>
      </w:r>
      <w:r w:rsidR="0096777C">
        <w:rPr>
          <w:b/>
          <w:bCs/>
          <w:color w:val="000000"/>
          <w:sz w:val="22"/>
          <w:szCs w:val="22"/>
        </w:rPr>
        <w:t xml:space="preserve">10 </w:t>
      </w:r>
      <w:r w:rsidRPr="006E202D">
        <w:rPr>
          <w:b/>
          <w:bCs/>
          <w:color w:val="000000"/>
          <w:sz w:val="22"/>
          <w:szCs w:val="22"/>
        </w:rPr>
        <w:t xml:space="preserve">pages numérotées de </w:t>
      </w:r>
      <w:r w:rsidR="0096777C">
        <w:rPr>
          <w:b/>
          <w:bCs/>
          <w:color w:val="000000"/>
          <w:sz w:val="22"/>
          <w:szCs w:val="22"/>
        </w:rPr>
        <w:t>1</w:t>
      </w:r>
      <w:r w:rsidR="00480B46">
        <w:rPr>
          <w:b/>
          <w:bCs/>
          <w:color w:val="000000"/>
          <w:sz w:val="22"/>
          <w:szCs w:val="22"/>
        </w:rPr>
        <w:t>/10</w:t>
      </w:r>
      <w:r w:rsidR="0096777C">
        <w:rPr>
          <w:b/>
          <w:bCs/>
          <w:color w:val="000000"/>
          <w:sz w:val="22"/>
          <w:szCs w:val="22"/>
        </w:rPr>
        <w:t xml:space="preserve"> à 10</w:t>
      </w:r>
      <w:r w:rsidR="00480B46">
        <w:rPr>
          <w:b/>
          <w:bCs/>
          <w:color w:val="000000"/>
          <w:sz w:val="22"/>
          <w:szCs w:val="22"/>
        </w:rPr>
        <w:t>/10</w:t>
      </w:r>
      <w:r w:rsidR="0096777C">
        <w:rPr>
          <w:b/>
          <w:bCs/>
          <w:color w:val="000000"/>
          <w:sz w:val="22"/>
          <w:szCs w:val="22"/>
        </w:rPr>
        <w:t>.</w:t>
      </w:r>
    </w:p>
    <w:p w:rsidR="00845C4C" w:rsidRPr="006E202D" w:rsidRDefault="00845C4C" w:rsidP="00845C4C">
      <w:pPr>
        <w:autoSpaceDE w:val="0"/>
        <w:autoSpaceDN w:val="0"/>
        <w:adjustRightInd w:val="0"/>
        <w:rPr>
          <w:color w:val="000000"/>
          <w:sz w:val="22"/>
          <w:szCs w:val="22"/>
        </w:rPr>
      </w:pPr>
    </w:p>
    <w:p w:rsidR="00845C4C" w:rsidRPr="006E202D" w:rsidRDefault="00845C4C" w:rsidP="00845C4C">
      <w:pPr>
        <w:autoSpaceDE w:val="0"/>
        <w:autoSpaceDN w:val="0"/>
        <w:adjustRightInd w:val="0"/>
        <w:rPr>
          <w:color w:val="000000"/>
          <w:sz w:val="22"/>
          <w:szCs w:val="22"/>
        </w:rPr>
      </w:pPr>
      <w:r w:rsidRPr="006E202D">
        <w:rPr>
          <w:color w:val="000000"/>
          <w:sz w:val="22"/>
          <w:szCs w:val="22"/>
        </w:rPr>
        <w:t>Il vous est demandé de vérifier que le sujet est complet dès sa mise à votre disposition.</w:t>
      </w:r>
    </w:p>
    <w:p w:rsidR="00845C4C" w:rsidRPr="006E202D" w:rsidRDefault="00845C4C" w:rsidP="00845C4C">
      <w:pPr>
        <w:pBdr>
          <w:bottom w:val="single" w:sz="4" w:space="1" w:color="auto"/>
        </w:pBdr>
        <w:autoSpaceDE w:val="0"/>
        <w:autoSpaceDN w:val="0"/>
        <w:adjustRightInd w:val="0"/>
        <w:rPr>
          <w:b/>
          <w:bCs/>
          <w:i/>
          <w:iCs/>
          <w:color w:val="000000"/>
          <w:sz w:val="22"/>
          <w:szCs w:val="22"/>
        </w:rPr>
      </w:pPr>
    </w:p>
    <w:p w:rsidR="00845C4C" w:rsidRPr="006E202D" w:rsidRDefault="00845C4C" w:rsidP="00845C4C">
      <w:pPr>
        <w:autoSpaceDE w:val="0"/>
        <w:autoSpaceDN w:val="0"/>
        <w:adjustRightInd w:val="0"/>
        <w:jc w:val="center"/>
        <w:rPr>
          <w:b/>
          <w:bCs/>
          <w:i/>
          <w:iCs/>
          <w:color w:val="000000"/>
          <w:sz w:val="22"/>
          <w:szCs w:val="22"/>
        </w:rPr>
      </w:pPr>
      <w:r w:rsidRPr="006E202D">
        <w:rPr>
          <w:b/>
          <w:bCs/>
          <w:i/>
          <w:iCs/>
          <w:color w:val="000000"/>
          <w:sz w:val="22"/>
          <w:szCs w:val="22"/>
        </w:rPr>
        <w:t>Le sujet se présente sous la forme de deux dossiers indépendants</w:t>
      </w:r>
    </w:p>
    <w:p w:rsidR="00845C4C" w:rsidRPr="006E202D" w:rsidRDefault="00845C4C" w:rsidP="00845C4C">
      <w:pPr>
        <w:autoSpaceDE w:val="0"/>
        <w:autoSpaceDN w:val="0"/>
        <w:adjustRightInd w:val="0"/>
        <w:rPr>
          <w:color w:val="000000"/>
          <w:sz w:val="22"/>
          <w:szCs w:val="22"/>
        </w:rPr>
      </w:pPr>
      <w:r w:rsidRPr="006E202D">
        <w:rPr>
          <w:b/>
          <w:bCs/>
          <w:color w:val="000000"/>
          <w:sz w:val="22"/>
          <w:szCs w:val="22"/>
        </w:rPr>
        <w:t xml:space="preserve">Page de garde </w:t>
      </w:r>
      <w:r w:rsidRPr="006E202D">
        <w:rPr>
          <w:color w:val="000000"/>
          <w:sz w:val="22"/>
          <w:szCs w:val="22"/>
        </w:rPr>
        <w:t xml:space="preserve">.......................................................................................................... </w:t>
      </w:r>
      <w:r w:rsidR="006E202D">
        <w:rPr>
          <w:color w:val="000000"/>
          <w:sz w:val="22"/>
          <w:szCs w:val="22"/>
        </w:rPr>
        <w:t>…………</w:t>
      </w:r>
      <w:r w:rsidR="00E67101">
        <w:rPr>
          <w:color w:val="000000"/>
          <w:sz w:val="22"/>
          <w:szCs w:val="22"/>
        </w:rPr>
        <w:t>…..</w:t>
      </w:r>
      <w:r w:rsidRPr="006E202D">
        <w:rPr>
          <w:color w:val="000000"/>
          <w:sz w:val="22"/>
          <w:szCs w:val="22"/>
        </w:rPr>
        <w:t>page 1</w:t>
      </w:r>
    </w:p>
    <w:p w:rsidR="00845C4C" w:rsidRPr="006E202D" w:rsidRDefault="00845C4C" w:rsidP="00845C4C">
      <w:pPr>
        <w:autoSpaceDE w:val="0"/>
        <w:autoSpaceDN w:val="0"/>
        <w:adjustRightInd w:val="0"/>
        <w:rPr>
          <w:color w:val="000080"/>
          <w:sz w:val="22"/>
          <w:szCs w:val="22"/>
        </w:rPr>
      </w:pPr>
      <w:r w:rsidRPr="006E202D">
        <w:rPr>
          <w:b/>
          <w:bCs/>
          <w:color w:val="000000"/>
          <w:sz w:val="22"/>
          <w:szCs w:val="22"/>
        </w:rPr>
        <w:t xml:space="preserve">DOSSIER 1 - </w:t>
      </w:r>
      <w:r w:rsidRPr="006E202D">
        <w:rPr>
          <w:color w:val="000000"/>
          <w:sz w:val="22"/>
          <w:szCs w:val="22"/>
        </w:rPr>
        <w:t xml:space="preserve">Étude de cas  (75 points, soit 15/20) ......................... </w:t>
      </w:r>
      <w:r w:rsidR="00E67101">
        <w:rPr>
          <w:color w:val="000000"/>
          <w:sz w:val="22"/>
          <w:szCs w:val="22"/>
        </w:rPr>
        <w:t>…………………………….</w:t>
      </w:r>
      <w:r w:rsidRPr="006E202D">
        <w:rPr>
          <w:color w:val="000000"/>
          <w:sz w:val="22"/>
          <w:szCs w:val="22"/>
        </w:rPr>
        <w:t xml:space="preserve">page </w:t>
      </w:r>
      <w:r w:rsidRPr="006E202D">
        <w:rPr>
          <w:color w:val="000080"/>
          <w:sz w:val="22"/>
          <w:szCs w:val="22"/>
        </w:rPr>
        <w:t>2</w:t>
      </w:r>
    </w:p>
    <w:p w:rsidR="00845C4C" w:rsidRPr="006E202D" w:rsidRDefault="00845C4C" w:rsidP="00A00C97">
      <w:pPr>
        <w:pBdr>
          <w:bottom w:val="single" w:sz="12" w:space="1" w:color="auto"/>
        </w:pBdr>
        <w:autoSpaceDE w:val="0"/>
        <w:autoSpaceDN w:val="0"/>
        <w:adjustRightInd w:val="0"/>
        <w:rPr>
          <w:color w:val="000000"/>
          <w:sz w:val="22"/>
          <w:szCs w:val="22"/>
        </w:rPr>
      </w:pPr>
      <w:r w:rsidRPr="006E202D">
        <w:rPr>
          <w:b/>
          <w:bCs/>
          <w:color w:val="000000"/>
          <w:sz w:val="22"/>
          <w:szCs w:val="22"/>
        </w:rPr>
        <w:t xml:space="preserve">DOSSIER 2 - </w:t>
      </w:r>
      <w:r w:rsidRPr="006E202D">
        <w:rPr>
          <w:color w:val="000000"/>
          <w:sz w:val="22"/>
          <w:szCs w:val="22"/>
        </w:rPr>
        <w:t xml:space="preserve">Réflexion sur </w:t>
      </w:r>
      <w:r w:rsidR="00C23667">
        <w:rPr>
          <w:color w:val="000000"/>
          <w:sz w:val="22"/>
          <w:szCs w:val="22"/>
        </w:rPr>
        <w:t xml:space="preserve">la </w:t>
      </w:r>
      <w:r w:rsidR="00A00C97">
        <w:rPr>
          <w:color w:val="000000"/>
          <w:sz w:val="22"/>
          <w:szCs w:val="22"/>
        </w:rPr>
        <w:t>s</w:t>
      </w:r>
      <w:r w:rsidR="00A00C97" w:rsidRPr="00A00C97">
        <w:rPr>
          <w:sz w:val="22"/>
          <w:szCs w:val="22"/>
        </w:rPr>
        <w:t>tructure financière</w:t>
      </w:r>
      <w:r w:rsidR="00A00C97">
        <w:rPr>
          <w:sz w:val="22"/>
          <w:szCs w:val="22"/>
        </w:rPr>
        <w:t xml:space="preserve">  </w:t>
      </w:r>
      <w:r w:rsidRPr="006E202D">
        <w:rPr>
          <w:color w:val="000000"/>
          <w:sz w:val="22"/>
          <w:szCs w:val="22"/>
        </w:rPr>
        <w:t>(25 points, soit 5/20) ......................</w:t>
      </w:r>
      <w:r w:rsidR="00A00C97">
        <w:rPr>
          <w:color w:val="000000"/>
          <w:sz w:val="22"/>
          <w:szCs w:val="22"/>
        </w:rPr>
        <w:t>..</w:t>
      </w:r>
      <w:r w:rsidR="00C23667">
        <w:rPr>
          <w:color w:val="000000"/>
          <w:sz w:val="22"/>
          <w:szCs w:val="22"/>
        </w:rPr>
        <w:t>.</w:t>
      </w:r>
      <w:r w:rsidR="00A00C97">
        <w:rPr>
          <w:color w:val="000000"/>
          <w:sz w:val="22"/>
          <w:szCs w:val="22"/>
        </w:rPr>
        <w:t>...........page 3</w:t>
      </w:r>
    </w:p>
    <w:p w:rsidR="00B22E0A" w:rsidRDefault="00B22E0A" w:rsidP="00845C4C">
      <w:pPr>
        <w:autoSpaceDE w:val="0"/>
        <w:autoSpaceDN w:val="0"/>
        <w:adjustRightInd w:val="0"/>
        <w:jc w:val="center"/>
        <w:rPr>
          <w:b/>
          <w:bCs/>
          <w:i/>
          <w:iCs/>
          <w:color w:val="000000"/>
          <w:sz w:val="22"/>
          <w:szCs w:val="22"/>
        </w:rPr>
      </w:pPr>
    </w:p>
    <w:p w:rsidR="00845C4C" w:rsidRPr="006E202D" w:rsidRDefault="00845C4C" w:rsidP="00845C4C">
      <w:pPr>
        <w:autoSpaceDE w:val="0"/>
        <w:autoSpaceDN w:val="0"/>
        <w:adjustRightInd w:val="0"/>
        <w:jc w:val="center"/>
        <w:rPr>
          <w:b/>
          <w:bCs/>
          <w:i/>
          <w:iCs/>
          <w:color w:val="000000"/>
          <w:sz w:val="22"/>
          <w:szCs w:val="22"/>
        </w:rPr>
      </w:pPr>
      <w:r w:rsidRPr="006E202D">
        <w:rPr>
          <w:b/>
          <w:bCs/>
          <w:i/>
          <w:iCs/>
          <w:color w:val="000000"/>
          <w:sz w:val="22"/>
          <w:szCs w:val="22"/>
        </w:rPr>
        <w:t>Le sujet comporte les annexes suivantes</w:t>
      </w:r>
    </w:p>
    <w:p w:rsidR="00845C4C" w:rsidRPr="006E202D" w:rsidRDefault="00845C4C" w:rsidP="00845C4C">
      <w:pPr>
        <w:autoSpaceDE w:val="0"/>
        <w:autoSpaceDN w:val="0"/>
        <w:adjustRightInd w:val="0"/>
        <w:rPr>
          <w:b/>
          <w:bCs/>
          <w:color w:val="000000"/>
          <w:sz w:val="22"/>
          <w:szCs w:val="22"/>
        </w:rPr>
      </w:pPr>
      <w:r w:rsidRPr="006E202D">
        <w:rPr>
          <w:b/>
          <w:bCs/>
          <w:color w:val="000000"/>
          <w:sz w:val="22"/>
          <w:szCs w:val="22"/>
        </w:rPr>
        <w:t>DOSSIER 1</w:t>
      </w:r>
    </w:p>
    <w:p w:rsidR="00845C4C" w:rsidRPr="006E202D" w:rsidRDefault="00845C4C" w:rsidP="00845C4C">
      <w:pPr>
        <w:autoSpaceDE w:val="0"/>
        <w:autoSpaceDN w:val="0"/>
        <w:adjustRightInd w:val="0"/>
        <w:rPr>
          <w:color w:val="000000"/>
          <w:sz w:val="22"/>
          <w:szCs w:val="22"/>
        </w:rPr>
      </w:pPr>
      <w:r w:rsidRPr="006E202D">
        <w:rPr>
          <w:color w:val="000000"/>
          <w:sz w:val="22"/>
          <w:szCs w:val="22"/>
        </w:rPr>
        <w:t xml:space="preserve">Annexe 1 – Comptes consolidés de Phone Solving (2007-2009) en K€……………… </w:t>
      </w:r>
      <w:r w:rsidR="00E67101">
        <w:rPr>
          <w:color w:val="000000"/>
          <w:sz w:val="22"/>
          <w:szCs w:val="22"/>
        </w:rPr>
        <w:t>…………</w:t>
      </w:r>
      <w:r w:rsidRPr="006E202D">
        <w:rPr>
          <w:color w:val="000000"/>
          <w:sz w:val="22"/>
          <w:szCs w:val="22"/>
        </w:rPr>
        <w:t>page</w:t>
      </w:r>
      <w:r w:rsidR="00E67101">
        <w:rPr>
          <w:color w:val="000000"/>
          <w:sz w:val="22"/>
          <w:szCs w:val="22"/>
        </w:rPr>
        <w:t xml:space="preserve"> 4</w:t>
      </w:r>
      <w:r w:rsidRPr="006E202D">
        <w:rPr>
          <w:color w:val="000000"/>
          <w:sz w:val="22"/>
          <w:szCs w:val="22"/>
        </w:rPr>
        <w:t xml:space="preserve"> </w:t>
      </w:r>
    </w:p>
    <w:p w:rsidR="00845C4C" w:rsidRPr="006E202D" w:rsidRDefault="00845C4C" w:rsidP="00845C4C">
      <w:pPr>
        <w:autoSpaceDE w:val="0"/>
        <w:autoSpaceDN w:val="0"/>
        <w:adjustRightInd w:val="0"/>
        <w:rPr>
          <w:color w:val="000000"/>
          <w:sz w:val="22"/>
          <w:szCs w:val="22"/>
        </w:rPr>
      </w:pPr>
      <w:r w:rsidRPr="006E202D">
        <w:rPr>
          <w:color w:val="000000"/>
          <w:sz w:val="22"/>
          <w:szCs w:val="22"/>
        </w:rPr>
        <w:t>Annexe 2 –</w:t>
      </w:r>
      <w:r w:rsidR="00C23667">
        <w:rPr>
          <w:color w:val="000000"/>
          <w:sz w:val="22"/>
          <w:szCs w:val="22"/>
        </w:rPr>
        <w:t xml:space="preserve"> </w:t>
      </w:r>
      <w:r w:rsidRPr="006E202D">
        <w:rPr>
          <w:color w:val="000000"/>
          <w:sz w:val="22"/>
          <w:szCs w:val="22"/>
        </w:rPr>
        <w:t>Extraits de l’analyse financière de la société Phone Solving en 2009............ …</w:t>
      </w:r>
      <w:r w:rsidR="00E67101">
        <w:rPr>
          <w:color w:val="000000"/>
          <w:sz w:val="22"/>
          <w:szCs w:val="22"/>
        </w:rPr>
        <w:t>…….</w:t>
      </w:r>
      <w:r w:rsidRPr="006E202D">
        <w:rPr>
          <w:color w:val="000000"/>
          <w:sz w:val="22"/>
          <w:szCs w:val="22"/>
        </w:rPr>
        <w:t>page</w:t>
      </w:r>
      <w:r w:rsidR="00E67101">
        <w:rPr>
          <w:color w:val="000000"/>
          <w:sz w:val="22"/>
          <w:szCs w:val="22"/>
        </w:rPr>
        <w:t xml:space="preserve"> 5</w:t>
      </w:r>
      <w:r w:rsidRPr="006E202D">
        <w:rPr>
          <w:color w:val="000000"/>
          <w:sz w:val="22"/>
          <w:szCs w:val="22"/>
        </w:rPr>
        <w:t xml:space="preserve"> Annexe 3 –</w:t>
      </w:r>
      <w:r w:rsidR="00C23667">
        <w:rPr>
          <w:color w:val="000000"/>
          <w:sz w:val="22"/>
          <w:szCs w:val="22"/>
        </w:rPr>
        <w:t xml:space="preserve"> </w:t>
      </w:r>
      <w:r w:rsidRPr="006E202D">
        <w:rPr>
          <w:color w:val="000000"/>
          <w:sz w:val="22"/>
          <w:szCs w:val="22"/>
        </w:rPr>
        <w:t>Informations relatives au coût du capital</w:t>
      </w:r>
      <w:r w:rsidR="00C65D19">
        <w:rPr>
          <w:color w:val="000000"/>
          <w:sz w:val="22"/>
          <w:szCs w:val="22"/>
        </w:rPr>
        <w:t xml:space="preserve"> </w:t>
      </w:r>
      <w:r w:rsidRPr="006E202D">
        <w:rPr>
          <w:color w:val="000000"/>
          <w:sz w:val="22"/>
          <w:szCs w:val="22"/>
        </w:rPr>
        <w:t>de la société Phone Solving………....</w:t>
      </w:r>
      <w:r w:rsidR="00E67101">
        <w:rPr>
          <w:color w:val="000000"/>
          <w:sz w:val="22"/>
          <w:szCs w:val="22"/>
        </w:rPr>
        <w:t>........</w:t>
      </w:r>
      <w:r w:rsidR="00C65D19">
        <w:rPr>
          <w:color w:val="000000"/>
          <w:sz w:val="22"/>
          <w:szCs w:val="22"/>
        </w:rPr>
        <w:t>.</w:t>
      </w:r>
      <w:r w:rsidRPr="006E202D">
        <w:rPr>
          <w:color w:val="000000"/>
          <w:sz w:val="22"/>
          <w:szCs w:val="22"/>
        </w:rPr>
        <w:t>page</w:t>
      </w:r>
      <w:r w:rsidR="00E67101">
        <w:rPr>
          <w:color w:val="000000"/>
          <w:sz w:val="22"/>
          <w:szCs w:val="22"/>
        </w:rPr>
        <w:t xml:space="preserve"> 5</w:t>
      </w:r>
      <w:r w:rsidRPr="006E202D">
        <w:rPr>
          <w:color w:val="000000"/>
          <w:sz w:val="22"/>
          <w:szCs w:val="22"/>
        </w:rPr>
        <w:t xml:space="preserve"> </w:t>
      </w:r>
    </w:p>
    <w:p w:rsidR="00845C4C" w:rsidRPr="006E202D" w:rsidRDefault="00845C4C" w:rsidP="00845C4C">
      <w:pPr>
        <w:autoSpaceDE w:val="0"/>
        <w:autoSpaceDN w:val="0"/>
        <w:adjustRightInd w:val="0"/>
        <w:rPr>
          <w:color w:val="000000"/>
          <w:sz w:val="22"/>
          <w:szCs w:val="22"/>
        </w:rPr>
      </w:pPr>
      <w:r w:rsidRPr="006E202D">
        <w:rPr>
          <w:color w:val="000000"/>
          <w:sz w:val="22"/>
          <w:szCs w:val="22"/>
        </w:rPr>
        <w:t>Annexe 4 –</w:t>
      </w:r>
      <w:r w:rsidR="00C23667">
        <w:rPr>
          <w:color w:val="000000"/>
          <w:sz w:val="22"/>
          <w:szCs w:val="22"/>
        </w:rPr>
        <w:t xml:space="preserve"> </w:t>
      </w:r>
      <w:r w:rsidRPr="006E202D">
        <w:rPr>
          <w:color w:val="000000"/>
          <w:sz w:val="22"/>
          <w:szCs w:val="22"/>
        </w:rPr>
        <w:t xml:space="preserve">OPE de </w:t>
      </w:r>
      <w:proofErr w:type="spellStart"/>
      <w:r w:rsidRPr="006E202D">
        <w:rPr>
          <w:color w:val="000000"/>
          <w:sz w:val="22"/>
          <w:szCs w:val="22"/>
        </w:rPr>
        <w:t>Calling</w:t>
      </w:r>
      <w:proofErr w:type="spellEnd"/>
      <w:r w:rsidRPr="006E202D">
        <w:rPr>
          <w:color w:val="000000"/>
          <w:sz w:val="22"/>
          <w:szCs w:val="22"/>
        </w:rPr>
        <w:t xml:space="preserve"> Corporation sur Phone Solving………………………</w:t>
      </w:r>
      <w:r w:rsidR="00C65D19">
        <w:rPr>
          <w:color w:val="000000"/>
          <w:sz w:val="22"/>
          <w:szCs w:val="22"/>
        </w:rPr>
        <w:t>……………...</w:t>
      </w:r>
      <w:r w:rsidRPr="006E202D">
        <w:rPr>
          <w:color w:val="000000"/>
          <w:sz w:val="22"/>
          <w:szCs w:val="22"/>
        </w:rPr>
        <w:t>page</w:t>
      </w:r>
      <w:r w:rsidR="00E67101">
        <w:rPr>
          <w:color w:val="000000"/>
          <w:sz w:val="22"/>
          <w:szCs w:val="22"/>
        </w:rPr>
        <w:t xml:space="preserve"> 6</w:t>
      </w:r>
      <w:r w:rsidRPr="006E202D">
        <w:rPr>
          <w:color w:val="000000"/>
          <w:sz w:val="22"/>
          <w:szCs w:val="22"/>
        </w:rPr>
        <w:t xml:space="preserve"> </w:t>
      </w:r>
    </w:p>
    <w:p w:rsidR="00845C4C" w:rsidRPr="006E202D" w:rsidRDefault="00C23667" w:rsidP="00845C4C">
      <w:pPr>
        <w:autoSpaceDE w:val="0"/>
        <w:autoSpaceDN w:val="0"/>
        <w:adjustRightInd w:val="0"/>
        <w:rPr>
          <w:color w:val="000000"/>
          <w:sz w:val="22"/>
          <w:szCs w:val="22"/>
        </w:rPr>
      </w:pPr>
      <w:r>
        <w:rPr>
          <w:color w:val="000000"/>
          <w:sz w:val="22"/>
          <w:szCs w:val="22"/>
        </w:rPr>
        <w:t xml:space="preserve">Annexe 5 </w:t>
      </w:r>
      <w:r w:rsidRPr="006E202D">
        <w:rPr>
          <w:color w:val="000000"/>
          <w:sz w:val="22"/>
          <w:szCs w:val="22"/>
        </w:rPr>
        <w:t>–</w:t>
      </w:r>
      <w:r>
        <w:rPr>
          <w:color w:val="000000"/>
          <w:sz w:val="22"/>
          <w:szCs w:val="22"/>
        </w:rPr>
        <w:t xml:space="preserve"> </w:t>
      </w:r>
      <w:r w:rsidR="00845C4C" w:rsidRPr="006E202D">
        <w:rPr>
          <w:color w:val="000000"/>
          <w:sz w:val="22"/>
          <w:szCs w:val="22"/>
        </w:rPr>
        <w:t>Risqu</w:t>
      </w:r>
      <w:r>
        <w:rPr>
          <w:color w:val="000000"/>
          <w:sz w:val="22"/>
          <w:szCs w:val="22"/>
        </w:rPr>
        <w:t>e de change ...................</w:t>
      </w:r>
      <w:r w:rsidR="00845C4C" w:rsidRPr="006E202D">
        <w:rPr>
          <w:color w:val="000000"/>
          <w:sz w:val="22"/>
          <w:szCs w:val="22"/>
        </w:rPr>
        <w:t>...................................... ………………</w:t>
      </w:r>
      <w:r w:rsidR="00C65D19">
        <w:rPr>
          <w:color w:val="000000"/>
          <w:sz w:val="22"/>
          <w:szCs w:val="22"/>
        </w:rPr>
        <w:t>……………...</w:t>
      </w:r>
      <w:r w:rsidR="00845C4C" w:rsidRPr="006E202D">
        <w:rPr>
          <w:color w:val="000000"/>
          <w:sz w:val="22"/>
          <w:szCs w:val="22"/>
        </w:rPr>
        <w:t>page</w:t>
      </w:r>
      <w:r w:rsidR="00E67101">
        <w:rPr>
          <w:color w:val="000000"/>
          <w:sz w:val="22"/>
          <w:szCs w:val="22"/>
        </w:rPr>
        <w:t xml:space="preserve"> 7</w:t>
      </w:r>
      <w:r w:rsidR="00845C4C" w:rsidRPr="006E202D">
        <w:rPr>
          <w:color w:val="000000"/>
          <w:sz w:val="22"/>
          <w:szCs w:val="22"/>
        </w:rPr>
        <w:t xml:space="preserve"> </w:t>
      </w:r>
    </w:p>
    <w:p w:rsidR="00B22E0A" w:rsidRDefault="00B22E0A" w:rsidP="00845C4C">
      <w:pPr>
        <w:autoSpaceDE w:val="0"/>
        <w:autoSpaceDN w:val="0"/>
        <w:adjustRightInd w:val="0"/>
        <w:rPr>
          <w:b/>
          <w:bCs/>
          <w:color w:val="000000"/>
          <w:sz w:val="22"/>
          <w:szCs w:val="22"/>
        </w:rPr>
      </w:pPr>
    </w:p>
    <w:p w:rsidR="00845C4C" w:rsidRPr="006E202D" w:rsidRDefault="00845C4C" w:rsidP="00845C4C">
      <w:pPr>
        <w:autoSpaceDE w:val="0"/>
        <w:autoSpaceDN w:val="0"/>
        <w:adjustRightInd w:val="0"/>
        <w:rPr>
          <w:b/>
          <w:bCs/>
          <w:color w:val="000000"/>
          <w:sz w:val="22"/>
          <w:szCs w:val="22"/>
        </w:rPr>
      </w:pPr>
      <w:r w:rsidRPr="006E202D">
        <w:rPr>
          <w:b/>
          <w:bCs/>
          <w:color w:val="000000"/>
          <w:sz w:val="22"/>
          <w:szCs w:val="22"/>
        </w:rPr>
        <w:t>DOSSIER 2</w:t>
      </w:r>
      <w:r w:rsidR="00C23667">
        <w:rPr>
          <w:b/>
          <w:bCs/>
          <w:color w:val="000000"/>
          <w:sz w:val="22"/>
          <w:szCs w:val="22"/>
        </w:rPr>
        <w:t xml:space="preserve"> </w:t>
      </w:r>
    </w:p>
    <w:p w:rsidR="00845C4C" w:rsidRPr="006E202D" w:rsidRDefault="00845C4C" w:rsidP="00C65D19">
      <w:pPr>
        <w:autoSpaceDE w:val="0"/>
        <w:autoSpaceDN w:val="0"/>
        <w:adjustRightInd w:val="0"/>
        <w:rPr>
          <w:color w:val="000000"/>
          <w:sz w:val="22"/>
          <w:szCs w:val="22"/>
        </w:rPr>
      </w:pPr>
      <w:r w:rsidRPr="006E202D">
        <w:rPr>
          <w:color w:val="000000"/>
          <w:sz w:val="22"/>
          <w:szCs w:val="22"/>
        </w:rPr>
        <w:t>Annexe 6 –La création de valeur actionnariale .................................................................. …</w:t>
      </w:r>
      <w:r w:rsidR="00C65D19">
        <w:rPr>
          <w:color w:val="000000"/>
          <w:sz w:val="22"/>
          <w:szCs w:val="22"/>
        </w:rPr>
        <w:t>…...</w:t>
      </w:r>
      <w:r w:rsidRPr="006E202D">
        <w:rPr>
          <w:color w:val="000000"/>
          <w:sz w:val="22"/>
          <w:szCs w:val="22"/>
        </w:rPr>
        <w:t xml:space="preserve">page </w:t>
      </w:r>
      <w:r w:rsidR="00C65D19">
        <w:rPr>
          <w:color w:val="000000"/>
          <w:sz w:val="22"/>
          <w:szCs w:val="22"/>
        </w:rPr>
        <w:t>7</w:t>
      </w:r>
    </w:p>
    <w:p w:rsidR="00845C4C" w:rsidRPr="006E202D" w:rsidRDefault="00845C4C" w:rsidP="00C65D19">
      <w:pPr>
        <w:autoSpaceDE w:val="0"/>
        <w:autoSpaceDN w:val="0"/>
        <w:adjustRightInd w:val="0"/>
        <w:rPr>
          <w:color w:val="000000"/>
          <w:sz w:val="22"/>
          <w:szCs w:val="22"/>
        </w:rPr>
      </w:pPr>
      <w:r w:rsidRPr="006E202D">
        <w:rPr>
          <w:color w:val="000000"/>
          <w:sz w:val="22"/>
          <w:szCs w:val="22"/>
        </w:rPr>
        <w:t>Annexe 7 – La structure financière du capital ……………………...</w:t>
      </w:r>
      <w:r w:rsidR="00C65D19">
        <w:rPr>
          <w:color w:val="000000"/>
          <w:sz w:val="22"/>
          <w:szCs w:val="22"/>
        </w:rPr>
        <w:t>.............................................</w:t>
      </w:r>
      <w:r w:rsidRPr="006E202D">
        <w:rPr>
          <w:color w:val="000000"/>
          <w:sz w:val="22"/>
          <w:szCs w:val="22"/>
        </w:rPr>
        <w:t xml:space="preserve">page </w:t>
      </w:r>
      <w:r w:rsidR="00C65D19">
        <w:rPr>
          <w:color w:val="000000"/>
          <w:sz w:val="22"/>
          <w:szCs w:val="22"/>
        </w:rPr>
        <w:t>9</w:t>
      </w:r>
    </w:p>
    <w:p w:rsidR="00845C4C" w:rsidRPr="006E202D" w:rsidRDefault="00845C4C" w:rsidP="00845C4C">
      <w:pPr>
        <w:autoSpaceDE w:val="0"/>
        <w:autoSpaceDN w:val="0"/>
        <w:adjustRightInd w:val="0"/>
        <w:rPr>
          <w:b/>
          <w:bCs/>
          <w:color w:val="000000"/>
          <w:sz w:val="22"/>
          <w:szCs w:val="22"/>
        </w:rPr>
      </w:pPr>
    </w:p>
    <w:p w:rsidR="00845C4C" w:rsidRPr="006E202D" w:rsidRDefault="00845C4C" w:rsidP="00845C4C">
      <w:pPr>
        <w:autoSpaceDE w:val="0"/>
        <w:autoSpaceDN w:val="0"/>
        <w:adjustRightInd w:val="0"/>
        <w:rPr>
          <w:b/>
          <w:bCs/>
          <w:color w:val="000000"/>
          <w:sz w:val="22"/>
          <w:szCs w:val="22"/>
        </w:rPr>
      </w:pPr>
    </w:p>
    <w:p w:rsidR="00845C4C" w:rsidRPr="006E202D" w:rsidRDefault="00845C4C" w:rsidP="00845C4C">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22"/>
          <w:szCs w:val="22"/>
          <w:u w:val="single"/>
        </w:rPr>
      </w:pPr>
      <w:r w:rsidRPr="006E202D">
        <w:rPr>
          <w:b/>
          <w:bCs/>
          <w:color w:val="000000"/>
          <w:sz w:val="22"/>
          <w:szCs w:val="22"/>
          <w:u w:val="single"/>
        </w:rPr>
        <w:t>AVERTISSEMENT</w:t>
      </w:r>
    </w:p>
    <w:p w:rsidR="00845C4C" w:rsidRPr="00C23667" w:rsidRDefault="00845C4C" w:rsidP="00C23667">
      <w:pPr>
        <w:pBdr>
          <w:top w:val="single" w:sz="4" w:space="1" w:color="auto"/>
          <w:left w:val="single" w:sz="4" w:space="4" w:color="auto"/>
          <w:bottom w:val="single" w:sz="4" w:space="1" w:color="auto"/>
          <w:right w:val="single" w:sz="4" w:space="4" w:color="auto"/>
        </w:pBdr>
        <w:autoSpaceDE w:val="0"/>
        <w:autoSpaceDN w:val="0"/>
        <w:adjustRightInd w:val="0"/>
        <w:jc w:val="center"/>
        <w:rPr>
          <w:b/>
          <w:bCs/>
          <w:color w:val="000000"/>
          <w:sz w:val="22"/>
          <w:szCs w:val="22"/>
        </w:rPr>
      </w:pPr>
      <w:r w:rsidRPr="006E202D">
        <w:rPr>
          <w:b/>
          <w:bCs/>
          <w:color w:val="000000"/>
          <w:sz w:val="22"/>
          <w:szCs w:val="22"/>
        </w:rPr>
        <w:t>Si le texte du sujet, de ses questions ou de ses annexes, vous conduit à formuler une ou plusieurs</w:t>
      </w:r>
      <w:r w:rsidR="00C23667">
        <w:rPr>
          <w:b/>
          <w:bCs/>
          <w:color w:val="000000"/>
          <w:sz w:val="22"/>
          <w:szCs w:val="22"/>
        </w:rPr>
        <w:t xml:space="preserve"> </w:t>
      </w:r>
      <w:r w:rsidRPr="006E202D">
        <w:rPr>
          <w:b/>
          <w:bCs/>
          <w:color w:val="000000"/>
          <w:sz w:val="22"/>
          <w:szCs w:val="22"/>
        </w:rPr>
        <w:t>hypothèses, il vous est demandé de la (ou les) mentionner explicitement dans votre copie.</w:t>
      </w:r>
    </w:p>
    <w:p w:rsidR="00845C4C" w:rsidRPr="006E202D" w:rsidRDefault="00845C4C" w:rsidP="00845C4C">
      <w:pPr>
        <w:jc w:val="center"/>
        <w:rPr>
          <w:i/>
          <w:sz w:val="22"/>
          <w:szCs w:val="22"/>
        </w:rPr>
      </w:pPr>
    </w:p>
    <w:p w:rsidR="00845C4C" w:rsidRDefault="00845C4C" w:rsidP="00845C4C">
      <w:pPr>
        <w:jc w:val="center"/>
        <w:rPr>
          <w:i/>
        </w:rPr>
      </w:pPr>
    </w:p>
    <w:p w:rsidR="00845C4C" w:rsidRDefault="00845C4C" w:rsidP="00845C4C">
      <w:pPr>
        <w:jc w:val="center"/>
        <w:rPr>
          <w:i/>
        </w:rPr>
      </w:pPr>
    </w:p>
    <w:p w:rsidR="006E202D" w:rsidRDefault="006E202D" w:rsidP="00B22E0A">
      <w:pPr>
        <w:rPr>
          <w:i/>
        </w:rPr>
      </w:pPr>
    </w:p>
    <w:p w:rsidR="00280551" w:rsidRPr="00280551" w:rsidRDefault="00280551" w:rsidP="00845C4C">
      <w:pPr>
        <w:jc w:val="center"/>
        <w:rPr>
          <w:i/>
        </w:rPr>
      </w:pPr>
      <w:r w:rsidRPr="00280551">
        <w:rPr>
          <w:i/>
        </w:rPr>
        <w:t>Il vous est demandé d’apporter un soin particulier à la présentation de votre copie.</w:t>
      </w:r>
    </w:p>
    <w:p w:rsidR="00280551" w:rsidRPr="00280551" w:rsidRDefault="00280551" w:rsidP="00845C4C">
      <w:pPr>
        <w:jc w:val="center"/>
        <w:rPr>
          <w:i/>
        </w:rPr>
      </w:pPr>
      <w:r w:rsidRPr="00280551">
        <w:rPr>
          <w:i/>
        </w:rPr>
        <w:t>Toute information calculée devra être justifiée.</w:t>
      </w:r>
    </w:p>
    <w:p w:rsidR="00280551" w:rsidRDefault="00280551" w:rsidP="00280551"/>
    <w:p w:rsidR="00280551" w:rsidRDefault="00280551" w:rsidP="00280551"/>
    <w:p w:rsidR="00280551" w:rsidRDefault="00280551" w:rsidP="00280551">
      <w:pPr>
        <w:pBdr>
          <w:top w:val="single" w:sz="4" w:space="1" w:color="auto"/>
          <w:left w:val="single" w:sz="4" w:space="4" w:color="auto"/>
          <w:bottom w:val="single" w:sz="4" w:space="1" w:color="auto"/>
          <w:right w:val="single" w:sz="4" w:space="4" w:color="auto"/>
        </w:pBdr>
        <w:jc w:val="center"/>
        <w:rPr>
          <w:sz w:val="32"/>
          <w:szCs w:val="32"/>
        </w:rPr>
      </w:pPr>
    </w:p>
    <w:p w:rsidR="00314D52" w:rsidRPr="006B3580" w:rsidRDefault="00B22E0A" w:rsidP="00280551">
      <w:pPr>
        <w:pBdr>
          <w:top w:val="single" w:sz="4" w:space="1" w:color="auto"/>
          <w:left w:val="single" w:sz="4" w:space="4" w:color="auto"/>
          <w:bottom w:val="single" w:sz="4" w:space="1" w:color="auto"/>
          <w:right w:val="single" w:sz="4" w:space="4" w:color="auto"/>
        </w:pBdr>
        <w:jc w:val="center"/>
        <w:rPr>
          <w:b/>
          <w:bCs/>
          <w:sz w:val="32"/>
          <w:szCs w:val="32"/>
        </w:rPr>
      </w:pPr>
      <w:r>
        <w:rPr>
          <w:b/>
          <w:bCs/>
          <w:sz w:val="32"/>
          <w:szCs w:val="32"/>
        </w:rPr>
        <w:t>Dossier</w:t>
      </w:r>
      <w:r w:rsidR="00280551" w:rsidRPr="006B3580">
        <w:rPr>
          <w:b/>
          <w:bCs/>
          <w:sz w:val="32"/>
          <w:szCs w:val="32"/>
        </w:rPr>
        <w:t xml:space="preserve"> 1 – ETUDE DE CAS</w:t>
      </w:r>
    </w:p>
    <w:p w:rsidR="00280551" w:rsidRPr="00280551" w:rsidRDefault="00280551" w:rsidP="00280551">
      <w:pPr>
        <w:pBdr>
          <w:top w:val="single" w:sz="4" w:space="1" w:color="auto"/>
          <w:left w:val="single" w:sz="4" w:space="4" w:color="auto"/>
          <w:bottom w:val="single" w:sz="4" w:space="1" w:color="auto"/>
          <w:right w:val="single" w:sz="4" w:space="4" w:color="auto"/>
        </w:pBdr>
        <w:jc w:val="center"/>
        <w:rPr>
          <w:sz w:val="32"/>
          <w:szCs w:val="32"/>
        </w:rPr>
      </w:pPr>
    </w:p>
    <w:p w:rsidR="00280551" w:rsidRDefault="00280551" w:rsidP="00AC79B9">
      <w:pPr>
        <w:jc w:val="both"/>
      </w:pPr>
    </w:p>
    <w:p w:rsidR="00737B5D" w:rsidRPr="00D45C04" w:rsidRDefault="00E81301" w:rsidP="00AC79B9">
      <w:pPr>
        <w:jc w:val="both"/>
      </w:pPr>
      <w:r w:rsidRPr="00D45C04">
        <w:t>Cotée sur Alternext depuis 200</w:t>
      </w:r>
      <w:r w:rsidR="00DF5D9D">
        <w:t>4</w:t>
      </w:r>
      <w:r w:rsidRPr="00D45C04">
        <w:t>, l</w:t>
      </w:r>
      <w:r w:rsidR="00737B5D" w:rsidRPr="00D45C04">
        <w:t>a société Phone Solving</w:t>
      </w:r>
      <w:r w:rsidR="00DF5D9D">
        <w:t xml:space="preserve"> a été fondée à Toulouse en 1995</w:t>
      </w:r>
      <w:r w:rsidR="00737B5D" w:rsidRPr="00D45C04">
        <w:t xml:space="preserve"> afin de développer des services automatisés de conférences audio. Phone Solving s’est ensuite développée essentiellement par croissance interne mais aussi en procédant à l’acquisition d’entreprises européennes positionnées sur le même secteur d’activité. </w:t>
      </w:r>
    </w:p>
    <w:p w:rsidR="00B22E0A" w:rsidRDefault="00B22E0A" w:rsidP="00DE6F87">
      <w:pPr>
        <w:jc w:val="both"/>
      </w:pPr>
    </w:p>
    <w:p w:rsidR="00737B5D" w:rsidRPr="00D45C04" w:rsidRDefault="00737B5D" w:rsidP="00DE6F87">
      <w:pPr>
        <w:jc w:val="both"/>
      </w:pPr>
      <w:r w:rsidRPr="00D45C04">
        <w:t xml:space="preserve">Elle est devenue l’un des premiers spécialistes  de services de téléconférence </w:t>
      </w:r>
      <w:r w:rsidR="00AC79B9" w:rsidRPr="00D45C04">
        <w:t>e</w:t>
      </w:r>
      <w:r w:rsidRPr="00D45C04">
        <w:t xml:space="preserve">uropéen. Son activité consiste principalement </w:t>
      </w:r>
      <w:r w:rsidR="00AC79B9" w:rsidRPr="00D45C04">
        <w:t xml:space="preserve">à concevoir </w:t>
      </w:r>
      <w:r w:rsidRPr="00D45C04">
        <w:t>de</w:t>
      </w:r>
      <w:r w:rsidR="00AC79B9" w:rsidRPr="00D45C04">
        <w:t>s</w:t>
      </w:r>
      <w:r w:rsidR="00CF667F">
        <w:t xml:space="preserve"> plate</w:t>
      </w:r>
      <w:r w:rsidR="00AD04F5">
        <w:t>s-</w:t>
      </w:r>
      <w:r w:rsidR="00CF667F">
        <w:t>formes</w:t>
      </w:r>
      <w:r w:rsidRPr="00D45C04">
        <w:t xml:space="preserve"> multimédia de téléconférence combinant les fonctionnalités de l’audio, de la vidéo et de la transmission de données par Internet</w:t>
      </w:r>
      <w:r w:rsidR="00AC79B9" w:rsidRPr="00D45C04">
        <w:t xml:space="preserve"> et à en commercialiser le</w:t>
      </w:r>
      <w:r w:rsidR="00A80C0B">
        <w:t>s</w:t>
      </w:r>
      <w:r w:rsidR="00AC79B9" w:rsidRPr="00D45C04">
        <w:t xml:space="preserve"> temps d’utilisation</w:t>
      </w:r>
      <w:r w:rsidRPr="00D45C04">
        <w:t xml:space="preserve">. </w:t>
      </w:r>
      <w:r w:rsidR="00AC79B9" w:rsidRPr="00D45C04">
        <w:t xml:space="preserve">Son chiffre d’affaires est réalisé auprès d’entreprises </w:t>
      </w:r>
      <w:r w:rsidR="00D45C04" w:rsidRPr="00D45C04">
        <w:t xml:space="preserve">qui achètent des minutes d’utilisation pour satisfaire leurs besoins de communication à distance. </w:t>
      </w:r>
      <w:r w:rsidRPr="00D45C04">
        <w:t>Ces plates-formes pourtant simples d’</w:t>
      </w:r>
      <w:r w:rsidR="00A80C0B">
        <w:t xml:space="preserve">emploi </w:t>
      </w:r>
      <w:r w:rsidRPr="00D45C04">
        <w:t xml:space="preserve">permettent d’accéder à des contenus très riches grâce à une technologie sophistiquée. La société dispose de 2 centres de </w:t>
      </w:r>
      <w:r w:rsidR="00B64279">
        <w:t>recherche et développement</w:t>
      </w:r>
      <w:r w:rsidRPr="00D45C04">
        <w:t xml:space="preserve"> à Toulouse et à Sophia-Antipolis près de Nice et consacre </w:t>
      </w:r>
      <w:r w:rsidR="00AC79B9" w:rsidRPr="00D45C04">
        <w:t xml:space="preserve">une partie significative </w:t>
      </w:r>
      <w:r w:rsidRPr="00D45C04">
        <w:t>de son chiffre d’affaires à la recherche.  La qualité de ses plates-formes a permis à Phone Solving de se forger une notoriété</w:t>
      </w:r>
      <w:r w:rsidR="00DE6F87">
        <w:t xml:space="preserve"> internationale</w:t>
      </w:r>
      <w:r w:rsidRPr="00D45C04">
        <w:t xml:space="preserve">. Elle réalise aujourd’hui </w:t>
      </w:r>
      <w:r w:rsidR="00DE6F87">
        <w:t xml:space="preserve">la majeure partie </w:t>
      </w:r>
      <w:r w:rsidRPr="00D45C04">
        <w:t xml:space="preserve">de son </w:t>
      </w:r>
      <w:r w:rsidR="00B64279">
        <w:t>chiffre d’affaires</w:t>
      </w:r>
      <w:r w:rsidRPr="00D45C04">
        <w:t xml:space="preserve"> hors de France.</w:t>
      </w:r>
    </w:p>
    <w:p w:rsidR="00103512" w:rsidRPr="00D45C04" w:rsidRDefault="00737B5D" w:rsidP="00610E5F">
      <w:pPr>
        <w:jc w:val="both"/>
      </w:pPr>
      <w:r w:rsidRPr="00D45C04">
        <w:t xml:space="preserve">Phone Solving dispose d’une force de vente directe étoffée </w:t>
      </w:r>
      <w:r w:rsidR="000C1307" w:rsidRPr="00D45C04">
        <w:t>(</w:t>
      </w:r>
      <w:r w:rsidR="000C1307">
        <w:t>250</w:t>
      </w:r>
      <w:r w:rsidR="00610E5F">
        <w:t xml:space="preserve"> </w:t>
      </w:r>
      <w:r w:rsidRPr="00D45C04">
        <w:t xml:space="preserve">commerciaux), ce qui lui permet </w:t>
      </w:r>
      <w:r w:rsidR="00AC79B9" w:rsidRPr="00D45C04">
        <w:t xml:space="preserve">d’entretenir </w:t>
      </w:r>
      <w:r w:rsidRPr="00D45C04">
        <w:t>un contact étroit avec ses clients et de les fidéliser. L’effectif de  la société</w:t>
      </w:r>
      <w:r w:rsidR="00610E5F">
        <w:t xml:space="preserve"> est d’environ 1000 </w:t>
      </w:r>
      <w:r w:rsidRPr="00D45C04">
        <w:t>personnes au 31/12/200</w:t>
      </w:r>
      <w:r w:rsidR="00DF5D9D">
        <w:t>9</w:t>
      </w:r>
      <w:r w:rsidRPr="00D45C04">
        <w:t xml:space="preserve">. </w:t>
      </w:r>
    </w:p>
    <w:p w:rsidR="00AC79B9" w:rsidRPr="00D45C04" w:rsidRDefault="00EF76AC" w:rsidP="00AC79B9">
      <w:pPr>
        <w:jc w:val="both"/>
      </w:pPr>
      <w:r>
        <w:t>Phone Solving commercialise 2</w:t>
      </w:r>
      <w:r w:rsidR="00AC79B9" w:rsidRPr="00D45C04">
        <w:t xml:space="preserve"> types de services : </w:t>
      </w:r>
    </w:p>
    <w:p w:rsidR="00D45C04" w:rsidRDefault="00AC79B9" w:rsidP="00D45C04">
      <w:pPr>
        <w:numPr>
          <w:ilvl w:val="0"/>
          <w:numId w:val="1"/>
        </w:numPr>
        <w:jc w:val="both"/>
      </w:pPr>
      <w:r w:rsidRPr="00D45C04">
        <w:t xml:space="preserve">La </w:t>
      </w:r>
      <w:r w:rsidR="00D45C04">
        <w:t>conférence « Top Meeting »</w:t>
      </w:r>
      <w:r w:rsidRPr="00D45C04">
        <w:t> : c’est le produit phare de Phone solving. Ce</w:t>
      </w:r>
      <w:r w:rsidR="00D45C04" w:rsidRPr="00D45C04">
        <w:t xml:space="preserve"> service disponible à la demande et facturé à la minute</w:t>
      </w:r>
      <w:r w:rsidR="00D45C04">
        <w:t xml:space="preserve"> d’utilisation </w:t>
      </w:r>
      <w:r w:rsidR="00D45C04" w:rsidRPr="00D45C04">
        <w:t xml:space="preserve">permet aux utilisateurs de gérer tous les aspects d’une réunion en ligne via Internet.  </w:t>
      </w:r>
    </w:p>
    <w:p w:rsidR="00AC79B9" w:rsidRDefault="00D45C04" w:rsidP="00EF76AC">
      <w:pPr>
        <w:numPr>
          <w:ilvl w:val="0"/>
          <w:numId w:val="1"/>
        </w:numPr>
        <w:jc w:val="both"/>
      </w:pPr>
      <w:r>
        <w:t>Le service « </w:t>
      </w:r>
      <w:r w:rsidR="00EF76AC">
        <w:t>Events</w:t>
      </w:r>
      <w:r w:rsidR="00523CAC">
        <w:t>tar</w:t>
      </w:r>
      <w:r w:rsidR="00EF76AC">
        <w:t>s</w:t>
      </w:r>
      <w:r w:rsidR="00523CAC">
        <w:t xml:space="preserve"> </w:t>
      </w:r>
      <w:r>
        <w:t>»</w:t>
      </w:r>
      <w:r w:rsidR="00A71B50">
        <w:t xml:space="preserve"> : ce service est dédié  aux </w:t>
      </w:r>
      <w:r w:rsidR="00EF76AC">
        <w:t>év</w:t>
      </w:r>
      <w:r w:rsidR="000C1307">
        <w:t>é</w:t>
      </w:r>
      <w:r w:rsidR="00EF76AC">
        <w:t>nements médiatiques.</w:t>
      </w:r>
      <w:r w:rsidR="00A71B50">
        <w:t xml:space="preserve"> Il intègre des fonctionnalités de diffusion audio, Internet et en </w:t>
      </w:r>
      <w:r w:rsidR="000C1307">
        <w:t>continu (</w:t>
      </w:r>
      <w:r w:rsidR="00A71B50">
        <w:t>« streaming »</w:t>
      </w:r>
      <w:r w:rsidR="000C1307">
        <w:t>)</w:t>
      </w:r>
      <w:r w:rsidR="00A71B50">
        <w:t xml:space="preserve">. </w:t>
      </w:r>
    </w:p>
    <w:p w:rsidR="00B22E0A" w:rsidRDefault="00B22E0A" w:rsidP="0038123C">
      <w:pPr>
        <w:jc w:val="both"/>
      </w:pPr>
    </w:p>
    <w:p w:rsidR="0038123C" w:rsidRDefault="00610E5F" w:rsidP="0038123C">
      <w:pPr>
        <w:jc w:val="both"/>
      </w:pPr>
      <w:r>
        <w:t>Le marché de la téléconférence apparaît comme un marché porteur car il permet aux dirigeants d’économiser du temps en réduisant leurs  déplacements professionnels. Les entreprises aussi y trouvent leur compte car elles diminuent le poste « </w:t>
      </w:r>
      <w:r w:rsidR="0038123C">
        <w:t>frais de déplacement »</w:t>
      </w:r>
      <w:r>
        <w:t> et gagnent en flexibilité</w:t>
      </w:r>
      <w:r w:rsidR="0038123C">
        <w:t xml:space="preserve"> car elles peuvent réunir les cadres de façon impromptue pour satisfaire rapidement les demandes de leur clientèle. </w:t>
      </w:r>
    </w:p>
    <w:p w:rsidR="00610E5F" w:rsidRPr="00D45C04" w:rsidRDefault="0038123C" w:rsidP="0038123C">
      <w:pPr>
        <w:jc w:val="both"/>
      </w:pPr>
      <w:r>
        <w:t>Cependant, la mondialisation accélère la consolidation du secteur et les firmes multinationales qui constituent un segment de clientèle privilégié recherchent des entreprises susceptibles de répondre efficacement à l’ensemble de leurs besoins en matière de communication virtuelle de groupe. L’objectif de Phone Solving est donc d’améliorer sa position de marché parmi les fournisseurs mondiaux de services multimédia de téléconférence. Pour atteindre ce but, Phone Solving doit maintenir son avance technologique tout en améliorant sa rentabilité.</w:t>
      </w:r>
    </w:p>
    <w:p w:rsidR="00B22E0A" w:rsidRDefault="00B22E0A" w:rsidP="0038123C">
      <w:pPr>
        <w:jc w:val="both"/>
      </w:pPr>
    </w:p>
    <w:p w:rsidR="00314D52" w:rsidRDefault="00737B5D" w:rsidP="0038123C">
      <w:pPr>
        <w:jc w:val="both"/>
      </w:pPr>
      <w:r w:rsidRPr="00D45C04">
        <w:t xml:space="preserve">Phone </w:t>
      </w:r>
      <w:proofErr w:type="spellStart"/>
      <w:r w:rsidRPr="00D45C04">
        <w:t>Solving</w:t>
      </w:r>
      <w:proofErr w:type="spellEnd"/>
      <w:r w:rsidRPr="00D45C04">
        <w:t xml:space="preserve"> </w:t>
      </w:r>
      <w:r w:rsidR="0038123C">
        <w:t xml:space="preserve">doit aussi </w:t>
      </w:r>
      <w:r w:rsidRPr="00D45C04">
        <w:t xml:space="preserve">se développer aux Etats-Unis </w:t>
      </w:r>
      <w:r w:rsidR="0038045C">
        <w:t xml:space="preserve">qui représentent 70% du marché mondial de la téléconférence </w:t>
      </w:r>
      <w:r w:rsidRPr="00D45C04">
        <w:t>mais pour ce faire, elle doit négocier des partenariats avec des entreprises exerçant la même activité</w:t>
      </w:r>
      <w:r w:rsidR="00314D52">
        <w:t xml:space="preserve"> et bien implantées localement</w:t>
      </w:r>
      <w:r w:rsidR="0096777C">
        <w:t>.</w:t>
      </w:r>
      <w:r w:rsidR="00314D52">
        <w:t xml:space="preserve"> </w:t>
      </w:r>
      <w:r w:rsidR="0096777C">
        <w:t>O</w:t>
      </w:r>
      <w:r w:rsidR="00314D52">
        <w:t>r t</w:t>
      </w:r>
      <w:r w:rsidR="001901B6" w:rsidRPr="00D45C04">
        <w:t xml:space="preserve">outes les tentatives de négociation avec des partenaires éventuels se sont </w:t>
      </w:r>
      <w:r w:rsidR="00A80C0B">
        <w:t xml:space="preserve">jusqu’à présent </w:t>
      </w:r>
      <w:r w:rsidR="001901B6" w:rsidRPr="00D45C04">
        <w:t xml:space="preserve">soldées par des échecs.  </w:t>
      </w:r>
    </w:p>
    <w:p w:rsidR="00314D52" w:rsidRDefault="00314D52" w:rsidP="00314D52">
      <w:pPr>
        <w:jc w:val="both"/>
      </w:pPr>
    </w:p>
    <w:p w:rsidR="00E81301" w:rsidRDefault="00E81301" w:rsidP="00AC79B9">
      <w:pPr>
        <w:jc w:val="both"/>
      </w:pPr>
    </w:p>
    <w:p w:rsidR="00B22E0A" w:rsidRPr="00D45C04" w:rsidRDefault="00B22E0A" w:rsidP="00AC79B9">
      <w:pPr>
        <w:jc w:val="both"/>
      </w:pPr>
    </w:p>
    <w:p w:rsidR="00E81301" w:rsidRPr="00280551" w:rsidRDefault="00DF5D9D" w:rsidP="00280551">
      <w:pPr>
        <w:jc w:val="center"/>
        <w:rPr>
          <w:b/>
          <w:i/>
          <w:iCs/>
          <w:u w:val="single"/>
        </w:rPr>
      </w:pPr>
      <w:r w:rsidRPr="00280551">
        <w:rPr>
          <w:b/>
          <w:u w:val="single"/>
        </w:rPr>
        <w:lastRenderedPageBreak/>
        <w:t>Travail à faire</w:t>
      </w:r>
    </w:p>
    <w:p w:rsidR="00637C2E" w:rsidRDefault="00637C2E" w:rsidP="00AC79B9">
      <w:pPr>
        <w:jc w:val="both"/>
      </w:pPr>
    </w:p>
    <w:p w:rsidR="005F24A3" w:rsidRPr="00784D9B" w:rsidRDefault="00DF5D9D" w:rsidP="00E645C2">
      <w:pPr>
        <w:jc w:val="both"/>
        <w:rPr>
          <w:b/>
        </w:rPr>
      </w:pPr>
      <w:r w:rsidRPr="00784D9B">
        <w:rPr>
          <w:b/>
        </w:rPr>
        <w:t>1</w:t>
      </w:r>
      <w:r w:rsidR="005F24A3" w:rsidRPr="00784D9B">
        <w:rPr>
          <w:b/>
        </w:rPr>
        <w:t>. Diagnostic financier</w:t>
      </w:r>
      <w:r w:rsidR="00097A2B" w:rsidRPr="00784D9B">
        <w:rPr>
          <w:b/>
        </w:rPr>
        <w:t xml:space="preserve"> (</w:t>
      </w:r>
      <w:r w:rsidR="00097A2B" w:rsidRPr="00B22E0A">
        <w:rPr>
          <w:b/>
          <w:i/>
          <w:iCs/>
        </w:rPr>
        <w:t>annexes 1 et 2</w:t>
      </w:r>
      <w:r w:rsidR="00097A2B" w:rsidRPr="00784D9B">
        <w:rPr>
          <w:b/>
        </w:rPr>
        <w:t>)</w:t>
      </w:r>
    </w:p>
    <w:p w:rsidR="00E645C2" w:rsidRDefault="00097A2B" w:rsidP="00397227">
      <w:pPr>
        <w:jc w:val="both"/>
        <w:rPr>
          <w:b/>
        </w:rPr>
      </w:pPr>
      <w:r w:rsidRPr="00784D9B">
        <w:rPr>
          <w:b/>
        </w:rPr>
        <w:t xml:space="preserve">À partir de ses comptes consolidés 2007-2009, vous rédigerez </w:t>
      </w:r>
      <w:r w:rsidR="00E645C2" w:rsidRPr="00784D9B">
        <w:rPr>
          <w:b/>
        </w:rPr>
        <w:t xml:space="preserve">un diagnostic financier de la société </w:t>
      </w:r>
      <w:r w:rsidR="005F24A3" w:rsidRPr="00784D9B">
        <w:rPr>
          <w:b/>
        </w:rPr>
        <w:t>Phone Solving</w:t>
      </w:r>
      <w:r w:rsidRPr="00784D9B">
        <w:rPr>
          <w:b/>
        </w:rPr>
        <w:t xml:space="preserve"> dans une note qui n’excèdera pas deux pages</w:t>
      </w:r>
      <w:r w:rsidR="00E645C2" w:rsidRPr="00784D9B">
        <w:rPr>
          <w:b/>
        </w:rPr>
        <w:t xml:space="preserve">.  Votre jugement portera particulièrement sur les points suivants : </w:t>
      </w:r>
      <w:r w:rsidR="006E55BB" w:rsidRPr="00784D9B">
        <w:rPr>
          <w:b/>
        </w:rPr>
        <w:t>profitabilité</w:t>
      </w:r>
      <w:r w:rsidR="004D00E2">
        <w:rPr>
          <w:b/>
        </w:rPr>
        <w:t>,</w:t>
      </w:r>
      <w:r w:rsidR="00E645C2" w:rsidRPr="00784D9B">
        <w:rPr>
          <w:b/>
        </w:rPr>
        <w:t xml:space="preserve"> rentabilité, équilibre financier et situation de trésorerie</w:t>
      </w:r>
      <w:r w:rsidR="00397227">
        <w:rPr>
          <w:b/>
        </w:rPr>
        <w:t xml:space="preserve"> et s’appuiera sur le calcul de ratios et d’indicateurs que vous aurez jugés significatifs. </w:t>
      </w:r>
    </w:p>
    <w:p w:rsidR="00C23667" w:rsidRPr="00784D9B" w:rsidRDefault="00C23667" w:rsidP="00397227">
      <w:pPr>
        <w:jc w:val="both"/>
        <w:rPr>
          <w:b/>
        </w:rPr>
      </w:pPr>
    </w:p>
    <w:p w:rsidR="005F24A3" w:rsidRPr="00784D9B" w:rsidRDefault="005F24A3" w:rsidP="00C72DCD">
      <w:pPr>
        <w:jc w:val="both"/>
        <w:rPr>
          <w:b/>
        </w:rPr>
      </w:pPr>
      <w:r w:rsidRPr="00784D9B">
        <w:rPr>
          <w:b/>
        </w:rPr>
        <w:t>2. Coût du capital</w:t>
      </w:r>
      <w:r w:rsidR="00097A2B" w:rsidRPr="00784D9B">
        <w:rPr>
          <w:b/>
        </w:rPr>
        <w:t xml:space="preserve"> (</w:t>
      </w:r>
      <w:r w:rsidR="00097A2B" w:rsidRPr="00B22E0A">
        <w:rPr>
          <w:b/>
          <w:i/>
          <w:iCs/>
        </w:rPr>
        <w:t>annexes 1 et 3</w:t>
      </w:r>
      <w:r w:rsidR="00097A2B" w:rsidRPr="00784D9B">
        <w:rPr>
          <w:b/>
        </w:rPr>
        <w:t>)</w:t>
      </w:r>
    </w:p>
    <w:p w:rsidR="005F24A3" w:rsidRDefault="00097A2B" w:rsidP="00C72DCD">
      <w:pPr>
        <w:jc w:val="both"/>
        <w:rPr>
          <w:b/>
        </w:rPr>
      </w:pPr>
      <w:r w:rsidRPr="00784D9B">
        <w:rPr>
          <w:b/>
        </w:rPr>
        <w:t>Après avoir déterminé le coût de ses capitaux propres</w:t>
      </w:r>
      <w:r w:rsidR="00FF5999" w:rsidRPr="00784D9B">
        <w:rPr>
          <w:b/>
        </w:rPr>
        <w:t xml:space="preserve"> (à partir du MEDAF)</w:t>
      </w:r>
      <w:r w:rsidRPr="00784D9B">
        <w:rPr>
          <w:b/>
        </w:rPr>
        <w:t>, vous calculerez le coût moyen pondéré du capital de la société Phone Solving.</w:t>
      </w:r>
    </w:p>
    <w:p w:rsidR="00784D9B" w:rsidRPr="00784D9B" w:rsidRDefault="00784D9B" w:rsidP="00C72DCD">
      <w:pPr>
        <w:jc w:val="both"/>
        <w:rPr>
          <w:b/>
        </w:rPr>
      </w:pPr>
      <w:r>
        <w:rPr>
          <w:b/>
        </w:rPr>
        <w:t>Indiquez la signification</w:t>
      </w:r>
      <w:r w:rsidR="00E8512C">
        <w:rPr>
          <w:b/>
        </w:rPr>
        <w:t xml:space="preserve"> de ces deux taux et les conditions sous lesquelles ils pourraient être utilisés dans un calcul de création de valeur a priori et a posteriori.</w:t>
      </w:r>
    </w:p>
    <w:p w:rsidR="00DE6F87" w:rsidRPr="00784D9B" w:rsidRDefault="00DE6F87" w:rsidP="00C72DCD">
      <w:pPr>
        <w:jc w:val="both"/>
        <w:rPr>
          <w:b/>
        </w:rPr>
      </w:pPr>
    </w:p>
    <w:p w:rsidR="006F1CD8" w:rsidRPr="00784D9B" w:rsidRDefault="006F1CD8" w:rsidP="00DE6F87">
      <w:pPr>
        <w:jc w:val="both"/>
        <w:rPr>
          <w:b/>
        </w:rPr>
      </w:pPr>
      <w:r w:rsidRPr="00784D9B">
        <w:rPr>
          <w:b/>
        </w:rPr>
        <w:t>3. Offre publique d’échange (</w:t>
      </w:r>
      <w:r w:rsidRPr="00B22E0A">
        <w:rPr>
          <w:b/>
          <w:i/>
          <w:iCs/>
        </w:rPr>
        <w:t>annexe 4</w:t>
      </w:r>
      <w:r w:rsidRPr="00784D9B">
        <w:rPr>
          <w:b/>
        </w:rPr>
        <w:t>)</w:t>
      </w:r>
    </w:p>
    <w:p w:rsidR="00784D9B" w:rsidRPr="00784D9B" w:rsidRDefault="00784D9B" w:rsidP="00DE6F87">
      <w:pPr>
        <w:jc w:val="both"/>
        <w:rPr>
          <w:b/>
        </w:rPr>
      </w:pPr>
      <w:r w:rsidRPr="00784D9B">
        <w:rPr>
          <w:b/>
        </w:rPr>
        <w:t>Indiquez les caractéristiques d’une OPE, ses avantages et inconvénients pour les différentes parties en présence.</w:t>
      </w:r>
    </w:p>
    <w:p w:rsidR="00784D9B" w:rsidRPr="00784D9B" w:rsidRDefault="00784D9B" w:rsidP="00DE6F87">
      <w:pPr>
        <w:jc w:val="both"/>
        <w:rPr>
          <w:b/>
        </w:rPr>
      </w:pPr>
      <w:r w:rsidRPr="00784D9B">
        <w:rPr>
          <w:b/>
        </w:rPr>
        <w:t>Vous déterminerez ensuite les conséquences des deux parités envisagées</w:t>
      </w:r>
      <w:r w:rsidR="000518E3">
        <w:rPr>
          <w:b/>
        </w:rPr>
        <w:t xml:space="preserve"> pour les actionnaires des deux sociétés</w:t>
      </w:r>
      <w:r w:rsidRPr="00784D9B">
        <w:rPr>
          <w:b/>
        </w:rPr>
        <w:t xml:space="preserve">, en terme </w:t>
      </w:r>
      <w:r w:rsidR="008042E5">
        <w:rPr>
          <w:b/>
        </w:rPr>
        <w:t>d’impact sur le</w:t>
      </w:r>
      <w:r w:rsidRPr="00784D9B">
        <w:rPr>
          <w:b/>
        </w:rPr>
        <w:t xml:space="preserve"> bénéfice par action</w:t>
      </w:r>
      <w:r w:rsidR="00B64279">
        <w:rPr>
          <w:b/>
        </w:rPr>
        <w:t xml:space="preserve"> (effet dilutif/relutif)</w:t>
      </w:r>
      <w:r w:rsidRPr="00784D9B">
        <w:rPr>
          <w:b/>
        </w:rPr>
        <w:t>.</w:t>
      </w:r>
    </w:p>
    <w:p w:rsidR="006F1CD8" w:rsidRPr="00784D9B" w:rsidRDefault="00784D9B" w:rsidP="00DE6F87">
      <w:pPr>
        <w:jc w:val="both"/>
        <w:rPr>
          <w:b/>
        </w:rPr>
      </w:pPr>
      <w:r w:rsidRPr="00784D9B">
        <w:rPr>
          <w:b/>
        </w:rPr>
        <w:t xml:space="preserve"> </w:t>
      </w:r>
    </w:p>
    <w:p w:rsidR="00DE6F87" w:rsidRDefault="004D00E2" w:rsidP="00A51B5A">
      <w:pPr>
        <w:jc w:val="both"/>
        <w:rPr>
          <w:b/>
        </w:rPr>
      </w:pPr>
      <w:r>
        <w:rPr>
          <w:b/>
        </w:rPr>
        <w:t>4. Gestion du risque de change (</w:t>
      </w:r>
      <w:r w:rsidRPr="00B22E0A">
        <w:rPr>
          <w:b/>
          <w:i/>
          <w:iCs/>
        </w:rPr>
        <w:t>annexe 5</w:t>
      </w:r>
      <w:r>
        <w:rPr>
          <w:b/>
        </w:rPr>
        <w:t>)</w:t>
      </w:r>
    </w:p>
    <w:p w:rsidR="004D00E2" w:rsidRDefault="00857D50" w:rsidP="00A51B5A">
      <w:pPr>
        <w:jc w:val="both"/>
        <w:rPr>
          <w:b/>
        </w:rPr>
      </w:pPr>
      <w:r>
        <w:rPr>
          <w:b/>
        </w:rPr>
        <w:t>Après avoir identifié</w:t>
      </w:r>
      <w:r w:rsidR="00C23667">
        <w:rPr>
          <w:b/>
        </w:rPr>
        <w:t>s</w:t>
      </w:r>
      <w:r>
        <w:rPr>
          <w:b/>
        </w:rPr>
        <w:t xml:space="preserve"> la position et le risque de change couru par la société Phone Solving, vous </w:t>
      </w:r>
      <w:r w:rsidR="009C629F">
        <w:rPr>
          <w:b/>
        </w:rPr>
        <w:t>décrirez et chiffrerez</w:t>
      </w:r>
      <w:r>
        <w:rPr>
          <w:b/>
        </w:rPr>
        <w:t>, à partir des informations fournies en annexe, les modalités de couverture possibles</w:t>
      </w:r>
      <w:r w:rsidR="009C629F">
        <w:rPr>
          <w:b/>
        </w:rPr>
        <w:t>.</w:t>
      </w:r>
    </w:p>
    <w:p w:rsidR="009C629F" w:rsidRDefault="00D536BC" w:rsidP="00A51B5A">
      <w:pPr>
        <w:jc w:val="both"/>
        <w:rPr>
          <w:b/>
        </w:rPr>
      </w:pPr>
      <w:r>
        <w:rPr>
          <w:b/>
        </w:rPr>
        <w:t>Indiquez leurs avantages et inconvénients respectifs.</w:t>
      </w:r>
    </w:p>
    <w:p w:rsidR="00D536BC" w:rsidRDefault="00D536BC" w:rsidP="00A51B5A">
      <w:pPr>
        <w:jc w:val="both"/>
        <w:rPr>
          <w:b/>
        </w:rPr>
      </w:pPr>
    </w:p>
    <w:p w:rsidR="00DF5D9D" w:rsidRDefault="00DF5D9D" w:rsidP="00DF5D9D">
      <w:pPr>
        <w:jc w:val="both"/>
      </w:pPr>
    </w:p>
    <w:p w:rsidR="004E10C2" w:rsidRDefault="004E10C2" w:rsidP="004E10C2">
      <w:pPr>
        <w:pBdr>
          <w:top w:val="single" w:sz="4" w:space="1" w:color="auto"/>
          <w:left w:val="single" w:sz="4" w:space="4" w:color="auto"/>
          <w:bottom w:val="single" w:sz="4" w:space="1" w:color="auto"/>
          <w:right w:val="single" w:sz="4" w:space="4" w:color="auto"/>
        </w:pBdr>
        <w:jc w:val="center"/>
        <w:rPr>
          <w:b/>
          <w:bCs/>
        </w:rPr>
      </w:pPr>
    </w:p>
    <w:p w:rsidR="004E10C2" w:rsidRPr="004E10C2" w:rsidRDefault="00114F47" w:rsidP="004E10C2">
      <w:pPr>
        <w:pBdr>
          <w:top w:val="single" w:sz="4" w:space="1" w:color="auto"/>
          <w:left w:val="single" w:sz="4" w:space="4" w:color="auto"/>
          <w:bottom w:val="single" w:sz="4" w:space="1" w:color="auto"/>
          <w:right w:val="single" w:sz="4" w:space="4" w:color="auto"/>
        </w:pBdr>
        <w:jc w:val="center"/>
        <w:rPr>
          <w:b/>
          <w:bCs/>
          <w:sz w:val="32"/>
          <w:szCs w:val="32"/>
        </w:rPr>
      </w:pPr>
      <w:r>
        <w:rPr>
          <w:b/>
          <w:bCs/>
          <w:sz w:val="32"/>
          <w:szCs w:val="32"/>
        </w:rPr>
        <w:t>Dossier 2 -</w:t>
      </w:r>
      <w:r w:rsidR="004E10C2" w:rsidRPr="004E10C2">
        <w:rPr>
          <w:b/>
          <w:bCs/>
          <w:sz w:val="32"/>
          <w:szCs w:val="32"/>
        </w:rPr>
        <w:t xml:space="preserve"> REFLEXION SUR LA STRUCTURE FINANCIERE</w:t>
      </w:r>
    </w:p>
    <w:p w:rsidR="004E10C2" w:rsidRPr="00CB0453" w:rsidRDefault="004E10C2" w:rsidP="004E10C2">
      <w:pPr>
        <w:pBdr>
          <w:top w:val="single" w:sz="4" w:space="1" w:color="auto"/>
          <w:left w:val="single" w:sz="4" w:space="4" w:color="auto"/>
          <w:bottom w:val="single" w:sz="4" w:space="1" w:color="auto"/>
          <w:right w:val="single" w:sz="4" w:space="4" w:color="auto"/>
        </w:pBdr>
        <w:jc w:val="center"/>
        <w:rPr>
          <w:b/>
          <w:bCs/>
        </w:rPr>
      </w:pPr>
    </w:p>
    <w:p w:rsidR="004E10C2" w:rsidRPr="00CB0453" w:rsidRDefault="004E10C2" w:rsidP="004E10C2">
      <w:pPr>
        <w:jc w:val="center"/>
        <w:rPr>
          <w:b/>
          <w:bCs/>
        </w:rPr>
      </w:pPr>
    </w:p>
    <w:p w:rsidR="004E10C2" w:rsidRPr="00CB0453" w:rsidRDefault="004E10C2" w:rsidP="004E10C2">
      <w:pPr>
        <w:jc w:val="center"/>
        <w:rPr>
          <w:b/>
          <w:bCs/>
        </w:rPr>
      </w:pPr>
      <w:r w:rsidRPr="00CB0453">
        <w:rPr>
          <w:b/>
          <w:bCs/>
        </w:rPr>
        <w:t xml:space="preserve">Sujet : </w:t>
      </w:r>
    </w:p>
    <w:p w:rsidR="004E10C2" w:rsidRPr="00CB0453" w:rsidRDefault="004E10C2" w:rsidP="004E10C2">
      <w:pPr>
        <w:jc w:val="center"/>
        <w:rPr>
          <w:b/>
          <w:bCs/>
        </w:rPr>
      </w:pPr>
      <w:r w:rsidRPr="00CB0453">
        <w:rPr>
          <w:b/>
          <w:bCs/>
        </w:rPr>
        <w:t xml:space="preserve">Structure financière et création de valeur actionnariale </w:t>
      </w:r>
    </w:p>
    <w:p w:rsidR="004E10C2" w:rsidRDefault="004E10C2" w:rsidP="004E10C2"/>
    <w:p w:rsidR="004E10C2" w:rsidRDefault="004E10C2" w:rsidP="004E10C2">
      <w:pPr>
        <w:jc w:val="both"/>
      </w:pPr>
      <w:r>
        <w:t>En vous référant aux théories et aux pratiques financières et en vous appuyant sur les deux textes figurant en annexe (</w:t>
      </w:r>
      <w:r w:rsidRPr="00B22E0A">
        <w:rPr>
          <w:i/>
          <w:iCs/>
        </w:rPr>
        <w:t>annexes 6 et 7</w:t>
      </w:r>
      <w:r>
        <w:t xml:space="preserve">), il vous appartient d’éclairer la question suivante: </w:t>
      </w:r>
    </w:p>
    <w:p w:rsidR="004E10C2" w:rsidRDefault="004E10C2" w:rsidP="004E10C2">
      <w:pPr>
        <w:jc w:val="both"/>
      </w:pPr>
    </w:p>
    <w:p w:rsidR="004E10C2" w:rsidRPr="004E10C2" w:rsidRDefault="004E10C2" w:rsidP="004E10C2">
      <w:pPr>
        <w:jc w:val="both"/>
        <w:rPr>
          <w:b/>
        </w:rPr>
      </w:pPr>
      <w:r w:rsidRPr="004E10C2">
        <w:rPr>
          <w:b/>
        </w:rPr>
        <w:t xml:space="preserve">La structure financière a-t-elle un impact sur la création de valeur actionnariale ? </w:t>
      </w:r>
    </w:p>
    <w:p w:rsidR="004E10C2" w:rsidRDefault="004E10C2" w:rsidP="004E10C2">
      <w:pPr>
        <w:ind w:left="709" w:firstLine="709"/>
      </w:pPr>
    </w:p>
    <w:p w:rsidR="004E10C2" w:rsidRPr="004E10C2" w:rsidRDefault="004E10C2" w:rsidP="004E10C2">
      <w:pPr>
        <w:rPr>
          <w:sz w:val="22"/>
          <w:szCs w:val="22"/>
        </w:rPr>
      </w:pPr>
      <w:r w:rsidRPr="004E10C2">
        <w:rPr>
          <w:sz w:val="22"/>
          <w:szCs w:val="22"/>
        </w:rPr>
        <w:t xml:space="preserve">Il est attendu de la part du candidat de répondre de </w:t>
      </w:r>
      <w:r w:rsidRPr="004E10C2">
        <w:rPr>
          <w:b/>
          <w:sz w:val="22"/>
          <w:szCs w:val="22"/>
          <w:u w:val="single"/>
        </w:rPr>
        <w:t>manière précise et structurée</w:t>
      </w:r>
      <w:r w:rsidRPr="004E10C2">
        <w:rPr>
          <w:sz w:val="22"/>
          <w:szCs w:val="22"/>
        </w:rPr>
        <w:t xml:space="preserve"> à la question posée.</w:t>
      </w:r>
    </w:p>
    <w:p w:rsidR="004E10C2" w:rsidRPr="004E10C2" w:rsidRDefault="004E10C2" w:rsidP="004E10C2">
      <w:pPr>
        <w:rPr>
          <w:sz w:val="22"/>
          <w:szCs w:val="22"/>
        </w:rPr>
      </w:pPr>
      <w:r w:rsidRPr="004E10C2">
        <w:rPr>
          <w:sz w:val="22"/>
          <w:szCs w:val="22"/>
        </w:rPr>
        <w:t xml:space="preserve">Il vous est demandé de </w:t>
      </w:r>
      <w:r w:rsidRPr="004E10C2">
        <w:rPr>
          <w:b/>
          <w:sz w:val="22"/>
          <w:szCs w:val="22"/>
          <w:u w:val="single"/>
        </w:rPr>
        <w:t>limiter votre réponse à 4 pages au maximum</w:t>
      </w:r>
      <w:r w:rsidRPr="004E10C2">
        <w:rPr>
          <w:sz w:val="22"/>
          <w:szCs w:val="22"/>
        </w:rPr>
        <w:t xml:space="preserve"> sur votre copie d’examen.</w:t>
      </w:r>
    </w:p>
    <w:p w:rsidR="004E10C2" w:rsidRDefault="004E10C2" w:rsidP="004E10C2">
      <w:pPr>
        <w:jc w:val="center"/>
      </w:pPr>
    </w:p>
    <w:p w:rsidR="004E10C2" w:rsidRDefault="004E10C2" w:rsidP="004E10C2">
      <w:pPr>
        <w:jc w:val="center"/>
      </w:pPr>
    </w:p>
    <w:p w:rsidR="004E10C2" w:rsidRDefault="004E10C2" w:rsidP="004E10C2">
      <w:pPr>
        <w:jc w:val="center"/>
      </w:pPr>
    </w:p>
    <w:p w:rsidR="004E10C2" w:rsidRDefault="004E10C2" w:rsidP="004E10C2">
      <w:pPr>
        <w:jc w:val="center"/>
      </w:pPr>
    </w:p>
    <w:p w:rsidR="00280551" w:rsidRDefault="0076604A" w:rsidP="00280551">
      <w:pPr>
        <w:jc w:val="center"/>
        <w:rPr>
          <w:b/>
        </w:rPr>
      </w:pPr>
      <w:r>
        <w:rPr>
          <w:b/>
        </w:rPr>
        <w:br w:type="page"/>
      </w:r>
      <w:r w:rsidR="00DF5D9D" w:rsidRPr="00280551">
        <w:rPr>
          <w:b/>
        </w:rPr>
        <w:lastRenderedPageBreak/>
        <w:t xml:space="preserve">Annexe </w:t>
      </w:r>
      <w:r w:rsidR="00AC321A" w:rsidRPr="00280551">
        <w:rPr>
          <w:b/>
        </w:rPr>
        <w:t>1</w:t>
      </w:r>
    </w:p>
    <w:p w:rsidR="00280551" w:rsidRPr="00280551" w:rsidRDefault="00280551" w:rsidP="00280551">
      <w:pPr>
        <w:jc w:val="center"/>
        <w:rPr>
          <w:b/>
        </w:rPr>
      </w:pPr>
    </w:p>
    <w:p w:rsidR="00DF5D9D" w:rsidRPr="00280551" w:rsidRDefault="003C6C2A" w:rsidP="00280551">
      <w:pPr>
        <w:jc w:val="center"/>
        <w:rPr>
          <w:b/>
          <w:u w:val="single"/>
        </w:rPr>
      </w:pPr>
      <w:r w:rsidRPr="00280551">
        <w:rPr>
          <w:b/>
          <w:u w:val="single"/>
        </w:rPr>
        <w:t>Comptes consolidés de Phone Solving (2007-2009)</w:t>
      </w:r>
      <w:r w:rsidR="000518E3">
        <w:rPr>
          <w:b/>
          <w:u w:val="single"/>
        </w:rPr>
        <w:t xml:space="preserve"> en K€</w:t>
      </w:r>
    </w:p>
    <w:p w:rsidR="003C6C2A" w:rsidRDefault="003C6C2A" w:rsidP="00DF5D9D">
      <w:pPr>
        <w:jc w:val="both"/>
      </w:pPr>
    </w:p>
    <w:tbl>
      <w:tblPr>
        <w:tblW w:w="9120" w:type="dxa"/>
        <w:tblInd w:w="55" w:type="dxa"/>
        <w:tblCellMar>
          <w:left w:w="70" w:type="dxa"/>
          <w:right w:w="70" w:type="dxa"/>
        </w:tblCellMar>
        <w:tblLook w:val="04A0" w:firstRow="1" w:lastRow="0" w:firstColumn="1" w:lastColumn="0" w:noHBand="0" w:noVBand="1"/>
      </w:tblPr>
      <w:tblGrid>
        <w:gridCol w:w="4800"/>
        <w:gridCol w:w="1440"/>
        <w:gridCol w:w="1440"/>
        <w:gridCol w:w="1440"/>
      </w:tblGrid>
      <w:tr w:rsidR="00E54F74" w:rsidRPr="00E54F74">
        <w:trPr>
          <w:trHeight w:val="300"/>
        </w:trPr>
        <w:tc>
          <w:tcPr>
            <w:tcW w:w="4800" w:type="dxa"/>
            <w:tcBorders>
              <w:top w:val="single" w:sz="8" w:space="0" w:color="auto"/>
              <w:left w:val="single" w:sz="8" w:space="0" w:color="auto"/>
              <w:bottom w:val="single" w:sz="8" w:space="0" w:color="auto"/>
              <w:right w:val="single" w:sz="8" w:space="0" w:color="auto"/>
            </w:tcBorders>
            <w:shd w:val="clear" w:color="auto" w:fill="auto"/>
            <w:vAlign w:val="bottom"/>
          </w:tcPr>
          <w:p w:rsidR="00E54F74" w:rsidRPr="00E54F74" w:rsidRDefault="00E54F74" w:rsidP="00E54F74">
            <w:pPr>
              <w:rPr>
                <w:b/>
                <w:bCs/>
                <w:sz w:val="22"/>
                <w:szCs w:val="22"/>
              </w:rPr>
            </w:pPr>
            <w:r w:rsidRPr="00E54F74">
              <w:rPr>
                <w:b/>
                <w:bCs/>
                <w:sz w:val="22"/>
                <w:szCs w:val="22"/>
              </w:rPr>
              <w:t>Bilans consolidés</w:t>
            </w:r>
          </w:p>
        </w:tc>
        <w:tc>
          <w:tcPr>
            <w:tcW w:w="1440" w:type="dxa"/>
            <w:tcBorders>
              <w:top w:val="single" w:sz="8" w:space="0" w:color="auto"/>
              <w:left w:val="nil"/>
              <w:bottom w:val="single" w:sz="8" w:space="0" w:color="auto"/>
              <w:right w:val="single" w:sz="8" w:space="0" w:color="auto"/>
            </w:tcBorders>
            <w:shd w:val="clear" w:color="auto" w:fill="auto"/>
            <w:vAlign w:val="bottom"/>
          </w:tcPr>
          <w:p w:rsidR="00E54F74" w:rsidRPr="00E54F74" w:rsidRDefault="00E54F74" w:rsidP="00E54F74">
            <w:pPr>
              <w:jc w:val="center"/>
              <w:rPr>
                <w:b/>
                <w:bCs/>
                <w:sz w:val="22"/>
                <w:szCs w:val="22"/>
              </w:rPr>
            </w:pPr>
            <w:r w:rsidRPr="00E54F74">
              <w:rPr>
                <w:b/>
                <w:bCs/>
                <w:sz w:val="22"/>
                <w:szCs w:val="22"/>
              </w:rPr>
              <w:t>2007</w:t>
            </w:r>
          </w:p>
        </w:tc>
        <w:tc>
          <w:tcPr>
            <w:tcW w:w="1440" w:type="dxa"/>
            <w:tcBorders>
              <w:top w:val="single" w:sz="8" w:space="0" w:color="auto"/>
              <w:left w:val="nil"/>
              <w:bottom w:val="single" w:sz="8" w:space="0" w:color="auto"/>
              <w:right w:val="single" w:sz="8" w:space="0" w:color="auto"/>
            </w:tcBorders>
            <w:shd w:val="clear" w:color="auto" w:fill="auto"/>
            <w:vAlign w:val="bottom"/>
          </w:tcPr>
          <w:p w:rsidR="00E54F74" w:rsidRPr="00E54F74" w:rsidRDefault="00E54F74" w:rsidP="00E54F74">
            <w:pPr>
              <w:jc w:val="center"/>
              <w:rPr>
                <w:b/>
                <w:bCs/>
                <w:sz w:val="22"/>
                <w:szCs w:val="22"/>
              </w:rPr>
            </w:pPr>
            <w:r w:rsidRPr="00E54F74">
              <w:rPr>
                <w:b/>
                <w:bCs/>
                <w:sz w:val="22"/>
                <w:szCs w:val="22"/>
              </w:rPr>
              <w:t>2008</w:t>
            </w:r>
          </w:p>
        </w:tc>
        <w:tc>
          <w:tcPr>
            <w:tcW w:w="1440" w:type="dxa"/>
            <w:tcBorders>
              <w:top w:val="single" w:sz="8" w:space="0" w:color="auto"/>
              <w:left w:val="nil"/>
              <w:bottom w:val="single" w:sz="8" w:space="0" w:color="auto"/>
              <w:right w:val="single" w:sz="8" w:space="0" w:color="auto"/>
            </w:tcBorders>
            <w:shd w:val="clear" w:color="auto" w:fill="auto"/>
            <w:vAlign w:val="bottom"/>
          </w:tcPr>
          <w:p w:rsidR="00E54F74" w:rsidRPr="00E54F74" w:rsidRDefault="00E54F74" w:rsidP="00E54F74">
            <w:pPr>
              <w:jc w:val="center"/>
              <w:rPr>
                <w:b/>
                <w:bCs/>
                <w:sz w:val="22"/>
                <w:szCs w:val="22"/>
              </w:rPr>
            </w:pPr>
            <w:r w:rsidRPr="00E54F74">
              <w:rPr>
                <w:b/>
                <w:bCs/>
                <w:sz w:val="22"/>
                <w:szCs w:val="22"/>
              </w:rPr>
              <w:t>2009</w:t>
            </w:r>
          </w:p>
        </w:tc>
      </w:tr>
      <w:tr w:rsidR="00E54F74" w:rsidRPr="00E54F74">
        <w:trPr>
          <w:trHeight w:val="315"/>
        </w:trPr>
        <w:tc>
          <w:tcPr>
            <w:tcW w:w="4800" w:type="dxa"/>
            <w:tcBorders>
              <w:top w:val="nil"/>
              <w:left w:val="single" w:sz="8" w:space="0" w:color="auto"/>
              <w:bottom w:val="single" w:sz="8" w:space="0" w:color="auto"/>
              <w:right w:val="single" w:sz="8" w:space="0" w:color="auto"/>
            </w:tcBorders>
            <w:shd w:val="clear" w:color="auto" w:fill="auto"/>
            <w:vAlign w:val="bottom"/>
          </w:tcPr>
          <w:p w:rsidR="00E54F74" w:rsidRPr="00E54F74" w:rsidRDefault="00E54F74" w:rsidP="00E54F74">
            <w:pPr>
              <w:rPr>
                <w:sz w:val="22"/>
                <w:szCs w:val="22"/>
              </w:rPr>
            </w:pPr>
            <w:r w:rsidRPr="00E54F74">
              <w:rPr>
                <w:sz w:val="22"/>
                <w:szCs w:val="22"/>
              </w:rPr>
              <w:t xml:space="preserve"> Actif non courant</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 xml:space="preserve">59 106 </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 xml:space="preserve">69 636 </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 xml:space="preserve">61 518 </w:t>
            </w:r>
          </w:p>
        </w:tc>
      </w:tr>
      <w:tr w:rsidR="00E54F74" w:rsidRPr="00E54F74">
        <w:trPr>
          <w:trHeight w:val="315"/>
        </w:trPr>
        <w:tc>
          <w:tcPr>
            <w:tcW w:w="4800" w:type="dxa"/>
            <w:tcBorders>
              <w:top w:val="nil"/>
              <w:left w:val="single" w:sz="8" w:space="0" w:color="auto"/>
              <w:bottom w:val="single" w:sz="8" w:space="0" w:color="auto"/>
              <w:right w:val="single" w:sz="8" w:space="0" w:color="auto"/>
            </w:tcBorders>
            <w:shd w:val="clear" w:color="auto" w:fill="auto"/>
            <w:vAlign w:val="bottom"/>
          </w:tcPr>
          <w:p w:rsidR="00E54F74" w:rsidRPr="00E54F74" w:rsidRDefault="00E54F74" w:rsidP="00E54F74">
            <w:pPr>
              <w:rPr>
                <w:sz w:val="22"/>
                <w:szCs w:val="22"/>
              </w:rPr>
            </w:pPr>
            <w:r w:rsidRPr="00E54F74">
              <w:rPr>
                <w:sz w:val="22"/>
                <w:szCs w:val="22"/>
              </w:rPr>
              <w:t xml:space="preserve"> Actif courant</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 xml:space="preserve">42 417 </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 xml:space="preserve">41 899 </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 xml:space="preserve">50 358 </w:t>
            </w:r>
          </w:p>
        </w:tc>
      </w:tr>
      <w:tr w:rsidR="00E54F74" w:rsidRPr="00E54F74">
        <w:trPr>
          <w:trHeight w:val="315"/>
        </w:trPr>
        <w:tc>
          <w:tcPr>
            <w:tcW w:w="4800" w:type="dxa"/>
            <w:tcBorders>
              <w:top w:val="nil"/>
              <w:left w:val="single" w:sz="8" w:space="0" w:color="auto"/>
              <w:bottom w:val="single" w:sz="8" w:space="0" w:color="auto"/>
              <w:right w:val="single" w:sz="8" w:space="0" w:color="auto"/>
            </w:tcBorders>
            <w:shd w:val="clear" w:color="auto" w:fill="auto"/>
            <w:vAlign w:val="bottom"/>
          </w:tcPr>
          <w:p w:rsidR="00E54F74" w:rsidRPr="00E54F74" w:rsidRDefault="00E54F74" w:rsidP="00E54F74">
            <w:pPr>
              <w:rPr>
                <w:sz w:val="22"/>
                <w:szCs w:val="22"/>
              </w:rPr>
            </w:pPr>
            <w:r w:rsidRPr="00E54F74">
              <w:rPr>
                <w:sz w:val="22"/>
                <w:szCs w:val="22"/>
              </w:rPr>
              <w:t xml:space="preserve"> Capitaux propres</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 xml:space="preserve">-8 254 </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 xml:space="preserve">49 889 </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 xml:space="preserve">61 745 </w:t>
            </w:r>
          </w:p>
        </w:tc>
      </w:tr>
      <w:tr w:rsidR="00E54F74" w:rsidRPr="00E54F74">
        <w:trPr>
          <w:trHeight w:val="315"/>
        </w:trPr>
        <w:tc>
          <w:tcPr>
            <w:tcW w:w="4800" w:type="dxa"/>
            <w:tcBorders>
              <w:top w:val="nil"/>
              <w:left w:val="single" w:sz="8" w:space="0" w:color="auto"/>
              <w:bottom w:val="single" w:sz="8" w:space="0" w:color="auto"/>
              <w:right w:val="single" w:sz="8" w:space="0" w:color="auto"/>
            </w:tcBorders>
            <w:shd w:val="clear" w:color="auto" w:fill="auto"/>
            <w:vAlign w:val="bottom"/>
          </w:tcPr>
          <w:p w:rsidR="00E54F74" w:rsidRPr="00E54F74" w:rsidRDefault="00E54F74" w:rsidP="00E54F74">
            <w:pPr>
              <w:rPr>
                <w:sz w:val="22"/>
                <w:szCs w:val="22"/>
              </w:rPr>
            </w:pPr>
            <w:r w:rsidRPr="00E54F74">
              <w:rPr>
                <w:sz w:val="22"/>
                <w:szCs w:val="22"/>
              </w:rPr>
              <w:t xml:space="preserve"> Passifs non courants</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 xml:space="preserve">63 292 </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 xml:space="preserve">22 041 </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 xml:space="preserve">1 530 </w:t>
            </w:r>
          </w:p>
        </w:tc>
      </w:tr>
      <w:tr w:rsidR="00E54F74" w:rsidRPr="00E54F74">
        <w:trPr>
          <w:trHeight w:val="315"/>
        </w:trPr>
        <w:tc>
          <w:tcPr>
            <w:tcW w:w="4800" w:type="dxa"/>
            <w:tcBorders>
              <w:top w:val="nil"/>
              <w:left w:val="single" w:sz="8" w:space="0" w:color="auto"/>
              <w:bottom w:val="single" w:sz="8" w:space="0" w:color="auto"/>
              <w:right w:val="single" w:sz="8" w:space="0" w:color="auto"/>
            </w:tcBorders>
            <w:shd w:val="clear" w:color="auto" w:fill="auto"/>
            <w:vAlign w:val="bottom"/>
          </w:tcPr>
          <w:p w:rsidR="00E54F74" w:rsidRPr="00E54F74" w:rsidRDefault="00E54F74" w:rsidP="00E54F74">
            <w:pPr>
              <w:rPr>
                <w:sz w:val="22"/>
                <w:szCs w:val="22"/>
              </w:rPr>
            </w:pPr>
            <w:r w:rsidRPr="00E54F74">
              <w:rPr>
                <w:sz w:val="22"/>
                <w:szCs w:val="22"/>
              </w:rPr>
              <w:t xml:space="preserve"> Passifs courants</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 xml:space="preserve">46 485 </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 xml:space="preserve">39 605 </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 xml:space="preserve">48 601 </w:t>
            </w:r>
          </w:p>
        </w:tc>
      </w:tr>
      <w:tr w:rsidR="00E54F74" w:rsidRPr="00E54F74">
        <w:trPr>
          <w:trHeight w:val="315"/>
        </w:trPr>
        <w:tc>
          <w:tcPr>
            <w:tcW w:w="4800" w:type="dxa"/>
            <w:tcBorders>
              <w:top w:val="nil"/>
              <w:left w:val="single" w:sz="8" w:space="0" w:color="auto"/>
              <w:bottom w:val="single" w:sz="8" w:space="0" w:color="auto"/>
              <w:right w:val="single" w:sz="8" w:space="0" w:color="auto"/>
            </w:tcBorders>
            <w:shd w:val="clear" w:color="auto" w:fill="auto"/>
            <w:vAlign w:val="bottom"/>
          </w:tcPr>
          <w:p w:rsidR="00E54F74" w:rsidRPr="00E54F74" w:rsidRDefault="00E54F74" w:rsidP="00E54F74">
            <w:pPr>
              <w:rPr>
                <w:sz w:val="22"/>
                <w:szCs w:val="22"/>
              </w:rPr>
            </w:pPr>
            <w:r w:rsidRPr="00E54F74">
              <w:rPr>
                <w:sz w:val="22"/>
                <w:szCs w:val="22"/>
              </w:rPr>
              <w:t xml:space="preserve"> Total du bilan</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 xml:space="preserve">101 523 </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 xml:space="preserve">111 535 </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 xml:space="preserve">111 876 </w:t>
            </w:r>
          </w:p>
        </w:tc>
      </w:tr>
      <w:tr w:rsidR="00E54F74" w:rsidRPr="00E54F74">
        <w:trPr>
          <w:trHeight w:val="315"/>
        </w:trPr>
        <w:tc>
          <w:tcPr>
            <w:tcW w:w="4800" w:type="dxa"/>
            <w:tcBorders>
              <w:top w:val="nil"/>
              <w:left w:val="nil"/>
              <w:bottom w:val="nil"/>
              <w:right w:val="nil"/>
            </w:tcBorders>
            <w:shd w:val="clear" w:color="auto" w:fill="auto"/>
            <w:vAlign w:val="bottom"/>
          </w:tcPr>
          <w:p w:rsidR="00E54F74" w:rsidRPr="00E54F74" w:rsidRDefault="00E54F74" w:rsidP="00E54F74">
            <w:pPr>
              <w:rPr>
                <w:sz w:val="22"/>
                <w:szCs w:val="22"/>
              </w:rPr>
            </w:pPr>
          </w:p>
        </w:tc>
        <w:tc>
          <w:tcPr>
            <w:tcW w:w="1440" w:type="dxa"/>
            <w:tcBorders>
              <w:top w:val="nil"/>
              <w:left w:val="nil"/>
              <w:bottom w:val="nil"/>
              <w:right w:val="nil"/>
            </w:tcBorders>
            <w:shd w:val="clear" w:color="auto" w:fill="auto"/>
            <w:vAlign w:val="bottom"/>
          </w:tcPr>
          <w:p w:rsidR="00E54F74" w:rsidRPr="00E54F74" w:rsidRDefault="00E54F74" w:rsidP="00E54F74">
            <w:pPr>
              <w:jc w:val="center"/>
              <w:rPr>
                <w:sz w:val="22"/>
                <w:szCs w:val="22"/>
              </w:rPr>
            </w:pPr>
          </w:p>
        </w:tc>
        <w:tc>
          <w:tcPr>
            <w:tcW w:w="1440" w:type="dxa"/>
            <w:tcBorders>
              <w:top w:val="nil"/>
              <w:left w:val="nil"/>
              <w:bottom w:val="nil"/>
              <w:right w:val="nil"/>
            </w:tcBorders>
            <w:shd w:val="clear" w:color="auto" w:fill="auto"/>
            <w:vAlign w:val="bottom"/>
          </w:tcPr>
          <w:p w:rsidR="00E54F74" w:rsidRPr="00E54F74" w:rsidRDefault="00E54F74" w:rsidP="00E54F74">
            <w:pPr>
              <w:jc w:val="center"/>
              <w:rPr>
                <w:sz w:val="22"/>
                <w:szCs w:val="22"/>
              </w:rPr>
            </w:pPr>
          </w:p>
        </w:tc>
        <w:tc>
          <w:tcPr>
            <w:tcW w:w="1440" w:type="dxa"/>
            <w:tcBorders>
              <w:top w:val="nil"/>
              <w:left w:val="nil"/>
              <w:bottom w:val="nil"/>
              <w:right w:val="nil"/>
            </w:tcBorders>
            <w:shd w:val="clear" w:color="auto" w:fill="auto"/>
            <w:vAlign w:val="bottom"/>
          </w:tcPr>
          <w:p w:rsidR="00E54F74" w:rsidRPr="00E54F74" w:rsidRDefault="00E54F74" w:rsidP="00E54F74">
            <w:pPr>
              <w:jc w:val="center"/>
              <w:rPr>
                <w:sz w:val="22"/>
                <w:szCs w:val="22"/>
              </w:rPr>
            </w:pPr>
          </w:p>
        </w:tc>
      </w:tr>
      <w:tr w:rsidR="00E54F74" w:rsidRPr="00E54F74">
        <w:trPr>
          <w:trHeight w:val="300"/>
        </w:trPr>
        <w:tc>
          <w:tcPr>
            <w:tcW w:w="4800" w:type="dxa"/>
            <w:tcBorders>
              <w:top w:val="single" w:sz="8" w:space="0" w:color="auto"/>
              <w:left w:val="single" w:sz="8" w:space="0" w:color="auto"/>
              <w:bottom w:val="single" w:sz="8" w:space="0" w:color="auto"/>
              <w:right w:val="single" w:sz="8" w:space="0" w:color="auto"/>
            </w:tcBorders>
            <w:shd w:val="clear" w:color="auto" w:fill="auto"/>
            <w:vAlign w:val="bottom"/>
          </w:tcPr>
          <w:p w:rsidR="00E54F74" w:rsidRPr="00E54F74" w:rsidRDefault="00E54F74" w:rsidP="00E54F74">
            <w:pPr>
              <w:rPr>
                <w:b/>
                <w:bCs/>
                <w:sz w:val="22"/>
                <w:szCs w:val="22"/>
              </w:rPr>
            </w:pPr>
            <w:r w:rsidRPr="00E54F74">
              <w:rPr>
                <w:b/>
                <w:bCs/>
                <w:sz w:val="22"/>
                <w:szCs w:val="22"/>
              </w:rPr>
              <w:t>Actif économique</w:t>
            </w:r>
          </w:p>
        </w:tc>
        <w:tc>
          <w:tcPr>
            <w:tcW w:w="1440" w:type="dxa"/>
            <w:tcBorders>
              <w:top w:val="single" w:sz="8" w:space="0" w:color="auto"/>
              <w:left w:val="nil"/>
              <w:bottom w:val="single" w:sz="8" w:space="0" w:color="auto"/>
              <w:right w:val="single" w:sz="8" w:space="0" w:color="auto"/>
            </w:tcBorders>
            <w:shd w:val="clear" w:color="auto" w:fill="auto"/>
            <w:vAlign w:val="bottom"/>
          </w:tcPr>
          <w:p w:rsidR="00E54F74" w:rsidRPr="00E54F74" w:rsidRDefault="00E54F74" w:rsidP="00E54F74">
            <w:pPr>
              <w:jc w:val="center"/>
              <w:rPr>
                <w:b/>
                <w:bCs/>
                <w:sz w:val="22"/>
                <w:szCs w:val="22"/>
              </w:rPr>
            </w:pPr>
            <w:r w:rsidRPr="00E54F74">
              <w:rPr>
                <w:b/>
                <w:bCs/>
                <w:sz w:val="22"/>
                <w:szCs w:val="22"/>
              </w:rPr>
              <w:t>2007</w:t>
            </w:r>
          </w:p>
        </w:tc>
        <w:tc>
          <w:tcPr>
            <w:tcW w:w="1440" w:type="dxa"/>
            <w:tcBorders>
              <w:top w:val="single" w:sz="8" w:space="0" w:color="auto"/>
              <w:left w:val="nil"/>
              <w:bottom w:val="single" w:sz="8" w:space="0" w:color="auto"/>
              <w:right w:val="single" w:sz="8" w:space="0" w:color="auto"/>
            </w:tcBorders>
            <w:shd w:val="clear" w:color="auto" w:fill="auto"/>
            <w:vAlign w:val="bottom"/>
          </w:tcPr>
          <w:p w:rsidR="00E54F74" w:rsidRPr="00E54F74" w:rsidRDefault="00E54F74" w:rsidP="00E54F74">
            <w:pPr>
              <w:jc w:val="center"/>
              <w:rPr>
                <w:b/>
                <w:bCs/>
                <w:sz w:val="22"/>
                <w:szCs w:val="22"/>
              </w:rPr>
            </w:pPr>
            <w:r w:rsidRPr="00E54F74">
              <w:rPr>
                <w:b/>
                <w:bCs/>
                <w:sz w:val="22"/>
                <w:szCs w:val="22"/>
              </w:rPr>
              <w:t>2008</w:t>
            </w:r>
          </w:p>
        </w:tc>
        <w:tc>
          <w:tcPr>
            <w:tcW w:w="1440" w:type="dxa"/>
            <w:tcBorders>
              <w:top w:val="single" w:sz="8" w:space="0" w:color="auto"/>
              <w:left w:val="nil"/>
              <w:bottom w:val="single" w:sz="8" w:space="0" w:color="auto"/>
              <w:right w:val="single" w:sz="8" w:space="0" w:color="auto"/>
            </w:tcBorders>
            <w:shd w:val="clear" w:color="auto" w:fill="auto"/>
            <w:vAlign w:val="bottom"/>
          </w:tcPr>
          <w:p w:rsidR="00E54F74" w:rsidRPr="00E54F74" w:rsidRDefault="00E54F74" w:rsidP="00E54F74">
            <w:pPr>
              <w:jc w:val="center"/>
              <w:rPr>
                <w:b/>
                <w:bCs/>
                <w:sz w:val="22"/>
                <w:szCs w:val="22"/>
              </w:rPr>
            </w:pPr>
            <w:r w:rsidRPr="00E54F74">
              <w:rPr>
                <w:b/>
                <w:bCs/>
                <w:sz w:val="22"/>
                <w:szCs w:val="22"/>
              </w:rPr>
              <w:t>2009</w:t>
            </w:r>
          </w:p>
        </w:tc>
      </w:tr>
      <w:tr w:rsidR="00E54F74" w:rsidRPr="00E54F74">
        <w:trPr>
          <w:trHeight w:val="315"/>
        </w:trPr>
        <w:tc>
          <w:tcPr>
            <w:tcW w:w="4800" w:type="dxa"/>
            <w:tcBorders>
              <w:top w:val="nil"/>
              <w:left w:val="single" w:sz="8" w:space="0" w:color="auto"/>
              <w:bottom w:val="single" w:sz="8" w:space="0" w:color="auto"/>
              <w:right w:val="single" w:sz="8" w:space="0" w:color="auto"/>
            </w:tcBorders>
            <w:shd w:val="clear" w:color="auto" w:fill="auto"/>
            <w:vAlign w:val="bottom"/>
          </w:tcPr>
          <w:p w:rsidR="00E54F74" w:rsidRPr="00E54F74" w:rsidRDefault="00E54F74" w:rsidP="00AC321A">
            <w:pPr>
              <w:rPr>
                <w:sz w:val="22"/>
                <w:szCs w:val="22"/>
              </w:rPr>
            </w:pPr>
            <w:r w:rsidRPr="00E54F74">
              <w:rPr>
                <w:sz w:val="22"/>
                <w:szCs w:val="22"/>
              </w:rPr>
              <w:t xml:space="preserve">Capitaux </w:t>
            </w:r>
            <w:r w:rsidR="00AC321A">
              <w:rPr>
                <w:sz w:val="22"/>
                <w:szCs w:val="22"/>
              </w:rPr>
              <w:t>employés</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 xml:space="preserve">74 822 </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 xml:space="preserve">69 324 </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 xml:space="preserve">73 894 </w:t>
            </w:r>
          </w:p>
        </w:tc>
      </w:tr>
      <w:tr w:rsidR="00E54F74" w:rsidRPr="00E54F74">
        <w:trPr>
          <w:trHeight w:val="315"/>
        </w:trPr>
        <w:tc>
          <w:tcPr>
            <w:tcW w:w="4800" w:type="dxa"/>
            <w:tcBorders>
              <w:top w:val="nil"/>
              <w:left w:val="nil"/>
              <w:bottom w:val="nil"/>
              <w:right w:val="nil"/>
            </w:tcBorders>
            <w:shd w:val="clear" w:color="auto" w:fill="auto"/>
            <w:vAlign w:val="bottom"/>
          </w:tcPr>
          <w:p w:rsidR="00E54F74" w:rsidRPr="00E54F74" w:rsidRDefault="00E54F74" w:rsidP="00E54F74">
            <w:pPr>
              <w:rPr>
                <w:rFonts w:ascii="Arial" w:hAnsi="Arial" w:cs="Arial"/>
                <w:sz w:val="22"/>
                <w:szCs w:val="22"/>
              </w:rPr>
            </w:pPr>
          </w:p>
        </w:tc>
        <w:tc>
          <w:tcPr>
            <w:tcW w:w="1440" w:type="dxa"/>
            <w:tcBorders>
              <w:top w:val="nil"/>
              <w:left w:val="nil"/>
              <w:bottom w:val="nil"/>
              <w:right w:val="nil"/>
            </w:tcBorders>
            <w:shd w:val="clear" w:color="auto" w:fill="auto"/>
            <w:vAlign w:val="bottom"/>
          </w:tcPr>
          <w:p w:rsidR="00E54F74" w:rsidRPr="00E54F74" w:rsidRDefault="00E54F74" w:rsidP="00E54F74">
            <w:pPr>
              <w:jc w:val="center"/>
              <w:rPr>
                <w:sz w:val="22"/>
                <w:szCs w:val="22"/>
              </w:rPr>
            </w:pPr>
          </w:p>
        </w:tc>
        <w:tc>
          <w:tcPr>
            <w:tcW w:w="1440" w:type="dxa"/>
            <w:tcBorders>
              <w:top w:val="nil"/>
              <w:left w:val="nil"/>
              <w:bottom w:val="nil"/>
              <w:right w:val="nil"/>
            </w:tcBorders>
            <w:shd w:val="clear" w:color="auto" w:fill="auto"/>
            <w:vAlign w:val="bottom"/>
          </w:tcPr>
          <w:p w:rsidR="00E54F74" w:rsidRPr="00E54F74" w:rsidRDefault="00E54F74" w:rsidP="00E54F74">
            <w:pPr>
              <w:jc w:val="center"/>
              <w:rPr>
                <w:sz w:val="22"/>
                <w:szCs w:val="22"/>
              </w:rPr>
            </w:pPr>
          </w:p>
        </w:tc>
        <w:tc>
          <w:tcPr>
            <w:tcW w:w="1440" w:type="dxa"/>
            <w:tcBorders>
              <w:top w:val="nil"/>
              <w:left w:val="nil"/>
              <w:bottom w:val="nil"/>
              <w:right w:val="nil"/>
            </w:tcBorders>
            <w:shd w:val="clear" w:color="auto" w:fill="auto"/>
            <w:vAlign w:val="bottom"/>
          </w:tcPr>
          <w:p w:rsidR="00E54F74" w:rsidRPr="00E54F74" w:rsidRDefault="00E54F74" w:rsidP="00E54F74">
            <w:pPr>
              <w:jc w:val="center"/>
              <w:rPr>
                <w:sz w:val="22"/>
                <w:szCs w:val="22"/>
              </w:rPr>
            </w:pPr>
          </w:p>
        </w:tc>
      </w:tr>
      <w:tr w:rsidR="00E54F74" w:rsidRPr="00E54F74">
        <w:trPr>
          <w:trHeight w:val="315"/>
        </w:trPr>
        <w:tc>
          <w:tcPr>
            <w:tcW w:w="4800" w:type="dxa"/>
            <w:tcBorders>
              <w:top w:val="single" w:sz="8" w:space="0" w:color="auto"/>
              <w:left w:val="single" w:sz="8" w:space="0" w:color="auto"/>
              <w:bottom w:val="single" w:sz="8" w:space="0" w:color="auto"/>
              <w:right w:val="single" w:sz="8" w:space="0" w:color="auto"/>
            </w:tcBorders>
            <w:shd w:val="clear" w:color="auto" w:fill="auto"/>
            <w:vAlign w:val="bottom"/>
          </w:tcPr>
          <w:p w:rsidR="00E54F74" w:rsidRPr="00E54F74" w:rsidRDefault="00E54F74" w:rsidP="00E54F74">
            <w:pPr>
              <w:rPr>
                <w:b/>
                <w:bCs/>
                <w:sz w:val="22"/>
                <w:szCs w:val="22"/>
              </w:rPr>
            </w:pPr>
            <w:r w:rsidRPr="00E54F74">
              <w:rPr>
                <w:b/>
                <w:bCs/>
                <w:sz w:val="22"/>
                <w:szCs w:val="22"/>
              </w:rPr>
              <w:t>Tableaux des flux de trésorerie consolidés</w:t>
            </w:r>
          </w:p>
        </w:tc>
        <w:tc>
          <w:tcPr>
            <w:tcW w:w="1440" w:type="dxa"/>
            <w:tcBorders>
              <w:top w:val="single" w:sz="8" w:space="0" w:color="auto"/>
              <w:left w:val="nil"/>
              <w:bottom w:val="single" w:sz="8" w:space="0" w:color="auto"/>
              <w:right w:val="single" w:sz="8" w:space="0" w:color="auto"/>
            </w:tcBorders>
            <w:shd w:val="clear" w:color="auto" w:fill="auto"/>
            <w:vAlign w:val="bottom"/>
          </w:tcPr>
          <w:p w:rsidR="00E54F74" w:rsidRPr="00E54F74" w:rsidRDefault="00E54F74" w:rsidP="00E54F74">
            <w:pPr>
              <w:jc w:val="center"/>
              <w:rPr>
                <w:b/>
                <w:bCs/>
                <w:sz w:val="22"/>
                <w:szCs w:val="22"/>
              </w:rPr>
            </w:pPr>
            <w:r w:rsidRPr="00E54F74">
              <w:rPr>
                <w:b/>
                <w:bCs/>
                <w:sz w:val="22"/>
                <w:szCs w:val="22"/>
              </w:rPr>
              <w:t>2007</w:t>
            </w:r>
          </w:p>
        </w:tc>
        <w:tc>
          <w:tcPr>
            <w:tcW w:w="1440" w:type="dxa"/>
            <w:tcBorders>
              <w:top w:val="single" w:sz="8" w:space="0" w:color="auto"/>
              <w:left w:val="nil"/>
              <w:bottom w:val="single" w:sz="8" w:space="0" w:color="auto"/>
              <w:right w:val="single" w:sz="8" w:space="0" w:color="auto"/>
            </w:tcBorders>
            <w:shd w:val="clear" w:color="auto" w:fill="auto"/>
            <w:vAlign w:val="bottom"/>
          </w:tcPr>
          <w:p w:rsidR="00E54F74" w:rsidRPr="00E54F74" w:rsidRDefault="00E54F74" w:rsidP="00E54F74">
            <w:pPr>
              <w:jc w:val="center"/>
              <w:rPr>
                <w:b/>
                <w:bCs/>
                <w:sz w:val="22"/>
                <w:szCs w:val="22"/>
              </w:rPr>
            </w:pPr>
            <w:r w:rsidRPr="00E54F74">
              <w:rPr>
                <w:b/>
                <w:bCs/>
                <w:sz w:val="22"/>
                <w:szCs w:val="22"/>
              </w:rPr>
              <w:t>2008</w:t>
            </w:r>
          </w:p>
        </w:tc>
        <w:tc>
          <w:tcPr>
            <w:tcW w:w="1440" w:type="dxa"/>
            <w:tcBorders>
              <w:top w:val="single" w:sz="8" w:space="0" w:color="auto"/>
              <w:left w:val="nil"/>
              <w:bottom w:val="single" w:sz="8" w:space="0" w:color="auto"/>
              <w:right w:val="single" w:sz="8" w:space="0" w:color="auto"/>
            </w:tcBorders>
            <w:shd w:val="clear" w:color="auto" w:fill="auto"/>
            <w:vAlign w:val="bottom"/>
          </w:tcPr>
          <w:p w:rsidR="00E54F74" w:rsidRPr="00E54F74" w:rsidRDefault="00E54F74" w:rsidP="00E54F74">
            <w:pPr>
              <w:jc w:val="center"/>
              <w:rPr>
                <w:b/>
                <w:bCs/>
                <w:sz w:val="22"/>
                <w:szCs w:val="22"/>
              </w:rPr>
            </w:pPr>
            <w:r w:rsidRPr="00E54F74">
              <w:rPr>
                <w:b/>
                <w:bCs/>
                <w:sz w:val="22"/>
                <w:szCs w:val="22"/>
              </w:rPr>
              <w:t>2009</w:t>
            </w:r>
          </w:p>
        </w:tc>
      </w:tr>
      <w:tr w:rsidR="00E54F74" w:rsidRPr="00E54F74">
        <w:trPr>
          <w:trHeight w:val="315"/>
        </w:trPr>
        <w:tc>
          <w:tcPr>
            <w:tcW w:w="4800" w:type="dxa"/>
            <w:tcBorders>
              <w:top w:val="nil"/>
              <w:left w:val="single" w:sz="8" w:space="0" w:color="auto"/>
              <w:bottom w:val="single" w:sz="8" w:space="0" w:color="auto"/>
              <w:right w:val="single" w:sz="8" w:space="0" w:color="auto"/>
            </w:tcBorders>
            <w:shd w:val="clear" w:color="auto" w:fill="auto"/>
            <w:vAlign w:val="bottom"/>
          </w:tcPr>
          <w:p w:rsidR="00E54F74" w:rsidRPr="00E54F74" w:rsidRDefault="00E54F74" w:rsidP="00E54F74">
            <w:pPr>
              <w:rPr>
                <w:sz w:val="22"/>
                <w:szCs w:val="22"/>
              </w:rPr>
            </w:pPr>
            <w:r w:rsidRPr="00E54F74">
              <w:rPr>
                <w:sz w:val="22"/>
                <w:szCs w:val="22"/>
              </w:rPr>
              <w:t xml:space="preserve"> Flux nets de trésorerie provenant de l'exploitation</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19 730</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11 470</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27 514</w:t>
            </w:r>
          </w:p>
        </w:tc>
      </w:tr>
      <w:tr w:rsidR="00E54F74" w:rsidRPr="00E54F74">
        <w:trPr>
          <w:trHeight w:val="615"/>
        </w:trPr>
        <w:tc>
          <w:tcPr>
            <w:tcW w:w="4800" w:type="dxa"/>
            <w:tcBorders>
              <w:top w:val="nil"/>
              <w:left w:val="single" w:sz="8" w:space="0" w:color="auto"/>
              <w:bottom w:val="single" w:sz="8" w:space="0" w:color="auto"/>
              <w:right w:val="single" w:sz="8" w:space="0" w:color="auto"/>
            </w:tcBorders>
            <w:shd w:val="clear" w:color="auto" w:fill="auto"/>
            <w:vAlign w:val="bottom"/>
          </w:tcPr>
          <w:p w:rsidR="00E54F74" w:rsidRPr="00E54F74" w:rsidRDefault="00E54F74" w:rsidP="00E54F74">
            <w:pPr>
              <w:rPr>
                <w:sz w:val="22"/>
                <w:szCs w:val="22"/>
              </w:rPr>
            </w:pPr>
            <w:r w:rsidRPr="00E54F74">
              <w:rPr>
                <w:sz w:val="22"/>
                <w:szCs w:val="22"/>
              </w:rPr>
              <w:t xml:space="preserve"> Flux nets de trésorerie  utilisés pour les opérations d'investissement</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-6 342</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13 610</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-5 283</w:t>
            </w:r>
          </w:p>
        </w:tc>
      </w:tr>
      <w:tr w:rsidR="00E54F74" w:rsidRPr="00E54F74">
        <w:trPr>
          <w:trHeight w:val="615"/>
        </w:trPr>
        <w:tc>
          <w:tcPr>
            <w:tcW w:w="4800" w:type="dxa"/>
            <w:tcBorders>
              <w:top w:val="nil"/>
              <w:left w:val="single" w:sz="8" w:space="0" w:color="auto"/>
              <w:bottom w:val="single" w:sz="8" w:space="0" w:color="auto"/>
              <w:right w:val="single" w:sz="8" w:space="0" w:color="auto"/>
            </w:tcBorders>
            <w:shd w:val="clear" w:color="auto" w:fill="auto"/>
            <w:vAlign w:val="bottom"/>
          </w:tcPr>
          <w:p w:rsidR="00E54F74" w:rsidRPr="00E54F74" w:rsidRDefault="00E54F74" w:rsidP="00E54F74">
            <w:pPr>
              <w:rPr>
                <w:sz w:val="22"/>
                <w:szCs w:val="22"/>
              </w:rPr>
            </w:pPr>
            <w:r w:rsidRPr="00E54F74">
              <w:rPr>
                <w:sz w:val="22"/>
                <w:szCs w:val="22"/>
              </w:rPr>
              <w:t xml:space="preserve"> Flux nets de trésorerie provenant des</w:t>
            </w:r>
            <w:r w:rsidR="00C23667">
              <w:rPr>
                <w:sz w:val="22"/>
                <w:szCs w:val="22"/>
              </w:rPr>
              <w:t xml:space="preserve"> opérations </w:t>
            </w:r>
            <w:r w:rsidRPr="00E54F74">
              <w:rPr>
                <w:sz w:val="22"/>
                <w:szCs w:val="22"/>
              </w:rPr>
              <w:t>de financement</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-15 849</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1 230</w:t>
            </w:r>
          </w:p>
        </w:tc>
        <w:tc>
          <w:tcPr>
            <w:tcW w:w="1440" w:type="dxa"/>
            <w:tcBorders>
              <w:top w:val="nil"/>
              <w:left w:val="nil"/>
              <w:bottom w:val="single" w:sz="8" w:space="0" w:color="auto"/>
              <w:right w:val="single" w:sz="8" w:space="0" w:color="auto"/>
            </w:tcBorders>
            <w:shd w:val="clear" w:color="auto" w:fill="auto"/>
            <w:vAlign w:val="bottom"/>
          </w:tcPr>
          <w:p w:rsidR="00E54F74" w:rsidRPr="00E54F74" w:rsidRDefault="00E54F74" w:rsidP="00E54F74">
            <w:pPr>
              <w:jc w:val="center"/>
              <w:rPr>
                <w:sz w:val="22"/>
                <w:szCs w:val="22"/>
              </w:rPr>
            </w:pPr>
            <w:r w:rsidRPr="00E54F74">
              <w:rPr>
                <w:sz w:val="22"/>
                <w:szCs w:val="22"/>
              </w:rPr>
              <w:t>-13 352</w:t>
            </w:r>
          </w:p>
        </w:tc>
      </w:tr>
      <w:tr w:rsidR="006E55BB" w:rsidRPr="00E54F74">
        <w:trPr>
          <w:trHeight w:val="340"/>
        </w:trPr>
        <w:tc>
          <w:tcPr>
            <w:tcW w:w="4800" w:type="dxa"/>
            <w:tcBorders>
              <w:top w:val="nil"/>
              <w:left w:val="single" w:sz="8" w:space="0" w:color="auto"/>
              <w:bottom w:val="single" w:sz="8" w:space="0" w:color="auto"/>
              <w:right w:val="single" w:sz="8" w:space="0" w:color="auto"/>
            </w:tcBorders>
            <w:shd w:val="clear" w:color="auto" w:fill="auto"/>
            <w:vAlign w:val="bottom"/>
          </w:tcPr>
          <w:p w:rsidR="006E55BB" w:rsidRPr="00E54F74" w:rsidRDefault="006E55BB" w:rsidP="006E55BB">
            <w:pPr>
              <w:rPr>
                <w:sz w:val="22"/>
                <w:szCs w:val="22"/>
              </w:rPr>
            </w:pPr>
            <w:r>
              <w:rPr>
                <w:sz w:val="22"/>
                <w:szCs w:val="22"/>
              </w:rPr>
              <w:t>Trésorerie de clôture</w:t>
            </w:r>
          </w:p>
        </w:tc>
        <w:tc>
          <w:tcPr>
            <w:tcW w:w="1440" w:type="dxa"/>
            <w:tcBorders>
              <w:top w:val="nil"/>
              <w:left w:val="nil"/>
              <w:bottom w:val="single" w:sz="8" w:space="0" w:color="auto"/>
              <w:right w:val="single" w:sz="8" w:space="0" w:color="auto"/>
            </w:tcBorders>
            <w:shd w:val="clear" w:color="auto" w:fill="auto"/>
            <w:vAlign w:val="bottom"/>
          </w:tcPr>
          <w:p w:rsidR="006E55BB" w:rsidRPr="00E54F74" w:rsidRDefault="006E55BB" w:rsidP="006E55BB">
            <w:pPr>
              <w:jc w:val="center"/>
              <w:rPr>
                <w:sz w:val="22"/>
                <w:szCs w:val="22"/>
              </w:rPr>
            </w:pPr>
            <w:r>
              <w:rPr>
                <w:sz w:val="22"/>
                <w:szCs w:val="22"/>
              </w:rPr>
              <w:t>-19 900</w:t>
            </w:r>
          </w:p>
        </w:tc>
        <w:tc>
          <w:tcPr>
            <w:tcW w:w="1440" w:type="dxa"/>
            <w:tcBorders>
              <w:top w:val="nil"/>
              <w:left w:val="nil"/>
              <w:bottom w:val="single" w:sz="8" w:space="0" w:color="auto"/>
              <w:right w:val="single" w:sz="8" w:space="0" w:color="auto"/>
            </w:tcBorders>
            <w:shd w:val="clear" w:color="auto" w:fill="auto"/>
            <w:vAlign w:val="bottom"/>
          </w:tcPr>
          <w:p w:rsidR="006E55BB" w:rsidRPr="00E54F74" w:rsidRDefault="006E55BB" w:rsidP="00E54F74">
            <w:pPr>
              <w:jc w:val="center"/>
              <w:rPr>
                <w:sz w:val="22"/>
                <w:szCs w:val="22"/>
              </w:rPr>
            </w:pPr>
          </w:p>
        </w:tc>
        <w:tc>
          <w:tcPr>
            <w:tcW w:w="1440" w:type="dxa"/>
            <w:tcBorders>
              <w:top w:val="nil"/>
              <w:left w:val="nil"/>
              <w:bottom w:val="single" w:sz="8" w:space="0" w:color="auto"/>
              <w:right w:val="single" w:sz="8" w:space="0" w:color="auto"/>
            </w:tcBorders>
            <w:shd w:val="clear" w:color="auto" w:fill="auto"/>
            <w:vAlign w:val="bottom"/>
          </w:tcPr>
          <w:p w:rsidR="006E55BB" w:rsidRPr="00E54F74" w:rsidRDefault="006E55BB" w:rsidP="00E54F74">
            <w:pPr>
              <w:jc w:val="center"/>
              <w:rPr>
                <w:sz w:val="22"/>
                <w:szCs w:val="22"/>
              </w:rPr>
            </w:pPr>
          </w:p>
        </w:tc>
      </w:tr>
      <w:tr w:rsidR="00E54F74" w:rsidRPr="00E54F74">
        <w:trPr>
          <w:trHeight w:val="270"/>
        </w:trPr>
        <w:tc>
          <w:tcPr>
            <w:tcW w:w="4800" w:type="dxa"/>
            <w:tcBorders>
              <w:top w:val="nil"/>
              <w:left w:val="nil"/>
              <w:bottom w:val="nil"/>
              <w:right w:val="nil"/>
            </w:tcBorders>
            <w:shd w:val="clear" w:color="auto" w:fill="auto"/>
            <w:noWrap/>
            <w:vAlign w:val="bottom"/>
          </w:tcPr>
          <w:p w:rsidR="00E54F74" w:rsidRPr="00E54F74" w:rsidRDefault="00E54F74" w:rsidP="00E54F74">
            <w:pPr>
              <w:rPr>
                <w:rFonts w:ascii="Arial" w:hAnsi="Arial" w:cs="Arial"/>
                <w:sz w:val="20"/>
                <w:szCs w:val="20"/>
              </w:rPr>
            </w:pPr>
          </w:p>
        </w:tc>
        <w:tc>
          <w:tcPr>
            <w:tcW w:w="1440" w:type="dxa"/>
            <w:tcBorders>
              <w:top w:val="nil"/>
              <w:left w:val="nil"/>
              <w:bottom w:val="nil"/>
              <w:right w:val="nil"/>
            </w:tcBorders>
            <w:shd w:val="clear" w:color="auto" w:fill="auto"/>
            <w:noWrap/>
            <w:vAlign w:val="bottom"/>
          </w:tcPr>
          <w:p w:rsidR="00E54F74" w:rsidRPr="00E54F74" w:rsidRDefault="00E54F74" w:rsidP="00E54F74">
            <w:pPr>
              <w:rPr>
                <w:rFonts w:ascii="Arial" w:hAnsi="Arial" w:cs="Arial"/>
                <w:sz w:val="20"/>
                <w:szCs w:val="20"/>
              </w:rPr>
            </w:pPr>
          </w:p>
        </w:tc>
        <w:tc>
          <w:tcPr>
            <w:tcW w:w="1440" w:type="dxa"/>
            <w:tcBorders>
              <w:top w:val="nil"/>
              <w:left w:val="nil"/>
              <w:bottom w:val="nil"/>
              <w:right w:val="nil"/>
            </w:tcBorders>
            <w:shd w:val="clear" w:color="auto" w:fill="auto"/>
            <w:noWrap/>
            <w:vAlign w:val="bottom"/>
          </w:tcPr>
          <w:p w:rsidR="00E54F74" w:rsidRPr="00E54F74" w:rsidRDefault="00E54F74" w:rsidP="00E54F74">
            <w:pPr>
              <w:rPr>
                <w:rFonts w:ascii="Arial" w:hAnsi="Arial" w:cs="Arial"/>
                <w:sz w:val="20"/>
                <w:szCs w:val="20"/>
              </w:rPr>
            </w:pPr>
          </w:p>
        </w:tc>
        <w:tc>
          <w:tcPr>
            <w:tcW w:w="1440" w:type="dxa"/>
            <w:tcBorders>
              <w:top w:val="nil"/>
              <w:left w:val="nil"/>
              <w:bottom w:val="nil"/>
              <w:right w:val="nil"/>
            </w:tcBorders>
            <w:shd w:val="clear" w:color="auto" w:fill="auto"/>
            <w:noWrap/>
            <w:vAlign w:val="bottom"/>
          </w:tcPr>
          <w:p w:rsidR="00E54F74" w:rsidRPr="00E54F74" w:rsidRDefault="00E54F74" w:rsidP="00E54F74">
            <w:pPr>
              <w:rPr>
                <w:rFonts w:ascii="Arial" w:hAnsi="Arial" w:cs="Arial"/>
                <w:sz w:val="20"/>
                <w:szCs w:val="20"/>
              </w:rPr>
            </w:pPr>
          </w:p>
        </w:tc>
      </w:tr>
      <w:tr w:rsidR="00E54F74" w:rsidRPr="00E54F74">
        <w:trPr>
          <w:trHeight w:val="300"/>
        </w:trPr>
        <w:tc>
          <w:tcPr>
            <w:tcW w:w="4800" w:type="dxa"/>
            <w:tcBorders>
              <w:top w:val="single" w:sz="8" w:space="0" w:color="auto"/>
              <w:left w:val="single" w:sz="8" w:space="0" w:color="auto"/>
              <w:bottom w:val="single" w:sz="8" w:space="0" w:color="auto"/>
              <w:right w:val="single" w:sz="8" w:space="0" w:color="auto"/>
            </w:tcBorders>
            <w:shd w:val="clear" w:color="auto" w:fill="auto"/>
            <w:noWrap/>
            <w:vAlign w:val="bottom"/>
          </w:tcPr>
          <w:p w:rsidR="00E54F74" w:rsidRPr="00E54F74" w:rsidRDefault="00E54F74" w:rsidP="00E54F74">
            <w:pPr>
              <w:rPr>
                <w:b/>
                <w:bCs/>
                <w:sz w:val="22"/>
                <w:szCs w:val="22"/>
              </w:rPr>
            </w:pPr>
            <w:r w:rsidRPr="00E54F74">
              <w:rPr>
                <w:b/>
                <w:bCs/>
                <w:sz w:val="22"/>
                <w:szCs w:val="22"/>
              </w:rPr>
              <w:t>Comptes de résultat consolidés</w:t>
            </w: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E54F74" w:rsidRPr="00E54F74" w:rsidRDefault="00E54F74" w:rsidP="00E54F74">
            <w:pPr>
              <w:jc w:val="center"/>
              <w:rPr>
                <w:b/>
                <w:bCs/>
                <w:sz w:val="22"/>
                <w:szCs w:val="22"/>
              </w:rPr>
            </w:pPr>
            <w:r w:rsidRPr="00E54F74">
              <w:rPr>
                <w:b/>
                <w:bCs/>
                <w:sz w:val="22"/>
                <w:szCs w:val="22"/>
              </w:rPr>
              <w:t>2007</w:t>
            </w: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E54F74" w:rsidRPr="00E54F74" w:rsidRDefault="00E54F74" w:rsidP="00E54F74">
            <w:pPr>
              <w:jc w:val="center"/>
              <w:rPr>
                <w:b/>
                <w:bCs/>
                <w:sz w:val="22"/>
                <w:szCs w:val="22"/>
              </w:rPr>
            </w:pPr>
            <w:r w:rsidRPr="00E54F74">
              <w:rPr>
                <w:b/>
                <w:bCs/>
                <w:sz w:val="22"/>
                <w:szCs w:val="22"/>
              </w:rPr>
              <w:t>2008</w:t>
            </w: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E54F74" w:rsidRPr="00E54F74" w:rsidRDefault="00E54F74" w:rsidP="00E54F74">
            <w:pPr>
              <w:jc w:val="center"/>
              <w:rPr>
                <w:b/>
                <w:bCs/>
                <w:sz w:val="22"/>
                <w:szCs w:val="22"/>
              </w:rPr>
            </w:pPr>
            <w:r w:rsidRPr="00E54F74">
              <w:rPr>
                <w:b/>
                <w:bCs/>
                <w:sz w:val="22"/>
                <w:szCs w:val="22"/>
              </w:rPr>
              <w:t>2009</w:t>
            </w:r>
          </w:p>
        </w:tc>
      </w:tr>
      <w:tr w:rsidR="00E54F74" w:rsidRPr="00E54F74">
        <w:trPr>
          <w:trHeight w:val="300"/>
        </w:trPr>
        <w:tc>
          <w:tcPr>
            <w:tcW w:w="4800" w:type="dxa"/>
            <w:tcBorders>
              <w:top w:val="nil"/>
              <w:left w:val="single" w:sz="8" w:space="0" w:color="auto"/>
              <w:bottom w:val="nil"/>
              <w:right w:val="single" w:sz="8" w:space="0" w:color="auto"/>
            </w:tcBorders>
            <w:shd w:val="clear" w:color="auto" w:fill="auto"/>
            <w:noWrap/>
            <w:vAlign w:val="bottom"/>
          </w:tcPr>
          <w:p w:rsidR="00E54F74" w:rsidRPr="00E54F74" w:rsidRDefault="00B64279" w:rsidP="00E54F74">
            <w:pPr>
              <w:rPr>
                <w:sz w:val="22"/>
                <w:szCs w:val="22"/>
              </w:rPr>
            </w:pPr>
            <w:r>
              <w:rPr>
                <w:sz w:val="22"/>
                <w:szCs w:val="22"/>
              </w:rPr>
              <w:t xml:space="preserve"> Chiffre</w:t>
            </w:r>
            <w:r w:rsidR="00E54F74" w:rsidRPr="00E54F74">
              <w:rPr>
                <w:sz w:val="22"/>
                <w:szCs w:val="22"/>
              </w:rPr>
              <w:t xml:space="preserve"> d'affaires </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141 929</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141 600</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148 328</w:t>
            </w:r>
          </w:p>
        </w:tc>
      </w:tr>
      <w:tr w:rsidR="00E54F74" w:rsidRPr="00E54F74">
        <w:trPr>
          <w:trHeight w:val="315"/>
        </w:trPr>
        <w:tc>
          <w:tcPr>
            <w:tcW w:w="4800" w:type="dxa"/>
            <w:tcBorders>
              <w:top w:val="nil"/>
              <w:left w:val="single" w:sz="8" w:space="0" w:color="auto"/>
              <w:bottom w:val="nil"/>
              <w:right w:val="single" w:sz="8" w:space="0" w:color="auto"/>
            </w:tcBorders>
            <w:shd w:val="clear" w:color="auto" w:fill="auto"/>
            <w:noWrap/>
            <w:vAlign w:val="bottom"/>
          </w:tcPr>
          <w:p w:rsidR="00E54F74" w:rsidRPr="00E54F74" w:rsidRDefault="00E54F74" w:rsidP="00E54F74">
            <w:pPr>
              <w:rPr>
                <w:sz w:val="22"/>
                <w:szCs w:val="22"/>
              </w:rPr>
            </w:pPr>
            <w:r w:rsidRPr="00E54F74">
              <w:rPr>
                <w:sz w:val="22"/>
                <w:szCs w:val="22"/>
              </w:rPr>
              <w:t xml:space="preserve"> Coût des ventes </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49 913</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51 230</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56 212</w:t>
            </w:r>
          </w:p>
        </w:tc>
      </w:tr>
      <w:tr w:rsidR="00E54F74" w:rsidRPr="00E54F74">
        <w:trPr>
          <w:trHeight w:val="315"/>
        </w:trPr>
        <w:tc>
          <w:tcPr>
            <w:tcW w:w="4800" w:type="dxa"/>
            <w:tcBorders>
              <w:top w:val="nil"/>
              <w:left w:val="single" w:sz="8" w:space="0" w:color="auto"/>
              <w:bottom w:val="single" w:sz="8" w:space="0" w:color="auto"/>
              <w:right w:val="single" w:sz="8" w:space="0" w:color="auto"/>
            </w:tcBorders>
            <w:shd w:val="clear" w:color="auto" w:fill="auto"/>
            <w:noWrap/>
            <w:vAlign w:val="bottom"/>
          </w:tcPr>
          <w:p w:rsidR="00E54F74" w:rsidRPr="00E54F74" w:rsidRDefault="00E54F74" w:rsidP="00E54F74">
            <w:pPr>
              <w:rPr>
                <w:sz w:val="22"/>
                <w:szCs w:val="22"/>
              </w:rPr>
            </w:pPr>
            <w:r w:rsidRPr="00E54F74">
              <w:rPr>
                <w:sz w:val="22"/>
                <w:szCs w:val="22"/>
              </w:rPr>
              <w:t xml:space="preserve">  Marge brute </w:t>
            </w: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92 016</w:t>
            </w: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90 370</w:t>
            </w: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92 116</w:t>
            </w:r>
          </w:p>
        </w:tc>
      </w:tr>
      <w:tr w:rsidR="00E54F74" w:rsidRPr="00E54F74">
        <w:trPr>
          <w:trHeight w:val="300"/>
        </w:trPr>
        <w:tc>
          <w:tcPr>
            <w:tcW w:w="4800" w:type="dxa"/>
            <w:tcBorders>
              <w:top w:val="nil"/>
              <w:left w:val="single" w:sz="8" w:space="0" w:color="auto"/>
              <w:bottom w:val="nil"/>
              <w:right w:val="single" w:sz="8" w:space="0" w:color="auto"/>
            </w:tcBorders>
            <w:shd w:val="clear" w:color="auto" w:fill="auto"/>
            <w:noWrap/>
            <w:vAlign w:val="bottom"/>
          </w:tcPr>
          <w:p w:rsidR="00E54F74" w:rsidRPr="00E54F74" w:rsidRDefault="00E54F74" w:rsidP="00E54F74">
            <w:pPr>
              <w:rPr>
                <w:sz w:val="22"/>
                <w:szCs w:val="22"/>
              </w:rPr>
            </w:pPr>
            <w:r w:rsidRPr="00E54F74">
              <w:rPr>
                <w:sz w:val="22"/>
                <w:szCs w:val="22"/>
              </w:rPr>
              <w:t xml:space="preserve">  Frais de recherche et développement </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3 266</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4 007</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5 524</w:t>
            </w:r>
          </w:p>
        </w:tc>
      </w:tr>
      <w:tr w:rsidR="00E54F74" w:rsidRPr="00E54F74">
        <w:trPr>
          <w:trHeight w:val="300"/>
        </w:trPr>
        <w:tc>
          <w:tcPr>
            <w:tcW w:w="4800" w:type="dxa"/>
            <w:tcBorders>
              <w:top w:val="nil"/>
              <w:left w:val="single" w:sz="8" w:space="0" w:color="auto"/>
              <w:bottom w:val="nil"/>
              <w:right w:val="single" w:sz="8" w:space="0" w:color="auto"/>
            </w:tcBorders>
            <w:shd w:val="clear" w:color="auto" w:fill="auto"/>
            <w:noWrap/>
            <w:vAlign w:val="bottom"/>
          </w:tcPr>
          <w:p w:rsidR="00E54F74" w:rsidRPr="00E54F74" w:rsidRDefault="00E54F74" w:rsidP="00E54F74">
            <w:pPr>
              <w:rPr>
                <w:sz w:val="22"/>
                <w:szCs w:val="22"/>
              </w:rPr>
            </w:pPr>
            <w:r w:rsidRPr="00E54F74">
              <w:rPr>
                <w:sz w:val="22"/>
                <w:szCs w:val="22"/>
              </w:rPr>
              <w:t xml:space="preserve">  Frais commerciaux et marketing </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40 749</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42 375</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37 763</w:t>
            </w:r>
          </w:p>
        </w:tc>
      </w:tr>
      <w:tr w:rsidR="00E54F74" w:rsidRPr="00E54F74">
        <w:trPr>
          <w:trHeight w:val="300"/>
        </w:trPr>
        <w:tc>
          <w:tcPr>
            <w:tcW w:w="4800" w:type="dxa"/>
            <w:tcBorders>
              <w:top w:val="nil"/>
              <w:left w:val="single" w:sz="8" w:space="0" w:color="auto"/>
              <w:bottom w:val="nil"/>
              <w:right w:val="single" w:sz="8" w:space="0" w:color="auto"/>
            </w:tcBorders>
            <w:shd w:val="clear" w:color="auto" w:fill="auto"/>
            <w:noWrap/>
            <w:vAlign w:val="bottom"/>
          </w:tcPr>
          <w:p w:rsidR="00E54F74" w:rsidRPr="00E54F74" w:rsidRDefault="00E54F74" w:rsidP="00E54F74">
            <w:pPr>
              <w:rPr>
                <w:sz w:val="22"/>
                <w:szCs w:val="22"/>
              </w:rPr>
            </w:pPr>
            <w:r w:rsidRPr="00E54F74">
              <w:rPr>
                <w:sz w:val="22"/>
                <w:szCs w:val="22"/>
              </w:rPr>
              <w:t xml:space="preserve">  Frais généraux et administratifs </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32 805</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30 860</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28 163</w:t>
            </w:r>
          </w:p>
        </w:tc>
      </w:tr>
      <w:tr w:rsidR="00E54F74" w:rsidRPr="00E54F74">
        <w:trPr>
          <w:trHeight w:val="300"/>
        </w:trPr>
        <w:tc>
          <w:tcPr>
            <w:tcW w:w="4800" w:type="dxa"/>
            <w:tcBorders>
              <w:top w:val="nil"/>
              <w:left w:val="single" w:sz="8" w:space="0" w:color="auto"/>
              <w:bottom w:val="nil"/>
              <w:right w:val="single" w:sz="8" w:space="0" w:color="auto"/>
            </w:tcBorders>
            <w:shd w:val="clear" w:color="auto" w:fill="auto"/>
            <w:noWrap/>
            <w:vAlign w:val="bottom"/>
          </w:tcPr>
          <w:p w:rsidR="00E54F74" w:rsidRPr="00E54F74" w:rsidRDefault="00E54F74" w:rsidP="00E54F74">
            <w:pPr>
              <w:rPr>
                <w:sz w:val="22"/>
                <w:szCs w:val="22"/>
              </w:rPr>
            </w:pPr>
            <w:r w:rsidRPr="00E54F74">
              <w:rPr>
                <w:sz w:val="22"/>
                <w:szCs w:val="22"/>
              </w:rPr>
              <w:t xml:space="preserve">  Frais de restructuration </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256</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1 375</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732</w:t>
            </w:r>
          </w:p>
        </w:tc>
      </w:tr>
      <w:tr w:rsidR="00E54F74" w:rsidRPr="00E54F74">
        <w:trPr>
          <w:trHeight w:val="300"/>
        </w:trPr>
        <w:tc>
          <w:tcPr>
            <w:tcW w:w="4800" w:type="dxa"/>
            <w:tcBorders>
              <w:top w:val="nil"/>
              <w:left w:val="single" w:sz="8" w:space="0" w:color="auto"/>
              <w:bottom w:val="nil"/>
              <w:right w:val="single" w:sz="8" w:space="0" w:color="auto"/>
            </w:tcBorders>
            <w:shd w:val="clear" w:color="auto" w:fill="auto"/>
            <w:noWrap/>
            <w:vAlign w:val="bottom"/>
          </w:tcPr>
          <w:p w:rsidR="00E54F74" w:rsidRPr="00E54F74" w:rsidRDefault="00E54F74" w:rsidP="00E54F74">
            <w:pPr>
              <w:rPr>
                <w:sz w:val="22"/>
                <w:szCs w:val="22"/>
              </w:rPr>
            </w:pPr>
            <w:r w:rsidRPr="00E54F74">
              <w:rPr>
                <w:sz w:val="22"/>
                <w:szCs w:val="22"/>
              </w:rPr>
              <w:t xml:space="preserve"> Amortissements des actifs incorporels identifiés </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2 823</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2 536</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2 210</w:t>
            </w:r>
          </w:p>
        </w:tc>
      </w:tr>
      <w:tr w:rsidR="00E54F74" w:rsidRPr="00E54F74">
        <w:trPr>
          <w:trHeight w:val="315"/>
        </w:trPr>
        <w:tc>
          <w:tcPr>
            <w:tcW w:w="4800" w:type="dxa"/>
            <w:tcBorders>
              <w:top w:val="nil"/>
              <w:left w:val="single" w:sz="8" w:space="0" w:color="auto"/>
              <w:bottom w:val="nil"/>
              <w:right w:val="single" w:sz="8" w:space="0" w:color="auto"/>
            </w:tcBorders>
            <w:shd w:val="clear" w:color="auto" w:fill="auto"/>
            <w:noWrap/>
            <w:vAlign w:val="bottom"/>
          </w:tcPr>
          <w:p w:rsidR="00E54F74" w:rsidRPr="00E54F74" w:rsidRDefault="00E54F74" w:rsidP="00E54F74">
            <w:pPr>
              <w:rPr>
                <w:sz w:val="22"/>
                <w:szCs w:val="22"/>
              </w:rPr>
            </w:pPr>
            <w:r w:rsidRPr="00E54F74">
              <w:rPr>
                <w:sz w:val="22"/>
                <w:szCs w:val="22"/>
              </w:rPr>
              <w:t xml:space="preserve"> Total Charges opérationnelles  </w:t>
            </w:r>
          </w:p>
        </w:tc>
        <w:tc>
          <w:tcPr>
            <w:tcW w:w="1440" w:type="dxa"/>
            <w:tcBorders>
              <w:top w:val="nil"/>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79 899</w:t>
            </w:r>
          </w:p>
        </w:tc>
        <w:tc>
          <w:tcPr>
            <w:tcW w:w="1440" w:type="dxa"/>
            <w:tcBorders>
              <w:top w:val="nil"/>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81 153</w:t>
            </w:r>
          </w:p>
        </w:tc>
        <w:tc>
          <w:tcPr>
            <w:tcW w:w="1440" w:type="dxa"/>
            <w:tcBorders>
              <w:top w:val="nil"/>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74 392</w:t>
            </w:r>
          </w:p>
        </w:tc>
      </w:tr>
      <w:tr w:rsidR="00E54F74" w:rsidRPr="00E54F74">
        <w:trPr>
          <w:trHeight w:val="315"/>
        </w:trPr>
        <w:tc>
          <w:tcPr>
            <w:tcW w:w="4800" w:type="dxa"/>
            <w:tcBorders>
              <w:top w:val="nil"/>
              <w:left w:val="single" w:sz="8" w:space="0" w:color="auto"/>
              <w:bottom w:val="single" w:sz="8" w:space="0" w:color="auto"/>
              <w:right w:val="single" w:sz="8" w:space="0" w:color="auto"/>
            </w:tcBorders>
            <w:shd w:val="clear" w:color="auto" w:fill="auto"/>
            <w:noWrap/>
            <w:vAlign w:val="bottom"/>
          </w:tcPr>
          <w:p w:rsidR="00E54F74" w:rsidRPr="00E54F74" w:rsidRDefault="00E54F74" w:rsidP="00E54F74">
            <w:pPr>
              <w:rPr>
                <w:sz w:val="22"/>
                <w:szCs w:val="22"/>
              </w:rPr>
            </w:pPr>
            <w:r w:rsidRPr="00E54F74">
              <w:rPr>
                <w:sz w:val="22"/>
                <w:szCs w:val="22"/>
              </w:rPr>
              <w:t xml:space="preserve">  Résultat opérationnel </w:t>
            </w:r>
          </w:p>
        </w:tc>
        <w:tc>
          <w:tcPr>
            <w:tcW w:w="1440" w:type="dxa"/>
            <w:tcBorders>
              <w:top w:val="nil"/>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12 117</w:t>
            </w:r>
          </w:p>
        </w:tc>
        <w:tc>
          <w:tcPr>
            <w:tcW w:w="1440" w:type="dxa"/>
            <w:tcBorders>
              <w:top w:val="nil"/>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9 217</w:t>
            </w:r>
          </w:p>
        </w:tc>
        <w:tc>
          <w:tcPr>
            <w:tcW w:w="1440" w:type="dxa"/>
            <w:tcBorders>
              <w:top w:val="nil"/>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17 724</w:t>
            </w:r>
          </w:p>
        </w:tc>
      </w:tr>
      <w:tr w:rsidR="00E54F74" w:rsidRPr="00E54F74">
        <w:trPr>
          <w:trHeight w:val="300"/>
        </w:trPr>
        <w:tc>
          <w:tcPr>
            <w:tcW w:w="4800" w:type="dxa"/>
            <w:tcBorders>
              <w:top w:val="nil"/>
              <w:left w:val="single" w:sz="8" w:space="0" w:color="auto"/>
              <w:bottom w:val="nil"/>
              <w:right w:val="single" w:sz="8" w:space="0" w:color="auto"/>
            </w:tcBorders>
            <w:shd w:val="clear" w:color="auto" w:fill="auto"/>
            <w:noWrap/>
            <w:vAlign w:val="bottom"/>
          </w:tcPr>
          <w:p w:rsidR="00E54F74" w:rsidRPr="00E54F74" w:rsidRDefault="00E54F74" w:rsidP="00E54F74">
            <w:pPr>
              <w:rPr>
                <w:sz w:val="22"/>
                <w:szCs w:val="22"/>
              </w:rPr>
            </w:pPr>
            <w:r w:rsidRPr="00E54F74">
              <w:rPr>
                <w:sz w:val="22"/>
                <w:szCs w:val="22"/>
              </w:rPr>
              <w:t xml:space="preserve"> Coût de l'endettement financier </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-8 532</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-9 783</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-2 358</w:t>
            </w:r>
          </w:p>
        </w:tc>
      </w:tr>
      <w:tr w:rsidR="00E54F74" w:rsidRPr="00E54F74">
        <w:trPr>
          <w:trHeight w:val="315"/>
        </w:trPr>
        <w:tc>
          <w:tcPr>
            <w:tcW w:w="4800" w:type="dxa"/>
            <w:tcBorders>
              <w:top w:val="nil"/>
              <w:left w:val="single" w:sz="8" w:space="0" w:color="auto"/>
              <w:bottom w:val="nil"/>
              <w:right w:val="single" w:sz="8" w:space="0" w:color="auto"/>
            </w:tcBorders>
            <w:shd w:val="clear" w:color="auto" w:fill="auto"/>
            <w:noWrap/>
            <w:vAlign w:val="bottom"/>
          </w:tcPr>
          <w:p w:rsidR="00E54F74" w:rsidRPr="00E54F74" w:rsidRDefault="00E54F74" w:rsidP="00E54F74">
            <w:pPr>
              <w:rPr>
                <w:sz w:val="22"/>
                <w:szCs w:val="22"/>
              </w:rPr>
            </w:pPr>
            <w:r w:rsidRPr="00E54F74">
              <w:rPr>
                <w:sz w:val="22"/>
                <w:szCs w:val="22"/>
              </w:rPr>
              <w:t xml:space="preserve"> Autres produits et charges financiers </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662</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586</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453</w:t>
            </w:r>
          </w:p>
        </w:tc>
      </w:tr>
      <w:tr w:rsidR="00E54F74" w:rsidRPr="00E54F74">
        <w:trPr>
          <w:trHeight w:val="315"/>
        </w:trPr>
        <w:tc>
          <w:tcPr>
            <w:tcW w:w="4800" w:type="dxa"/>
            <w:tcBorders>
              <w:top w:val="nil"/>
              <w:left w:val="single" w:sz="8" w:space="0" w:color="auto"/>
              <w:bottom w:val="single" w:sz="8" w:space="0" w:color="auto"/>
              <w:right w:val="single" w:sz="8" w:space="0" w:color="auto"/>
            </w:tcBorders>
            <w:shd w:val="clear" w:color="auto" w:fill="auto"/>
            <w:noWrap/>
            <w:vAlign w:val="bottom"/>
          </w:tcPr>
          <w:p w:rsidR="00E54F74" w:rsidRPr="00E54F74" w:rsidRDefault="00E54F74" w:rsidP="00E54F74">
            <w:pPr>
              <w:rPr>
                <w:sz w:val="22"/>
                <w:szCs w:val="22"/>
              </w:rPr>
            </w:pPr>
            <w:r w:rsidRPr="00E54F74">
              <w:rPr>
                <w:sz w:val="22"/>
                <w:szCs w:val="22"/>
              </w:rPr>
              <w:t xml:space="preserve"> Résultat financier </w:t>
            </w: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-7 870</w:t>
            </w: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-9 197</w:t>
            </w: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-1 905</w:t>
            </w:r>
          </w:p>
        </w:tc>
      </w:tr>
      <w:tr w:rsidR="00E54F74" w:rsidRPr="00E54F74">
        <w:trPr>
          <w:trHeight w:val="315"/>
        </w:trPr>
        <w:tc>
          <w:tcPr>
            <w:tcW w:w="4800" w:type="dxa"/>
            <w:tcBorders>
              <w:top w:val="nil"/>
              <w:left w:val="single" w:sz="8" w:space="0" w:color="auto"/>
              <w:bottom w:val="single" w:sz="8" w:space="0" w:color="auto"/>
              <w:right w:val="single" w:sz="8" w:space="0" w:color="auto"/>
            </w:tcBorders>
            <w:shd w:val="clear" w:color="auto" w:fill="auto"/>
            <w:noWrap/>
            <w:vAlign w:val="bottom"/>
          </w:tcPr>
          <w:p w:rsidR="00E54F74" w:rsidRPr="00E54F74" w:rsidRDefault="00E54F74" w:rsidP="00E54F74">
            <w:pPr>
              <w:rPr>
                <w:sz w:val="22"/>
                <w:szCs w:val="22"/>
              </w:rPr>
            </w:pPr>
            <w:r w:rsidRPr="00E54F74">
              <w:rPr>
                <w:sz w:val="22"/>
                <w:szCs w:val="22"/>
              </w:rPr>
              <w:t xml:space="preserve"> Résultat avant impôt </w:t>
            </w:r>
          </w:p>
        </w:tc>
        <w:tc>
          <w:tcPr>
            <w:tcW w:w="1440" w:type="dxa"/>
            <w:tcBorders>
              <w:top w:val="nil"/>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4 247</w:t>
            </w:r>
          </w:p>
        </w:tc>
        <w:tc>
          <w:tcPr>
            <w:tcW w:w="1440" w:type="dxa"/>
            <w:tcBorders>
              <w:top w:val="nil"/>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20</w:t>
            </w:r>
          </w:p>
        </w:tc>
        <w:tc>
          <w:tcPr>
            <w:tcW w:w="1440" w:type="dxa"/>
            <w:tcBorders>
              <w:top w:val="nil"/>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15 819</w:t>
            </w:r>
          </w:p>
        </w:tc>
      </w:tr>
      <w:tr w:rsidR="00E54F74" w:rsidRPr="00E54F74">
        <w:trPr>
          <w:trHeight w:val="315"/>
        </w:trPr>
        <w:tc>
          <w:tcPr>
            <w:tcW w:w="4800" w:type="dxa"/>
            <w:tcBorders>
              <w:top w:val="nil"/>
              <w:left w:val="single" w:sz="8" w:space="0" w:color="auto"/>
              <w:bottom w:val="nil"/>
              <w:right w:val="single" w:sz="8" w:space="0" w:color="auto"/>
            </w:tcBorders>
            <w:shd w:val="clear" w:color="auto" w:fill="auto"/>
            <w:noWrap/>
            <w:vAlign w:val="bottom"/>
          </w:tcPr>
          <w:p w:rsidR="00E54F74" w:rsidRPr="00E54F74" w:rsidRDefault="00E54F74" w:rsidP="00E54F74">
            <w:pPr>
              <w:rPr>
                <w:sz w:val="22"/>
                <w:szCs w:val="22"/>
              </w:rPr>
            </w:pPr>
            <w:r w:rsidRPr="00E54F74">
              <w:rPr>
                <w:sz w:val="22"/>
                <w:szCs w:val="22"/>
              </w:rPr>
              <w:t xml:space="preserve">  Impôts sur les sociétés </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297</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6 401</w:t>
            </w:r>
          </w:p>
        </w:tc>
        <w:tc>
          <w:tcPr>
            <w:tcW w:w="1440" w:type="dxa"/>
            <w:tcBorders>
              <w:top w:val="nil"/>
              <w:left w:val="nil"/>
              <w:bottom w:val="nil"/>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-2 035</w:t>
            </w:r>
          </w:p>
        </w:tc>
      </w:tr>
      <w:tr w:rsidR="00E54F74" w:rsidRPr="00E54F74">
        <w:trPr>
          <w:trHeight w:val="315"/>
        </w:trPr>
        <w:tc>
          <w:tcPr>
            <w:tcW w:w="4800" w:type="dxa"/>
            <w:tcBorders>
              <w:top w:val="nil"/>
              <w:left w:val="single" w:sz="8" w:space="0" w:color="auto"/>
              <w:bottom w:val="nil"/>
              <w:right w:val="single" w:sz="8" w:space="0" w:color="auto"/>
            </w:tcBorders>
            <w:shd w:val="clear" w:color="auto" w:fill="auto"/>
            <w:noWrap/>
            <w:vAlign w:val="bottom"/>
          </w:tcPr>
          <w:p w:rsidR="00E54F74" w:rsidRPr="00E54F74" w:rsidRDefault="00E54F74" w:rsidP="00E54F74">
            <w:pPr>
              <w:rPr>
                <w:sz w:val="22"/>
                <w:szCs w:val="22"/>
              </w:rPr>
            </w:pPr>
            <w:r w:rsidRPr="00E54F74">
              <w:rPr>
                <w:sz w:val="22"/>
                <w:szCs w:val="22"/>
              </w:rPr>
              <w:t xml:space="preserve">  Résultat net </w:t>
            </w: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4 544</w:t>
            </w: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6 421</w:t>
            </w:r>
          </w:p>
        </w:tc>
        <w:tc>
          <w:tcPr>
            <w:tcW w:w="1440" w:type="dxa"/>
            <w:tcBorders>
              <w:top w:val="single" w:sz="8" w:space="0" w:color="auto"/>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13 784</w:t>
            </w:r>
          </w:p>
        </w:tc>
      </w:tr>
      <w:tr w:rsidR="00E54F74" w:rsidRPr="00E54F74">
        <w:trPr>
          <w:trHeight w:val="315"/>
        </w:trPr>
        <w:tc>
          <w:tcPr>
            <w:tcW w:w="4800" w:type="dxa"/>
            <w:tcBorders>
              <w:top w:val="single" w:sz="8" w:space="0" w:color="auto"/>
              <w:left w:val="single" w:sz="8" w:space="0" w:color="auto"/>
              <w:bottom w:val="single" w:sz="8" w:space="0" w:color="auto"/>
              <w:right w:val="single" w:sz="8" w:space="0" w:color="auto"/>
            </w:tcBorders>
            <w:shd w:val="clear" w:color="auto" w:fill="auto"/>
            <w:noWrap/>
            <w:vAlign w:val="bottom"/>
          </w:tcPr>
          <w:p w:rsidR="00E54F74" w:rsidRPr="00E54F74" w:rsidRDefault="00E54F74" w:rsidP="00E54F74">
            <w:pPr>
              <w:rPr>
                <w:sz w:val="22"/>
                <w:szCs w:val="22"/>
              </w:rPr>
            </w:pPr>
            <w:r w:rsidRPr="00E54F74">
              <w:rPr>
                <w:sz w:val="22"/>
                <w:szCs w:val="22"/>
              </w:rPr>
              <w:t xml:space="preserve"> Résultat net par action (en euros)</w:t>
            </w:r>
          </w:p>
        </w:tc>
        <w:tc>
          <w:tcPr>
            <w:tcW w:w="1440" w:type="dxa"/>
            <w:tcBorders>
              <w:top w:val="nil"/>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0,22</w:t>
            </w:r>
          </w:p>
        </w:tc>
        <w:tc>
          <w:tcPr>
            <w:tcW w:w="1440" w:type="dxa"/>
            <w:tcBorders>
              <w:top w:val="nil"/>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0,10</w:t>
            </w:r>
          </w:p>
        </w:tc>
        <w:tc>
          <w:tcPr>
            <w:tcW w:w="1440" w:type="dxa"/>
            <w:tcBorders>
              <w:top w:val="nil"/>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0,20</w:t>
            </w:r>
          </w:p>
        </w:tc>
      </w:tr>
      <w:tr w:rsidR="00E54F74" w:rsidRPr="00E54F74">
        <w:trPr>
          <w:trHeight w:val="615"/>
        </w:trPr>
        <w:tc>
          <w:tcPr>
            <w:tcW w:w="4800" w:type="dxa"/>
            <w:tcBorders>
              <w:top w:val="nil"/>
              <w:left w:val="single" w:sz="8" w:space="0" w:color="auto"/>
              <w:bottom w:val="single" w:sz="8" w:space="0" w:color="auto"/>
              <w:right w:val="single" w:sz="8" w:space="0" w:color="auto"/>
            </w:tcBorders>
            <w:shd w:val="clear" w:color="auto" w:fill="auto"/>
            <w:vAlign w:val="bottom"/>
          </w:tcPr>
          <w:p w:rsidR="00E54F74" w:rsidRPr="00E54F74" w:rsidRDefault="00E54F74" w:rsidP="00E54F74">
            <w:pPr>
              <w:rPr>
                <w:sz w:val="22"/>
                <w:szCs w:val="22"/>
              </w:rPr>
            </w:pPr>
            <w:r w:rsidRPr="00E54F74">
              <w:rPr>
                <w:sz w:val="22"/>
                <w:szCs w:val="22"/>
              </w:rPr>
              <w:t xml:space="preserve"> Nombre d'actions retenu pour le calcul du résultat par action</w:t>
            </w:r>
          </w:p>
        </w:tc>
        <w:tc>
          <w:tcPr>
            <w:tcW w:w="1440" w:type="dxa"/>
            <w:tcBorders>
              <w:top w:val="nil"/>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20 654 500</w:t>
            </w:r>
          </w:p>
        </w:tc>
        <w:tc>
          <w:tcPr>
            <w:tcW w:w="1440" w:type="dxa"/>
            <w:tcBorders>
              <w:top w:val="nil"/>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64 210 000</w:t>
            </w:r>
          </w:p>
        </w:tc>
        <w:tc>
          <w:tcPr>
            <w:tcW w:w="1440" w:type="dxa"/>
            <w:tcBorders>
              <w:top w:val="nil"/>
              <w:left w:val="nil"/>
              <w:bottom w:val="single" w:sz="8" w:space="0" w:color="auto"/>
              <w:right w:val="single" w:sz="8" w:space="0" w:color="auto"/>
            </w:tcBorders>
            <w:shd w:val="clear" w:color="auto" w:fill="auto"/>
            <w:noWrap/>
            <w:vAlign w:val="bottom"/>
          </w:tcPr>
          <w:p w:rsidR="00E54F74" w:rsidRPr="00E54F74" w:rsidRDefault="00E54F74" w:rsidP="00E54F74">
            <w:pPr>
              <w:jc w:val="center"/>
              <w:rPr>
                <w:sz w:val="22"/>
                <w:szCs w:val="22"/>
              </w:rPr>
            </w:pPr>
            <w:r w:rsidRPr="00E54F74">
              <w:rPr>
                <w:sz w:val="22"/>
                <w:szCs w:val="22"/>
              </w:rPr>
              <w:t>68 920 000</w:t>
            </w:r>
          </w:p>
        </w:tc>
      </w:tr>
    </w:tbl>
    <w:p w:rsidR="00DF5D9D" w:rsidRDefault="00DF5D9D" w:rsidP="00DF5D9D">
      <w:pPr>
        <w:jc w:val="both"/>
      </w:pPr>
    </w:p>
    <w:p w:rsidR="00280551" w:rsidRDefault="00280551" w:rsidP="00280551">
      <w:pPr>
        <w:jc w:val="center"/>
        <w:rPr>
          <w:b/>
        </w:rPr>
      </w:pPr>
      <w:r w:rsidRPr="00280551">
        <w:rPr>
          <w:b/>
        </w:rPr>
        <w:t>Annexe 2</w:t>
      </w:r>
    </w:p>
    <w:p w:rsidR="00280551" w:rsidRDefault="00280551" w:rsidP="00280551">
      <w:pPr>
        <w:jc w:val="center"/>
        <w:rPr>
          <w:b/>
        </w:rPr>
      </w:pPr>
    </w:p>
    <w:p w:rsidR="00280551" w:rsidRPr="005F24A3" w:rsidRDefault="00280551" w:rsidP="00280551">
      <w:pPr>
        <w:jc w:val="center"/>
        <w:rPr>
          <w:b/>
          <w:u w:val="single"/>
        </w:rPr>
      </w:pPr>
      <w:r w:rsidRPr="005F24A3">
        <w:rPr>
          <w:b/>
          <w:u w:val="single"/>
        </w:rPr>
        <w:t xml:space="preserve">Extraits </w:t>
      </w:r>
      <w:r w:rsidR="005F24A3">
        <w:rPr>
          <w:b/>
          <w:u w:val="single"/>
        </w:rPr>
        <w:t>de l’analyse financière</w:t>
      </w:r>
      <w:r w:rsidRPr="005F24A3">
        <w:rPr>
          <w:b/>
          <w:u w:val="single"/>
        </w:rPr>
        <w:t xml:space="preserve"> de la société Phone Solving</w:t>
      </w:r>
      <w:r w:rsidR="005F24A3">
        <w:rPr>
          <w:b/>
          <w:u w:val="single"/>
        </w:rPr>
        <w:t xml:space="preserve"> en 2009</w:t>
      </w:r>
    </w:p>
    <w:p w:rsidR="00280551" w:rsidRDefault="00280551" w:rsidP="00280551">
      <w:pPr>
        <w:jc w:val="center"/>
      </w:pPr>
    </w:p>
    <w:p w:rsidR="003C6C2A" w:rsidRPr="00280551" w:rsidRDefault="005F24A3" w:rsidP="00280551">
      <w:pPr>
        <w:rPr>
          <w:b/>
        </w:rPr>
      </w:pPr>
      <w:r>
        <w:rPr>
          <w:b/>
        </w:rPr>
        <w:t>Activité et profitabilité</w:t>
      </w:r>
    </w:p>
    <w:p w:rsidR="003C6C2A" w:rsidRDefault="003C6C2A" w:rsidP="003C6C2A">
      <w:pPr>
        <w:jc w:val="both"/>
      </w:pPr>
      <w:r>
        <w:t>Le volume d’appels, en minutes, a augmenté de près de 30% par rapport à 2008. Le chiffre d’affaires n’ayant pas augmenté dans les mêmes proportions, tant s’en faut, cette évolution souligne l’érosion des prix de vente provoquée par une intensification de la concurrence internationale. En outre, la conférence « Top Meeting » réalise près de 80% du chiffre d’affaires global</w:t>
      </w:r>
      <w:r w:rsidR="005F24A3">
        <w:t xml:space="preserve"> (pourcentage stable depuis plusieurs années)</w:t>
      </w:r>
      <w:r>
        <w:t xml:space="preserve">, or c’est sur ce produit que la concurrence est particulièrement vive. Par contre, Phone Solving reste toujours bien positionnée sur le segment des « grands événements européens » en raison de sa notoriété et de son avance technologique. La répartition du chiffre d’affaires constitue un motif d’inquiétude pour les dirigeants. En effet, 40% du chiffre d’affaires est réalisé par seulement une quinzaine de clients. La profitabilité de Phone Solving semble pénalisée par la politique commerciale qui vise à accroître le volume de ventes au détriment du prix.  </w:t>
      </w:r>
    </w:p>
    <w:p w:rsidR="003C6C2A" w:rsidRDefault="003C6C2A" w:rsidP="003C6C2A">
      <w:pPr>
        <w:jc w:val="both"/>
      </w:pPr>
    </w:p>
    <w:p w:rsidR="005F24A3" w:rsidRPr="005F24A3" w:rsidRDefault="003C6C2A" w:rsidP="003C6C2A">
      <w:pPr>
        <w:jc w:val="both"/>
        <w:rPr>
          <w:b/>
        </w:rPr>
      </w:pPr>
      <w:r w:rsidRPr="005F24A3">
        <w:rPr>
          <w:b/>
        </w:rPr>
        <w:t xml:space="preserve">Capital et endettement </w:t>
      </w:r>
    </w:p>
    <w:p w:rsidR="003C6C2A" w:rsidRDefault="003C6C2A" w:rsidP="003C6C2A">
      <w:pPr>
        <w:jc w:val="both"/>
      </w:pPr>
      <w:r>
        <w:t xml:space="preserve">Les besoins en liquidités de Phone Solving proviennent principalement du besoin en fonds de roulement inhérent à son activité, de ses investissements en équipements de télécommunications, en ponts de téléconférence, en serveurs, ordinateurs et logiciels et en remboursement et règlement des intérêts de ses emprunts.   </w:t>
      </w:r>
    </w:p>
    <w:p w:rsidR="003C6C2A" w:rsidRDefault="003C6C2A" w:rsidP="003C6C2A">
      <w:pPr>
        <w:jc w:val="both"/>
      </w:pPr>
      <w:r>
        <w:t>La stratégie de croissance de 2001 à 2005 s’est traduite par un fort endettement et une rentabilité négative. La société a réalisé en 2008  une augmentation de capital conséquente qui a permis d’assainir progressivement la situation financière. D’ailleurs, le solde des opérations de financement de 2009 correspond essentiellement au remboursement du principal et au versement des intérêts de la dette financière.</w:t>
      </w:r>
    </w:p>
    <w:p w:rsidR="005F24A3" w:rsidRDefault="003C6C2A" w:rsidP="003C6C2A">
      <w:pPr>
        <w:jc w:val="both"/>
      </w:pPr>
      <w:r>
        <w:t xml:space="preserve">Le capital de Phone Solving est largement dilué. Seul un fonds d’investissement Hugo Patrimoine a déclaré avoir franchi le seuil de 5% du capital en 2008. Avec environ 6% du capital, il apparaît comme le principal actionnaire. Toutefois, son objectif n’est pas de s’immiscer dans la gestion de l’entreprise mais plutôt  de céder ses titres au plus vite en réalisant une plus-value. </w:t>
      </w:r>
    </w:p>
    <w:p w:rsidR="003C6C2A" w:rsidRDefault="003C6C2A" w:rsidP="003C6C2A">
      <w:pPr>
        <w:jc w:val="both"/>
      </w:pPr>
      <w:r w:rsidRPr="00DE6F87">
        <w:t>Phone Solving n’a jamais distribué de dividendes</w:t>
      </w:r>
      <w:r>
        <w:t xml:space="preserve"> depuis son introduction sur Alternext.</w:t>
      </w:r>
    </w:p>
    <w:p w:rsidR="00A311DA" w:rsidRDefault="00A311DA" w:rsidP="005F24A3">
      <w:pPr>
        <w:jc w:val="center"/>
        <w:rPr>
          <w:b/>
        </w:rPr>
      </w:pPr>
    </w:p>
    <w:p w:rsidR="00FF5999" w:rsidRDefault="00FF5999" w:rsidP="005F24A3">
      <w:pPr>
        <w:jc w:val="center"/>
        <w:rPr>
          <w:b/>
        </w:rPr>
      </w:pPr>
    </w:p>
    <w:p w:rsidR="005F24A3" w:rsidRPr="005F24A3" w:rsidRDefault="003C6C2A" w:rsidP="005F24A3">
      <w:pPr>
        <w:jc w:val="center"/>
        <w:rPr>
          <w:b/>
        </w:rPr>
      </w:pPr>
      <w:r w:rsidRPr="005F24A3">
        <w:rPr>
          <w:b/>
        </w:rPr>
        <w:t xml:space="preserve">Annexe </w:t>
      </w:r>
      <w:r w:rsidR="005F24A3" w:rsidRPr="005F24A3">
        <w:rPr>
          <w:b/>
        </w:rPr>
        <w:t>3</w:t>
      </w:r>
    </w:p>
    <w:p w:rsidR="00FF5999" w:rsidRDefault="00FF5999" w:rsidP="00FF5999">
      <w:pPr>
        <w:rPr>
          <w:b/>
        </w:rPr>
      </w:pPr>
    </w:p>
    <w:p w:rsidR="00FF5999" w:rsidRPr="00FF5999" w:rsidRDefault="00FF5999" w:rsidP="00FF5999">
      <w:pPr>
        <w:jc w:val="center"/>
        <w:rPr>
          <w:b/>
          <w:u w:val="single"/>
        </w:rPr>
      </w:pPr>
      <w:r w:rsidRPr="00FF5999">
        <w:rPr>
          <w:b/>
          <w:u w:val="single"/>
        </w:rPr>
        <w:t>Informations relatives au coût du capital de la société Phone Solving</w:t>
      </w:r>
    </w:p>
    <w:p w:rsidR="00FF5999" w:rsidRDefault="00FF5999" w:rsidP="00FF5999">
      <w:pPr>
        <w:rPr>
          <w:b/>
        </w:rPr>
      </w:pPr>
    </w:p>
    <w:p w:rsidR="00A311DA" w:rsidRPr="00FF5999" w:rsidRDefault="00A311DA" w:rsidP="00A311DA">
      <w:pPr>
        <w:jc w:val="both"/>
        <w:rPr>
          <w:b/>
        </w:rPr>
      </w:pPr>
      <w:r w:rsidRPr="00FF5999">
        <w:rPr>
          <w:b/>
        </w:rPr>
        <w:t>Méthodologie</w:t>
      </w:r>
    </w:p>
    <w:p w:rsidR="00A311DA" w:rsidRDefault="00A311DA" w:rsidP="00A311DA">
      <w:pPr>
        <w:jc w:val="both"/>
      </w:pPr>
    </w:p>
    <w:p w:rsidR="00A311DA" w:rsidRDefault="00A311DA" w:rsidP="00A311DA">
      <w:pPr>
        <w:jc w:val="both"/>
      </w:pPr>
      <w:r>
        <w:t xml:space="preserve">La valeur de marché de la dette sera appréciée à partir de leur valeur de clôture de l’exercice 2009 (voir annexe 1). </w:t>
      </w:r>
    </w:p>
    <w:p w:rsidR="00A311DA" w:rsidRDefault="00A311DA" w:rsidP="00A311DA">
      <w:pPr>
        <w:jc w:val="both"/>
      </w:pPr>
      <w:r>
        <w:t xml:space="preserve">La valeur de marché des capitaux propres sera appréciée sur la base du cours moyen 2009 de l’action. </w:t>
      </w:r>
    </w:p>
    <w:p w:rsidR="00A311DA" w:rsidRDefault="00A311DA" w:rsidP="00A311DA">
      <w:pPr>
        <w:jc w:val="both"/>
      </w:pPr>
      <w:r>
        <w:t>Le taux moyen d’intérêt de la dette de la société Phone Solving est de 6%.</w:t>
      </w:r>
    </w:p>
    <w:p w:rsidR="00A311DA" w:rsidRDefault="00A311DA" w:rsidP="00A311DA">
      <w:pPr>
        <w:jc w:val="both"/>
      </w:pPr>
      <w:r>
        <w:t>La prime de risque de marché est de 7%.</w:t>
      </w:r>
    </w:p>
    <w:p w:rsidR="00A311DA" w:rsidRDefault="00A311DA" w:rsidP="00A311DA">
      <w:pPr>
        <w:jc w:val="both"/>
      </w:pPr>
      <w:r>
        <w:t>Le taux des emprunts émis par le Trésor (OAT) est de 4,5%.</w:t>
      </w:r>
    </w:p>
    <w:p w:rsidR="00A311DA" w:rsidRDefault="00A311DA" w:rsidP="00FF5999">
      <w:pPr>
        <w:rPr>
          <w:b/>
        </w:rPr>
      </w:pPr>
    </w:p>
    <w:p w:rsidR="00DF5D9D" w:rsidRPr="00FF5999" w:rsidRDefault="00AC321A" w:rsidP="00FF5999">
      <w:pPr>
        <w:rPr>
          <w:b/>
        </w:rPr>
      </w:pPr>
      <w:r w:rsidRPr="00FF5999">
        <w:rPr>
          <w:b/>
        </w:rPr>
        <w:lastRenderedPageBreak/>
        <w:t>Rentabilité sur les 5 derniers exercices</w:t>
      </w:r>
      <w:r w:rsidR="00A311DA">
        <w:rPr>
          <w:b/>
        </w:rPr>
        <w:t xml:space="preserve"> de l’action Phone Solving et des actions Alternext</w:t>
      </w:r>
    </w:p>
    <w:p w:rsidR="00DF5D9D" w:rsidRDefault="00DF5D9D" w:rsidP="00DF5D9D">
      <w:pPr>
        <w:jc w:val="both"/>
      </w:pPr>
    </w:p>
    <w:tbl>
      <w:tblPr>
        <w:tblW w:w="0" w:type="auto"/>
        <w:tblInd w:w="55" w:type="dxa"/>
        <w:tblLayout w:type="fixed"/>
        <w:tblCellMar>
          <w:left w:w="70" w:type="dxa"/>
          <w:right w:w="70" w:type="dxa"/>
        </w:tblCellMar>
        <w:tblLook w:val="04A0" w:firstRow="1" w:lastRow="0" w:firstColumn="1" w:lastColumn="0" w:noHBand="0" w:noVBand="1"/>
      </w:tblPr>
      <w:tblGrid>
        <w:gridCol w:w="1433"/>
        <w:gridCol w:w="1701"/>
        <w:gridCol w:w="1701"/>
        <w:gridCol w:w="1843"/>
        <w:gridCol w:w="2409"/>
      </w:tblGrid>
      <w:tr w:rsidR="003C6C2A" w:rsidRPr="00FF5999">
        <w:trPr>
          <w:trHeight w:val="850"/>
        </w:trPr>
        <w:tc>
          <w:tcPr>
            <w:tcW w:w="1433" w:type="dxa"/>
            <w:tcBorders>
              <w:top w:val="single" w:sz="8" w:space="0" w:color="auto"/>
              <w:left w:val="single" w:sz="8" w:space="0" w:color="auto"/>
              <w:bottom w:val="single" w:sz="8" w:space="0" w:color="auto"/>
              <w:right w:val="single" w:sz="8" w:space="0" w:color="auto"/>
            </w:tcBorders>
            <w:shd w:val="clear" w:color="auto" w:fill="auto"/>
            <w:noWrap/>
            <w:vAlign w:val="center"/>
          </w:tcPr>
          <w:p w:rsidR="003C6C2A" w:rsidRPr="00FF5999" w:rsidRDefault="003C6C2A" w:rsidP="003C6C2A">
            <w:pPr>
              <w:jc w:val="center"/>
            </w:pPr>
            <w:r w:rsidRPr="00FF5999">
              <w:t>Périodes</w:t>
            </w:r>
          </w:p>
        </w:tc>
        <w:tc>
          <w:tcPr>
            <w:tcW w:w="1701" w:type="dxa"/>
            <w:tcBorders>
              <w:top w:val="single" w:sz="8" w:space="0" w:color="auto"/>
              <w:left w:val="nil"/>
              <w:bottom w:val="single" w:sz="8" w:space="0" w:color="auto"/>
              <w:right w:val="single" w:sz="8" w:space="0" w:color="auto"/>
            </w:tcBorders>
            <w:shd w:val="clear" w:color="auto" w:fill="auto"/>
            <w:vAlign w:val="center"/>
          </w:tcPr>
          <w:p w:rsidR="003C6C2A" w:rsidRPr="00FF5999" w:rsidRDefault="003C6C2A" w:rsidP="00FF5999">
            <w:pPr>
              <w:jc w:val="center"/>
            </w:pPr>
            <w:r w:rsidRPr="00FF5999">
              <w:t xml:space="preserve">Indice </w:t>
            </w:r>
            <w:r w:rsidR="00AC321A" w:rsidRPr="00FF5999">
              <w:t>Alternex</w:t>
            </w:r>
            <w:r w:rsidRPr="00FF5999">
              <w:t xml:space="preserve">t  </w:t>
            </w:r>
          </w:p>
        </w:tc>
        <w:tc>
          <w:tcPr>
            <w:tcW w:w="1701" w:type="dxa"/>
            <w:tcBorders>
              <w:top w:val="single" w:sz="8" w:space="0" w:color="auto"/>
              <w:left w:val="nil"/>
              <w:bottom w:val="single" w:sz="8" w:space="0" w:color="auto"/>
              <w:right w:val="single" w:sz="8" w:space="0" w:color="auto"/>
            </w:tcBorders>
            <w:shd w:val="clear" w:color="auto" w:fill="auto"/>
            <w:vAlign w:val="center"/>
          </w:tcPr>
          <w:p w:rsidR="003C6C2A" w:rsidRPr="00FF5999" w:rsidRDefault="003C6C2A" w:rsidP="003C6C2A">
            <w:pPr>
              <w:jc w:val="center"/>
            </w:pPr>
            <w:r w:rsidRPr="00FF5999">
              <w:t>Cours de Phone Solving en €</w:t>
            </w:r>
          </w:p>
        </w:tc>
        <w:tc>
          <w:tcPr>
            <w:tcW w:w="1843" w:type="dxa"/>
            <w:tcBorders>
              <w:top w:val="single" w:sz="8" w:space="0" w:color="auto"/>
              <w:left w:val="nil"/>
              <w:bottom w:val="single" w:sz="8" w:space="0" w:color="auto"/>
              <w:right w:val="single" w:sz="8" w:space="0" w:color="auto"/>
            </w:tcBorders>
            <w:shd w:val="clear" w:color="auto" w:fill="auto"/>
            <w:vAlign w:val="center"/>
          </w:tcPr>
          <w:p w:rsidR="003C6C2A" w:rsidRPr="00FF5999" w:rsidRDefault="003C6C2A" w:rsidP="00FF5999">
            <w:pPr>
              <w:jc w:val="center"/>
            </w:pPr>
            <w:r w:rsidRPr="00FF5999">
              <w:t>Rentabilité des actions d'Alternext en %</w:t>
            </w:r>
          </w:p>
        </w:tc>
        <w:tc>
          <w:tcPr>
            <w:tcW w:w="2409" w:type="dxa"/>
            <w:tcBorders>
              <w:top w:val="single" w:sz="8" w:space="0" w:color="auto"/>
              <w:left w:val="nil"/>
              <w:bottom w:val="single" w:sz="8" w:space="0" w:color="auto"/>
              <w:right w:val="single" w:sz="8" w:space="0" w:color="auto"/>
            </w:tcBorders>
            <w:shd w:val="clear" w:color="auto" w:fill="auto"/>
            <w:vAlign w:val="center"/>
          </w:tcPr>
          <w:p w:rsidR="003C6C2A" w:rsidRPr="00FF5999" w:rsidRDefault="003C6C2A" w:rsidP="00FF5999">
            <w:pPr>
              <w:jc w:val="center"/>
            </w:pPr>
            <w:r w:rsidRPr="00FF5999">
              <w:t xml:space="preserve">Rentabilité de l'action Phone </w:t>
            </w:r>
            <w:r w:rsidR="00FF5999">
              <w:t>S</w:t>
            </w:r>
            <w:r w:rsidRPr="00FF5999">
              <w:t>olving en %</w:t>
            </w:r>
          </w:p>
        </w:tc>
      </w:tr>
      <w:tr w:rsidR="003C6C2A" w:rsidRPr="00FF5999">
        <w:trPr>
          <w:trHeight w:val="255"/>
        </w:trPr>
        <w:tc>
          <w:tcPr>
            <w:tcW w:w="1433" w:type="dxa"/>
            <w:tcBorders>
              <w:top w:val="nil"/>
              <w:left w:val="single" w:sz="8" w:space="0" w:color="auto"/>
              <w:bottom w:val="nil"/>
              <w:right w:val="single" w:sz="8" w:space="0" w:color="auto"/>
            </w:tcBorders>
            <w:shd w:val="clear" w:color="auto" w:fill="auto"/>
            <w:noWrap/>
            <w:vAlign w:val="bottom"/>
          </w:tcPr>
          <w:p w:rsidR="003C6C2A" w:rsidRPr="00FF5999" w:rsidRDefault="00097A2B" w:rsidP="003C6C2A">
            <w:pPr>
              <w:jc w:val="center"/>
            </w:pPr>
            <w:r w:rsidRPr="00FF5999">
              <w:t>2004</w:t>
            </w:r>
          </w:p>
        </w:tc>
        <w:tc>
          <w:tcPr>
            <w:tcW w:w="1701" w:type="dxa"/>
            <w:tcBorders>
              <w:top w:val="nil"/>
              <w:left w:val="nil"/>
              <w:bottom w:val="nil"/>
              <w:right w:val="single" w:sz="8" w:space="0" w:color="auto"/>
            </w:tcBorders>
            <w:shd w:val="clear" w:color="auto" w:fill="auto"/>
            <w:noWrap/>
            <w:vAlign w:val="bottom"/>
          </w:tcPr>
          <w:p w:rsidR="003C6C2A" w:rsidRPr="00FF5999" w:rsidRDefault="003C6C2A" w:rsidP="003C6C2A">
            <w:pPr>
              <w:jc w:val="center"/>
            </w:pPr>
            <w:r w:rsidRPr="00FF5999">
              <w:t>1250</w:t>
            </w:r>
          </w:p>
        </w:tc>
        <w:tc>
          <w:tcPr>
            <w:tcW w:w="1701" w:type="dxa"/>
            <w:tcBorders>
              <w:top w:val="nil"/>
              <w:left w:val="nil"/>
              <w:bottom w:val="nil"/>
              <w:right w:val="single" w:sz="8" w:space="0" w:color="auto"/>
            </w:tcBorders>
            <w:shd w:val="clear" w:color="auto" w:fill="auto"/>
            <w:noWrap/>
            <w:vAlign w:val="bottom"/>
          </w:tcPr>
          <w:p w:rsidR="003C6C2A" w:rsidRPr="00FF5999" w:rsidRDefault="003C6C2A" w:rsidP="003C6C2A">
            <w:pPr>
              <w:jc w:val="center"/>
            </w:pPr>
            <w:r w:rsidRPr="00FF5999">
              <w:t>1,30</w:t>
            </w:r>
          </w:p>
        </w:tc>
        <w:tc>
          <w:tcPr>
            <w:tcW w:w="1843" w:type="dxa"/>
            <w:tcBorders>
              <w:top w:val="nil"/>
              <w:left w:val="nil"/>
              <w:bottom w:val="nil"/>
              <w:right w:val="single" w:sz="8" w:space="0" w:color="auto"/>
            </w:tcBorders>
            <w:shd w:val="clear" w:color="auto" w:fill="auto"/>
            <w:noWrap/>
            <w:vAlign w:val="bottom"/>
          </w:tcPr>
          <w:p w:rsidR="003C6C2A" w:rsidRPr="00FF5999" w:rsidRDefault="003C6C2A" w:rsidP="003C6C2A">
            <w:pPr>
              <w:jc w:val="center"/>
            </w:pPr>
          </w:p>
        </w:tc>
        <w:tc>
          <w:tcPr>
            <w:tcW w:w="2409" w:type="dxa"/>
            <w:tcBorders>
              <w:top w:val="nil"/>
              <w:left w:val="nil"/>
              <w:bottom w:val="nil"/>
              <w:right w:val="single" w:sz="8" w:space="0" w:color="auto"/>
            </w:tcBorders>
            <w:shd w:val="clear" w:color="auto" w:fill="auto"/>
            <w:noWrap/>
            <w:vAlign w:val="bottom"/>
          </w:tcPr>
          <w:p w:rsidR="003C6C2A" w:rsidRPr="00FF5999" w:rsidRDefault="003C6C2A" w:rsidP="003C6C2A">
            <w:pPr>
              <w:jc w:val="center"/>
            </w:pPr>
          </w:p>
        </w:tc>
      </w:tr>
      <w:tr w:rsidR="003C6C2A" w:rsidRPr="00FF5999">
        <w:trPr>
          <w:trHeight w:val="255"/>
        </w:trPr>
        <w:tc>
          <w:tcPr>
            <w:tcW w:w="1433" w:type="dxa"/>
            <w:tcBorders>
              <w:top w:val="nil"/>
              <w:left w:val="single" w:sz="8" w:space="0" w:color="auto"/>
              <w:bottom w:val="nil"/>
              <w:right w:val="single" w:sz="8" w:space="0" w:color="auto"/>
            </w:tcBorders>
            <w:shd w:val="clear" w:color="auto" w:fill="auto"/>
            <w:noWrap/>
            <w:vAlign w:val="bottom"/>
          </w:tcPr>
          <w:p w:rsidR="003C6C2A" w:rsidRPr="00FF5999" w:rsidRDefault="00097A2B" w:rsidP="003C6C2A">
            <w:pPr>
              <w:jc w:val="center"/>
            </w:pPr>
            <w:r w:rsidRPr="00FF5999">
              <w:t>2005</w:t>
            </w:r>
          </w:p>
        </w:tc>
        <w:tc>
          <w:tcPr>
            <w:tcW w:w="1701" w:type="dxa"/>
            <w:tcBorders>
              <w:top w:val="nil"/>
              <w:left w:val="nil"/>
              <w:bottom w:val="nil"/>
              <w:right w:val="single" w:sz="8" w:space="0" w:color="auto"/>
            </w:tcBorders>
            <w:shd w:val="clear" w:color="auto" w:fill="auto"/>
            <w:noWrap/>
            <w:vAlign w:val="bottom"/>
          </w:tcPr>
          <w:p w:rsidR="003C6C2A" w:rsidRPr="00FF5999" w:rsidRDefault="003C6C2A" w:rsidP="003C6C2A">
            <w:pPr>
              <w:jc w:val="center"/>
            </w:pPr>
            <w:r w:rsidRPr="00FF5999">
              <w:t>1345</w:t>
            </w:r>
          </w:p>
        </w:tc>
        <w:tc>
          <w:tcPr>
            <w:tcW w:w="1701" w:type="dxa"/>
            <w:tcBorders>
              <w:top w:val="nil"/>
              <w:left w:val="nil"/>
              <w:bottom w:val="nil"/>
              <w:right w:val="single" w:sz="8" w:space="0" w:color="auto"/>
            </w:tcBorders>
            <w:shd w:val="clear" w:color="auto" w:fill="auto"/>
            <w:noWrap/>
            <w:vAlign w:val="bottom"/>
          </w:tcPr>
          <w:p w:rsidR="003C6C2A" w:rsidRPr="00FF5999" w:rsidRDefault="003C6C2A" w:rsidP="003C6C2A">
            <w:pPr>
              <w:jc w:val="center"/>
            </w:pPr>
            <w:r w:rsidRPr="00FF5999">
              <w:t>1,50</w:t>
            </w:r>
          </w:p>
        </w:tc>
        <w:tc>
          <w:tcPr>
            <w:tcW w:w="1843" w:type="dxa"/>
            <w:tcBorders>
              <w:top w:val="nil"/>
              <w:left w:val="nil"/>
              <w:bottom w:val="nil"/>
              <w:right w:val="single" w:sz="8" w:space="0" w:color="auto"/>
            </w:tcBorders>
            <w:shd w:val="clear" w:color="auto" w:fill="auto"/>
            <w:noWrap/>
            <w:vAlign w:val="bottom"/>
          </w:tcPr>
          <w:p w:rsidR="003C6C2A" w:rsidRPr="00FF5999" w:rsidRDefault="003C6C2A" w:rsidP="003C6C2A">
            <w:pPr>
              <w:jc w:val="center"/>
            </w:pPr>
            <w:r w:rsidRPr="00FF5999">
              <w:t>7,60</w:t>
            </w:r>
          </w:p>
        </w:tc>
        <w:tc>
          <w:tcPr>
            <w:tcW w:w="2409" w:type="dxa"/>
            <w:tcBorders>
              <w:top w:val="nil"/>
              <w:left w:val="nil"/>
              <w:bottom w:val="nil"/>
              <w:right w:val="single" w:sz="8" w:space="0" w:color="auto"/>
            </w:tcBorders>
            <w:shd w:val="clear" w:color="auto" w:fill="auto"/>
            <w:noWrap/>
            <w:vAlign w:val="bottom"/>
          </w:tcPr>
          <w:p w:rsidR="003C6C2A" w:rsidRPr="00FF5999" w:rsidRDefault="003C6C2A" w:rsidP="003C6C2A">
            <w:pPr>
              <w:jc w:val="center"/>
            </w:pPr>
            <w:r w:rsidRPr="00FF5999">
              <w:t>15,38</w:t>
            </w:r>
          </w:p>
        </w:tc>
      </w:tr>
      <w:tr w:rsidR="003C6C2A" w:rsidRPr="00FF5999">
        <w:trPr>
          <w:trHeight w:val="255"/>
        </w:trPr>
        <w:tc>
          <w:tcPr>
            <w:tcW w:w="1433" w:type="dxa"/>
            <w:tcBorders>
              <w:top w:val="nil"/>
              <w:left w:val="single" w:sz="8" w:space="0" w:color="auto"/>
              <w:bottom w:val="nil"/>
              <w:right w:val="single" w:sz="8" w:space="0" w:color="auto"/>
            </w:tcBorders>
            <w:shd w:val="clear" w:color="auto" w:fill="auto"/>
            <w:noWrap/>
            <w:vAlign w:val="bottom"/>
          </w:tcPr>
          <w:p w:rsidR="003C6C2A" w:rsidRPr="00FF5999" w:rsidRDefault="00097A2B" w:rsidP="003C6C2A">
            <w:pPr>
              <w:jc w:val="center"/>
            </w:pPr>
            <w:r w:rsidRPr="00FF5999">
              <w:t>2006</w:t>
            </w:r>
          </w:p>
        </w:tc>
        <w:tc>
          <w:tcPr>
            <w:tcW w:w="1701" w:type="dxa"/>
            <w:tcBorders>
              <w:top w:val="nil"/>
              <w:left w:val="nil"/>
              <w:bottom w:val="nil"/>
              <w:right w:val="single" w:sz="8" w:space="0" w:color="auto"/>
            </w:tcBorders>
            <w:shd w:val="clear" w:color="auto" w:fill="auto"/>
            <w:noWrap/>
            <w:vAlign w:val="bottom"/>
          </w:tcPr>
          <w:p w:rsidR="003C6C2A" w:rsidRPr="00FF5999" w:rsidRDefault="003C6C2A" w:rsidP="003C6C2A">
            <w:pPr>
              <w:jc w:val="center"/>
            </w:pPr>
            <w:r w:rsidRPr="00FF5999">
              <w:t>1380</w:t>
            </w:r>
          </w:p>
        </w:tc>
        <w:tc>
          <w:tcPr>
            <w:tcW w:w="1701" w:type="dxa"/>
            <w:tcBorders>
              <w:top w:val="nil"/>
              <w:left w:val="nil"/>
              <w:bottom w:val="nil"/>
              <w:right w:val="single" w:sz="8" w:space="0" w:color="auto"/>
            </w:tcBorders>
            <w:shd w:val="clear" w:color="auto" w:fill="auto"/>
            <w:noWrap/>
            <w:vAlign w:val="bottom"/>
          </w:tcPr>
          <w:p w:rsidR="003C6C2A" w:rsidRPr="00FF5999" w:rsidRDefault="003C6C2A" w:rsidP="003C6C2A">
            <w:pPr>
              <w:jc w:val="center"/>
            </w:pPr>
            <w:r w:rsidRPr="00FF5999">
              <w:t>1,75</w:t>
            </w:r>
          </w:p>
        </w:tc>
        <w:tc>
          <w:tcPr>
            <w:tcW w:w="1843" w:type="dxa"/>
            <w:tcBorders>
              <w:top w:val="nil"/>
              <w:left w:val="nil"/>
              <w:bottom w:val="nil"/>
              <w:right w:val="single" w:sz="8" w:space="0" w:color="auto"/>
            </w:tcBorders>
            <w:shd w:val="clear" w:color="auto" w:fill="auto"/>
            <w:noWrap/>
            <w:vAlign w:val="bottom"/>
          </w:tcPr>
          <w:p w:rsidR="003C6C2A" w:rsidRPr="00FF5999" w:rsidRDefault="003C6C2A" w:rsidP="003C6C2A">
            <w:pPr>
              <w:jc w:val="center"/>
            </w:pPr>
            <w:r w:rsidRPr="00FF5999">
              <w:t>2,60</w:t>
            </w:r>
          </w:p>
        </w:tc>
        <w:tc>
          <w:tcPr>
            <w:tcW w:w="2409" w:type="dxa"/>
            <w:tcBorders>
              <w:top w:val="nil"/>
              <w:left w:val="nil"/>
              <w:bottom w:val="nil"/>
              <w:right w:val="single" w:sz="8" w:space="0" w:color="auto"/>
            </w:tcBorders>
            <w:shd w:val="clear" w:color="auto" w:fill="auto"/>
            <w:noWrap/>
            <w:vAlign w:val="bottom"/>
          </w:tcPr>
          <w:p w:rsidR="003C6C2A" w:rsidRPr="00FF5999" w:rsidRDefault="003C6C2A" w:rsidP="003C6C2A">
            <w:pPr>
              <w:jc w:val="center"/>
            </w:pPr>
            <w:r w:rsidRPr="00FF5999">
              <w:t>16,67</w:t>
            </w:r>
          </w:p>
        </w:tc>
      </w:tr>
      <w:tr w:rsidR="003C6C2A" w:rsidRPr="00FF5999">
        <w:trPr>
          <w:trHeight w:val="255"/>
        </w:trPr>
        <w:tc>
          <w:tcPr>
            <w:tcW w:w="1433" w:type="dxa"/>
            <w:tcBorders>
              <w:top w:val="nil"/>
              <w:left w:val="single" w:sz="8" w:space="0" w:color="auto"/>
              <w:bottom w:val="nil"/>
              <w:right w:val="single" w:sz="8" w:space="0" w:color="auto"/>
            </w:tcBorders>
            <w:shd w:val="clear" w:color="auto" w:fill="auto"/>
            <w:noWrap/>
            <w:vAlign w:val="bottom"/>
          </w:tcPr>
          <w:p w:rsidR="003C6C2A" w:rsidRPr="00FF5999" w:rsidRDefault="00097A2B" w:rsidP="003C6C2A">
            <w:pPr>
              <w:jc w:val="center"/>
            </w:pPr>
            <w:r w:rsidRPr="00FF5999">
              <w:t>2007</w:t>
            </w:r>
          </w:p>
        </w:tc>
        <w:tc>
          <w:tcPr>
            <w:tcW w:w="1701" w:type="dxa"/>
            <w:tcBorders>
              <w:top w:val="nil"/>
              <w:left w:val="nil"/>
              <w:bottom w:val="nil"/>
              <w:right w:val="single" w:sz="8" w:space="0" w:color="auto"/>
            </w:tcBorders>
            <w:shd w:val="clear" w:color="auto" w:fill="auto"/>
            <w:noWrap/>
            <w:vAlign w:val="bottom"/>
          </w:tcPr>
          <w:p w:rsidR="003C6C2A" w:rsidRPr="00FF5999" w:rsidRDefault="003C6C2A" w:rsidP="003C6C2A">
            <w:pPr>
              <w:jc w:val="center"/>
            </w:pPr>
            <w:r w:rsidRPr="00FF5999">
              <w:t>1260</w:t>
            </w:r>
          </w:p>
        </w:tc>
        <w:tc>
          <w:tcPr>
            <w:tcW w:w="1701" w:type="dxa"/>
            <w:tcBorders>
              <w:top w:val="nil"/>
              <w:left w:val="nil"/>
              <w:bottom w:val="nil"/>
              <w:right w:val="single" w:sz="8" w:space="0" w:color="auto"/>
            </w:tcBorders>
            <w:shd w:val="clear" w:color="auto" w:fill="auto"/>
            <w:noWrap/>
            <w:vAlign w:val="bottom"/>
          </w:tcPr>
          <w:p w:rsidR="003C6C2A" w:rsidRPr="00FF5999" w:rsidRDefault="003C6C2A" w:rsidP="003C6C2A">
            <w:pPr>
              <w:jc w:val="center"/>
            </w:pPr>
            <w:r w:rsidRPr="00FF5999">
              <w:t>1,60</w:t>
            </w:r>
          </w:p>
        </w:tc>
        <w:tc>
          <w:tcPr>
            <w:tcW w:w="1843" w:type="dxa"/>
            <w:tcBorders>
              <w:top w:val="nil"/>
              <w:left w:val="nil"/>
              <w:bottom w:val="nil"/>
              <w:right w:val="single" w:sz="8" w:space="0" w:color="auto"/>
            </w:tcBorders>
            <w:shd w:val="clear" w:color="auto" w:fill="auto"/>
            <w:noWrap/>
            <w:vAlign w:val="bottom"/>
          </w:tcPr>
          <w:p w:rsidR="003C6C2A" w:rsidRPr="00FF5999" w:rsidRDefault="003C6C2A" w:rsidP="003C6C2A">
            <w:pPr>
              <w:jc w:val="center"/>
            </w:pPr>
            <w:r w:rsidRPr="00FF5999">
              <w:t>-8,70</w:t>
            </w:r>
          </w:p>
        </w:tc>
        <w:tc>
          <w:tcPr>
            <w:tcW w:w="2409" w:type="dxa"/>
            <w:tcBorders>
              <w:top w:val="nil"/>
              <w:left w:val="nil"/>
              <w:bottom w:val="nil"/>
              <w:right w:val="single" w:sz="8" w:space="0" w:color="auto"/>
            </w:tcBorders>
            <w:shd w:val="clear" w:color="auto" w:fill="auto"/>
            <w:noWrap/>
            <w:vAlign w:val="bottom"/>
          </w:tcPr>
          <w:p w:rsidR="003C6C2A" w:rsidRPr="00FF5999" w:rsidRDefault="003C6C2A" w:rsidP="003C6C2A">
            <w:pPr>
              <w:jc w:val="center"/>
            </w:pPr>
            <w:r w:rsidRPr="00FF5999">
              <w:t>-8,57</w:t>
            </w:r>
          </w:p>
        </w:tc>
      </w:tr>
      <w:tr w:rsidR="003C6C2A" w:rsidRPr="00FF5999">
        <w:trPr>
          <w:trHeight w:val="255"/>
        </w:trPr>
        <w:tc>
          <w:tcPr>
            <w:tcW w:w="1433" w:type="dxa"/>
            <w:tcBorders>
              <w:top w:val="nil"/>
              <w:left w:val="single" w:sz="8" w:space="0" w:color="auto"/>
              <w:bottom w:val="nil"/>
              <w:right w:val="single" w:sz="8" w:space="0" w:color="auto"/>
            </w:tcBorders>
            <w:shd w:val="clear" w:color="auto" w:fill="auto"/>
            <w:noWrap/>
            <w:vAlign w:val="bottom"/>
          </w:tcPr>
          <w:p w:rsidR="003C6C2A" w:rsidRPr="00FF5999" w:rsidRDefault="00097A2B" w:rsidP="003C6C2A">
            <w:pPr>
              <w:jc w:val="center"/>
            </w:pPr>
            <w:r w:rsidRPr="00FF5999">
              <w:t>2008</w:t>
            </w:r>
          </w:p>
        </w:tc>
        <w:tc>
          <w:tcPr>
            <w:tcW w:w="1701" w:type="dxa"/>
            <w:tcBorders>
              <w:top w:val="nil"/>
              <w:left w:val="nil"/>
              <w:bottom w:val="nil"/>
              <w:right w:val="single" w:sz="8" w:space="0" w:color="auto"/>
            </w:tcBorders>
            <w:shd w:val="clear" w:color="auto" w:fill="auto"/>
            <w:noWrap/>
            <w:vAlign w:val="bottom"/>
          </w:tcPr>
          <w:p w:rsidR="003C6C2A" w:rsidRPr="00FF5999" w:rsidRDefault="003C6C2A" w:rsidP="003C6C2A">
            <w:pPr>
              <w:jc w:val="center"/>
            </w:pPr>
            <w:r w:rsidRPr="00FF5999">
              <w:t>1100</w:t>
            </w:r>
          </w:p>
        </w:tc>
        <w:tc>
          <w:tcPr>
            <w:tcW w:w="1701" w:type="dxa"/>
            <w:tcBorders>
              <w:top w:val="nil"/>
              <w:left w:val="nil"/>
              <w:bottom w:val="nil"/>
              <w:right w:val="single" w:sz="8" w:space="0" w:color="auto"/>
            </w:tcBorders>
            <w:shd w:val="clear" w:color="auto" w:fill="auto"/>
            <w:noWrap/>
            <w:vAlign w:val="bottom"/>
          </w:tcPr>
          <w:p w:rsidR="003C6C2A" w:rsidRPr="00FF5999" w:rsidRDefault="003C6C2A" w:rsidP="003C6C2A">
            <w:pPr>
              <w:jc w:val="center"/>
            </w:pPr>
            <w:r w:rsidRPr="00FF5999">
              <w:t>1,55</w:t>
            </w:r>
          </w:p>
        </w:tc>
        <w:tc>
          <w:tcPr>
            <w:tcW w:w="1843" w:type="dxa"/>
            <w:tcBorders>
              <w:top w:val="nil"/>
              <w:left w:val="nil"/>
              <w:bottom w:val="nil"/>
              <w:right w:val="single" w:sz="8" w:space="0" w:color="auto"/>
            </w:tcBorders>
            <w:shd w:val="clear" w:color="auto" w:fill="auto"/>
            <w:noWrap/>
            <w:vAlign w:val="bottom"/>
          </w:tcPr>
          <w:p w:rsidR="003C6C2A" w:rsidRPr="00FF5999" w:rsidRDefault="003C6C2A" w:rsidP="003C6C2A">
            <w:pPr>
              <w:jc w:val="center"/>
            </w:pPr>
            <w:r w:rsidRPr="00FF5999">
              <w:t>-12,70</w:t>
            </w:r>
          </w:p>
        </w:tc>
        <w:tc>
          <w:tcPr>
            <w:tcW w:w="2409" w:type="dxa"/>
            <w:tcBorders>
              <w:top w:val="nil"/>
              <w:left w:val="nil"/>
              <w:bottom w:val="nil"/>
              <w:right w:val="single" w:sz="8" w:space="0" w:color="auto"/>
            </w:tcBorders>
            <w:shd w:val="clear" w:color="auto" w:fill="auto"/>
            <w:noWrap/>
            <w:vAlign w:val="bottom"/>
          </w:tcPr>
          <w:p w:rsidR="003C6C2A" w:rsidRPr="00FF5999" w:rsidRDefault="003C6C2A" w:rsidP="003C6C2A">
            <w:pPr>
              <w:jc w:val="center"/>
            </w:pPr>
            <w:r w:rsidRPr="00FF5999">
              <w:t>-3,13</w:t>
            </w:r>
          </w:p>
        </w:tc>
      </w:tr>
      <w:tr w:rsidR="003C6C2A" w:rsidRPr="00FF5999">
        <w:trPr>
          <w:trHeight w:val="270"/>
        </w:trPr>
        <w:tc>
          <w:tcPr>
            <w:tcW w:w="1433" w:type="dxa"/>
            <w:tcBorders>
              <w:top w:val="nil"/>
              <w:left w:val="single" w:sz="8" w:space="0" w:color="auto"/>
              <w:bottom w:val="single" w:sz="8" w:space="0" w:color="auto"/>
              <w:right w:val="single" w:sz="8" w:space="0" w:color="auto"/>
            </w:tcBorders>
            <w:shd w:val="clear" w:color="auto" w:fill="auto"/>
            <w:noWrap/>
            <w:vAlign w:val="bottom"/>
          </w:tcPr>
          <w:p w:rsidR="003C6C2A" w:rsidRPr="00FF5999" w:rsidRDefault="00097A2B" w:rsidP="003C6C2A">
            <w:pPr>
              <w:jc w:val="center"/>
            </w:pPr>
            <w:r w:rsidRPr="00FF5999">
              <w:t>2009</w:t>
            </w:r>
          </w:p>
        </w:tc>
        <w:tc>
          <w:tcPr>
            <w:tcW w:w="1701" w:type="dxa"/>
            <w:tcBorders>
              <w:top w:val="nil"/>
              <w:left w:val="nil"/>
              <w:bottom w:val="single" w:sz="8" w:space="0" w:color="auto"/>
              <w:right w:val="single" w:sz="8" w:space="0" w:color="auto"/>
            </w:tcBorders>
            <w:shd w:val="clear" w:color="auto" w:fill="auto"/>
            <w:noWrap/>
            <w:vAlign w:val="bottom"/>
          </w:tcPr>
          <w:p w:rsidR="003C6C2A" w:rsidRPr="00FF5999" w:rsidRDefault="003C6C2A" w:rsidP="003C6C2A">
            <w:pPr>
              <w:jc w:val="center"/>
            </w:pPr>
            <w:r w:rsidRPr="00FF5999">
              <w:t>840</w:t>
            </w:r>
          </w:p>
        </w:tc>
        <w:tc>
          <w:tcPr>
            <w:tcW w:w="1701" w:type="dxa"/>
            <w:tcBorders>
              <w:top w:val="nil"/>
              <w:left w:val="nil"/>
              <w:bottom w:val="single" w:sz="8" w:space="0" w:color="auto"/>
              <w:right w:val="single" w:sz="8" w:space="0" w:color="auto"/>
            </w:tcBorders>
            <w:shd w:val="clear" w:color="auto" w:fill="auto"/>
            <w:noWrap/>
            <w:vAlign w:val="bottom"/>
          </w:tcPr>
          <w:p w:rsidR="003C6C2A" w:rsidRPr="00FF5999" w:rsidRDefault="003C6C2A" w:rsidP="003C6C2A">
            <w:pPr>
              <w:jc w:val="center"/>
            </w:pPr>
            <w:r w:rsidRPr="00FF5999">
              <w:t>1,43</w:t>
            </w:r>
          </w:p>
        </w:tc>
        <w:tc>
          <w:tcPr>
            <w:tcW w:w="1843" w:type="dxa"/>
            <w:tcBorders>
              <w:top w:val="nil"/>
              <w:left w:val="nil"/>
              <w:bottom w:val="single" w:sz="8" w:space="0" w:color="auto"/>
              <w:right w:val="single" w:sz="8" w:space="0" w:color="auto"/>
            </w:tcBorders>
            <w:shd w:val="clear" w:color="auto" w:fill="auto"/>
            <w:noWrap/>
            <w:vAlign w:val="bottom"/>
          </w:tcPr>
          <w:p w:rsidR="003C6C2A" w:rsidRPr="00FF5999" w:rsidRDefault="003C6C2A" w:rsidP="003C6C2A">
            <w:pPr>
              <w:jc w:val="center"/>
            </w:pPr>
            <w:r w:rsidRPr="00FF5999">
              <w:t>-23,64</w:t>
            </w:r>
          </w:p>
        </w:tc>
        <w:tc>
          <w:tcPr>
            <w:tcW w:w="2409" w:type="dxa"/>
            <w:tcBorders>
              <w:top w:val="nil"/>
              <w:left w:val="nil"/>
              <w:bottom w:val="single" w:sz="8" w:space="0" w:color="auto"/>
              <w:right w:val="single" w:sz="8" w:space="0" w:color="auto"/>
            </w:tcBorders>
            <w:shd w:val="clear" w:color="auto" w:fill="auto"/>
            <w:noWrap/>
            <w:vAlign w:val="bottom"/>
          </w:tcPr>
          <w:p w:rsidR="003C6C2A" w:rsidRPr="00FF5999" w:rsidRDefault="003C6C2A" w:rsidP="003C6C2A">
            <w:pPr>
              <w:jc w:val="center"/>
            </w:pPr>
            <w:r w:rsidRPr="00FF5999">
              <w:t>-7,74</w:t>
            </w:r>
          </w:p>
        </w:tc>
      </w:tr>
      <w:tr w:rsidR="003C6C2A" w:rsidRPr="00FF5999">
        <w:trPr>
          <w:trHeight w:val="270"/>
        </w:trPr>
        <w:tc>
          <w:tcPr>
            <w:tcW w:w="4835"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tcPr>
          <w:p w:rsidR="003C6C2A" w:rsidRPr="00FF5999" w:rsidRDefault="003C6C2A" w:rsidP="003C6C2A">
            <w:pPr>
              <w:jc w:val="center"/>
            </w:pPr>
            <w:r w:rsidRPr="00FF5999">
              <w:t>Rentabilité moyenne</w:t>
            </w:r>
          </w:p>
        </w:tc>
        <w:tc>
          <w:tcPr>
            <w:tcW w:w="1843" w:type="dxa"/>
            <w:tcBorders>
              <w:top w:val="nil"/>
              <w:left w:val="nil"/>
              <w:bottom w:val="single" w:sz="8" w:space="0" w:color="auto"/>
              <w:right w:val="single" w:sz="8" w:space="0" w:color="auto"/>
            </w:tcBorders>
            <w:shd w:val="clear" w:color="auto" w:fill="auto"/>
            <w:noWrap/>
            <w:vAlign w:val="bottom"/>
          </w:tcPr>
          <w:p w:rsidR="003C6C2A" w:rsidRPr="00FF5999" w:rsidRDefault="003C6C2A" w:rsidP="003C6C2A">
            <w:pPr>
              <w:jc w:val="center"/>
            </w:pPr>
            <w:r w:rsidRPr="00FF5999">
              <w:t>-6,97</w:t>
            </w:r>
          </w:p>
        </w:tc>
        <w:tc>
          <w:tcPr>
            <w:tcW w:w="2409" w:type="dxa"/>
            <w:tcBorders>
              <w:top w:val="nil"/>
              <w:left w:val="nil"/>
              <w:bottom w:val="single" w:sz="8" w:space="0" w:color="auto"/>
              <w:right w:val="single" w:sz="8" w:space="0" w:color="auto"/>
            </w:tcBorders>
            <w:shd w:val="clear" w:color="auto" w:fill="auto"/>
            <w:noWrap/>
            <w:vAlign w:val="bottom"/>
          </w:tcPr>
          <w:p w:rsidR="003C6C2A" w:rsidRPr="00FF5999" w:rsidRDefault="003C6C2A" w:rsidP="003C6C2A">
            <w:pPr>
              <w:jc w:val="center"/>
            </w:pPr>
            <w:r w:rsidRPr="00FF5999">
              <w:t>2,52</w:t>
            </w:r>
          </w:p>
        </w:tc>
      </w:tr>
    </w:tbl>
    <w:p w:rsidR="00DF5D9D" w:rsidRDefault="00DF5D9D" w:rsidP="00DF5D9D">
      <w:pPr>
        <w:jc w:val="both"/>
      </w:pPr>
    </w:p>
    <w:p w:rsidR="006F1CD8" w:rsidRDefault="006F1CD8" w:rsidP="00DF5D9D">
      <w:pPr>
        <w:jc w:val="both"/>
      </w:pPr>
    </w:p>
    <w:p w:rsidR="00FF5999" w:rsidRDefault="00FF5999" w:rsidP="00DF5D9D">
      <w:pPr>
        <w:jc w:val="both"/>
      </w:pPr>
    </w:p>
    <w:p w:rsidR="00DF5D9D" w:rsidRPr="006F1CD8" w:rsidRDefault="00AC321A" w:rsidP="006F1CD8">
      <w:pPr>
        <w:jc w:val="center"/>
        <w:rPr>
          <w:b/>
        </w:rPr>
      </w:pPr>
      <w:r w:rsidRPr="006F1CD8">
        <w:rPr>
          <w:b/>
        </w:rPr>
        <w:t xml:space="preserve">Annexe </w:t>
      </w:r>
      <w:r w:rsidR="006F1CD8" w:rsidRPr="006F1CD8">
        <w:rPr>
          <w:b/>
        </w:rPr>
        <w:t>4</w:t>
      </w:r>
    </w:p>
    <w:p w:rsidR="00DF5D9D" w:rsidRPr="006F1CD8" w:rsidRDefault="00DF5D9D" w:rsidP="006F1CD8">
      <w:pPr>
        <w:jc w:val="center"/>
        <w:rPr>
          <w:b/>
        </w:rPr>
      </w:pPr>
    </w:p>
    <w:p w:rsidR="00DF5D9D" w:rsidRPr="006F1CD8" w:rsidRDefault="00DF5D9D" w:rsidP="006F1CD8">
      <w:pPr>
        <w:jc w:val="center"/>
        <w:rPr>
          <w:b/>
          <w:u w:val="single"/>
        </w:rPr>
      </w:pPr>
      <w:r w:rsidRPr="006F1CD8">
        <w:rPr>
          <w:b/>
          <w:u w:val="single"/>
        </w:rPr>
        <w:t>OPE de Calling Corporation sur Phone Solving</w:t>
      </w:r>
    </w:p>
    <w:p w:rsidR="006F1CD8" w:rsidRPr="006F1CD8" w:rsidRDefault="006F1CD8" w:rsidP="006F1CD8">
      <w:pPr>
        <w:jc w:val="center"/>
        <w:rPr>
          <w:b/>
        </w:rPr>
      </w:pPr>
    </w:p>
    <w:p w:rsidR="00DF5D9D" w:rsidRPr="00D45C04" w:rsidRDefault="00DF5D9D" w:rsidP="00DF5D9D">
      <w:pPr>
        <w:jc w:val="both"/>
      </w:pPr>
      <w:r w:rsidRPr="00D45C04">
        <w:t>Récemment, les dirigeants de Phone Solving ont été approchés par une société américain</w:t>
      </w:r>
      <w:r>
        <w:t>e</w:t>
      </w:r>
      <w:r w:rsidRPr="00D45C04">
        <w:t xml:space="preserve"> Calling Corporation qui souhaiterait </w:t>
      </w:r>
      <w:r w:rsidR="000A2DA1">
        <w:t>prendre le contrôle de la société</w:t>
      </w:r>
      <w:r w:rsidRPr="00D45C04">
        <w:t xml:space="preserve"> Phone Solving. </w:t>
      </w:r>
    </w:p>
    <w:p w:rsidR="00DF5D9D" w:rsidRPr="00D45C04" w:rsidRDefault="00DF5D9D" w:rsidP="00DF5D9D">
      <w:pPr>
        <w:jc w:val="both"/>
      </w:pPr>
      <w:r w:rsidRPr="00D45C04">
        <w:t>Calling Corporation  est l’un des plus importants fournisseurs de services de téléconférences au monde. Créée en 1991, Calling Corporation met à la disposition des professionnels des solutions avancées en matière de conférence audio, événementielle, Internet ou vidéo.  Avec une équipe de plus de 600 technico-commerciaux, la société emploie plus de 1500 salariés. Calling Corporation  est solidement implantée aux États-unis  avec 5 centres d'appel et 30 points de vente.  Sa présence commerciale s'étend jusqu'au Canada, Mexique et  Amérique Latine.</w:t>
      </w:r>
    </w:p>
    <w:p w:rsidR="00DF5D9D" w:rsidRPr="00D45C04" w:rsidRDefault="00DF5D9D" w:rsidP="00DF5D9D">
      <w:pPr>
        <w:jc w:val="both"/>
      </w:pPr>
      <w:r w:rsidRPr="00D45C04">
        <w:t xml:space="preserve">Les dirigeants de Phone Solving qui possèdent </w:t>
      </w:r>
      <w:r>
        <w:t>moins de 1% du capital</w:t>
      </w:r>
      <w:r w:rsidRPr="00D45C04">
        <w:t xml:space="preserve"> </w:t>
      </w:r>
      <w:r>
        <w:t xml:space="preserve">n’avaient pas envisagé cette éventualité mais ils entrevoient les effets de synergie qui pourraient résulter d’un rapprochement entre les deux entités. </w:t>
      </w:r>
    </w:p>
    <w:p w:rsidR="00DF5D9D" w:rsidRDefault="00DF5D9D" w:rsidP="00DF5D9D">
      <w:pPr>
        <w:jc w:val="both"/>
      </w:pPr>
      <w:r>
        <w:t xml:space="preserve">Le mode envisagé de prise de contrôle de Phone Solving par Calling Corporation </w:t>
      </w:r>
      <w:r w:rsidRPr="00D45C04">
        <w:t xml:space="preserve"> </w:t>
      </w:r>
      <w:r>
        <w:t xml:space="preserve">serait une </w:t>
      </w:r>
      <w:r w:rsidR="000A2DA1">
        <w:t>Offre P</w:t>
      </w:r>
      <w:r w:rsidRPr="00D45C04">
        <w:t>ublique d’</w:t>
      </w:r>
      <w:r w:rsidR="000A2DA1">
        <w:t>Échange  (OPE) amicale.</w:t>
      </w:r>
    </w:p>
    <w:p w:rsidR="000A2DA1" w:rsidRDefault="000A2DA1" w:rsidP="00DF5D9D">
      <w:pPr>
        <w:jc w:val="both"/>
      </w:pPr>
      <w:r>
        <w:t>Les effets attendus du rapprochement résident essentiellement dans la capacité plus grande de l’ensemble ainsi constitué de peser sur les tarifs de facturation des minutes de téléconférence et dans les économies probables</w:t>
      </w:r>
      <w:r w:rsidR="0064231D">
        <w:t xml:space="preserve"> en </w:t>
      </w:r>
      <w:proofErr w:type="gramStart"/>
      <w:r w:rsidR="000C1307">
        <w:t>terme</w:t>
      </w:r>
      <w:proofErr w:type="gramEnd"/>
      <w:r w:rsidR="0064231D">
        <w:t xml:space="preserve"> de personnel, en particulier dans les services </w:t>
      </w:r>
      <w:r w:rsidR="004D00E2">
        <w:t>techniques</w:t>
      </w:r>
      <w:r w:rsidR="0064231D">
        <w:t xml:space="preserve"> sur le</w:t>
      </w:r>
      <w:r w:rsidR="00AF1761">
        <w:t>s</w:t>
      </w:r>
      <w:r w:rsidR="0064231D">
        <w:t xml:space="preserve"> continent</w:t>
      </w:r>
      <w:r w:rsidR="00AF1761">
        <w:t>s</w:t>
      </w:r>
      <w:r w:rsidR="0064231D">
        <w:t xml:space="preserve"> américain</w:t>
      </w:r>
      <w:r w:rsidR="00AF1761">
        <w:t xml:space="preserve"> et européen</w:t>
      </w:r>
      <w:r w:rsidR="0064231D">
        <w:t>. Les dirigeants des deux entreprises ont évalué à hauteur de 10% l’amélioration du résultat global des deux entités.</w:t>
      </w:r>
    </w:p>
    <w:p w:rsidR="0064231D" w:rsidRDefault="0064231D" w:rsidP="00DF5D9D">
      <w:pPr>
        <w:jc w:val="both"/>
      </w:pPr>
      <w:r>
        <w:t>Les prévisions de bénéfice pour 2010 sont :</w:t>
      </w:r>
    </w:p>
    <w:p w:rsidR="0064231D" w:rsidRDefault="0064231D" w:rsidP="0064231D">
      <w:pPr>
        <w:numPr>
          <w:ilvl w:val="0"/>
          <w:numId w:val="1"/>
        </w:numPr>
        <w:jc w:val="both"/>
      </w:pPr>
      <w:r>
        <w:t>pour Phone Solving : de 51 690 k€ ; capital composé de 68 920 000 actions ;</w:t>
      </w:r>
    </w:p>
    <w:p w:rsidR="0064231D" w:rsidRDefault="0064231D" w:rsidP="0064231D">
      <w:pPr>
        <w:numPr>
          <w:ilvl w:val="0"/>
          <w:numId w:val="1"/>
        </w:numPr>
        <w:jc w:val="both"/>
      </w:pPr>
      <w:r>
        <w:t>pour Calling Corporation : 7,8 $ par action ; capital composé de 24 122 000 actions.</w:t>
      </w:r>
    </w:p>
    <w:p w:rsidR="0064231D" w:rsidRPr="00D45C04" w:rsidRDefault="0064231D" w:rsidP="0064231D">
      <w:pPr>
        <w:jc w:val="both"/>
      </w:pPr>
      <w:r>
        <w:t xml:space="preserve">Le cours de change retenu </w:t>
      </w:r>
      <w:r w:rsidR="00784D9B">
        <w:t>est : 1 € = 1,5 $</w:t>
      </w:r>
    </w:p>
    <w:p w:rsidR="00F6302E" w:rsidRDefault="000518E3" w:rsidP="00AC79B9">
      <w:pPr>
        <w:jc w:val="both"/>
      </w:pPr>
      <w:r w:rsidRPr="000518E3">
        <w:t>Les parités</w:t>
      </w:r>
      <w:r>
        <w:t xml:space="preserve"> de 1 action Calling Corporation pour 5 actions Phone Solving et de 3 actions Calling Corporation pour 20 actions Phone Solving ont été évoquées par les dirigeants des deux entreprises.</w:t>
      </w:r>
    </w:p>
    <w:p w:rsidR="004E10C2" w:rsidRDefault="004E10C2" w:rsidP="00AC79B9">
      <w:pPr>
        <w:jc w:val="both"/>
      </w:pPr>
    </w:p>
    <w:p w:rsidR="0076604A" w:rsidRDefault="0076604A" w:rsidP="00AC79B9">
      <w:pPr>
        <w:jc w:val="both"/>
      </w:pPr>
    </w:p>
    <w:p w:rsidR="0076604A" w:rsidRDefault="0076604A" w:rsidP="00AC79B9">
      <w:pPr>
        <w:jc w:val="both"/>
      </w:pPr>
    </w:p>
    <w:p w:rsidR="0076604A" w:rsidRDefault="0076604A" w:rsidP="00AC79B9">
      <w:pPr>
        <w:jc w:val="both"/>
      </w:pPr>
    </w:p>
    <w:p w:rsidR="0076604A" w:rsidRPr="0076604A" w:rsidRDefault="0076604A" w:rsidP="0076604A">
      <w:pPr>
        <w:jc w:val="center"/>
        <w:rPr>
          <w:b/>
        </w:rPr>
      </w:pPr>
      <w:r w:rsidRPr="0076604A">
        <w:rPr>
          <w:b/>
        </w:rPr>
        <w:lastRenderedPageBreak/>
        <w:t>Annexe 5</w:t>
      </w:r>
    </w:p>
    <w:p w:rsidR="0076604A" w:rsidRPr="0076604A" w:rsidRDefault="0076604A" w:rsidP="0076604A">
      <w:pPr>
        <w:jc w:val="center"/>
        <w:rPr>
          <w:b/>
        </w:rPr>
      </w:pPr>
    </w:p>
    <w:p w:rsidR="0076604A" w:rsidRPr="00AF1761" w:rsidRDefault="00AF1761" w:rsidP="0076604A">
      <w:pPr>
        <w:jc w:val="center"/>
        <w:rPr>
          <w:b/>
          <w:u w:val="single"/>
        </w:rPr>
      </w:pPr>
      <w:r w:rsidRPr="00AF1761">
        <w:rPr>
          <w:b/>
          <w:u w:val="single"/>
        </w:rPr>
        <w:t>Risque de change</w:t>
      </w:r>
    </w:p>
    <w:p w:rsidR="00AF1761" w:rsidRDefault="00AF1761" w:rsidP="0076604A">
      <w:pPr>
        <w:jc w:val="center"/>
        <w:rPr>
          <w:b/>
        </w:rPr>
      </w:pPr>
    </w:p>
    <w:p w:rsidR="001167F0" w:rsidRDefault="00232928" w:rsidP="00AD04F5">
      <w:pPr>
        <w:jc w:val="both"/>
      </w:pPr>
      <w:r>
        <w:t>La société Phone Saving a conclu un contrat le 15 janvier 2010 avec un fournisseur asiatique prévoyant la livraison de matériels électroniques. Le contrat libellé en dollars porte sur un montant global de 850 000 USD. Un acompte de 20% a été versé à la signature, le solde devant être versé lors de la livraison prévue le 15 mars.</w:t>
      </w:r>
    </w:p>
    <w:p w:rsidR="00BD1881" w:rsidRDefault="00BD1881" w:rsidP="00AD04F5">
      <w:pPr>
        <w:jc w:val="both"/>
      </w:pPr>
    </w:p>
    <w:p w:rsidR="001167F0" w:rsidRDefault="001167F0" w:rsidP="00AD04F5">
      <w:pPr>
        <w:jc w:val="both"/>
      </w:pPr>
      <w:r>
        <w:t xml:space="preserve">Le trésorier réunit </w:t>
      </w:r>
      <w:r w:rsidR="00B67341">
        <w:t>les informations suivantes </w:t>
      </w:r>
      <w:r>
        <w:t>après contact avec la banque de l’entreprise</w:t>
      </w:r>
      <w:r w:rsidR="00AD04F5">
        <w:t xml:space="preserve"> </w:t>
      </w:r>
      <w:r>
        <w:t>:</w:t>
      </w:r>
    </w:p>
    <w:p w:rsidR="00BD1881" w:rsidRDefault="00BD1881" w:rsidP="00AD04F5">
      <w:pPr>
        <w:jc w:val="both"/>
      </w:pPr>
    </w:p>
    <w:p w:rsidR="001167F0" w:rsidRDefault="001167F0" w:rsidP="00AD04F5">
      <w:pPr>
        <w:jc w:val="both"/>
      </w:pPr>
      <w:r>
        <w:t>Cours au comptant spot de l’USD le 15 janvier 2010 :</w:t>
      </w:r>
      <w:r w:rsidR="0080606A">
        <w:t xml:space="preserve"> 1.4967</w:t>
      </w:r>
    </w:p>
    <w:p w:rsidR="001167F0" w:rsidRDefault="001167F0" w:rsidP="00AD04F5">
      <w:pPr>
        <w:jc w:val="both"/>
      </w:pPr>
      <w:r>
        <w:t>Cours à terme de l’USD le 15 janvier 2010, échéance le 15 mars 2010 :</w:t>
      </w:r>
      <w:r w:rsidR="00857D50">
        <w:t xml:space="preserve"> 1.4883</w:t>
      </w:r>
    </w:p>
    <w:p w:rsidR="00BD1881" w:rsidRDefault="00BD1881" w:rsidP="00AD04F5">
      <w:pPr>
        <w:jc w:val="both"/>
      </w:pPr>
    </w:p>
    <w:p w:rsidR="001167F0" w:rsidRDefault="001167F0" w:rsidP="00AD04F5">
      <w:pPr>
        <w:jc w:val="both"/>
      </w:pPr>
      <w:r>
        <w:t xml:space="preserve">Option d’achat d’USD, </w:t>
      </w:r>
      <w:r w:rsidR="00C23667">
        <w:t xml:space="preserve">prix d’exercice : </w:t>
      </w:r>
      <w:r w:rsidR="00857D50">
        <w:t>1.49</w:t>
      </w:r>
      <w:r w:rsidR="00B67341">
        <w:t>, prime :</w:t>
      </w:r>
      <w:r w:rsidR="00857D50">
        <w:t xml:space="preserve"> 1.</w:t>
      </w:r>
      <w:r w:rsidR="007F0FC9">
        <w:t>7</w:t>
      </w:r>
      <w:r w:rsidR="00857D50">
        <w:t>5%</w:t>
      </w:r>
    </w:p>
    <w:p w:rsidR="00B67341" w:rsidRDefault="00B67341" w:rsidP="00AD04F5">
      <w:pPr>
        <w:jc w:val="both"/>
      </w:pPr>
      <w:r>
        <w:t xml:space="preserve">Option de </w:t>
      </w:r>
      <w:r w:rsidR="00C23667">
        <w:t xml:space="preserve">vente d’USD, prix d’exercice : </w:t>
      </w:r>
      <w:r w:rsidR="00857D50">
        <w:t>1.51</w:t>
      </w:r>
      <w:r>
        <w:t>, prime :</w:t>
      </w:r>
      <w:r w:rsidR="00857D50">
        <w:t xml:space="preserve"> 1.</w:t>
      </w:r>
      <w:r w:rsidR="007F0FC9">
        <w:t>7</w:t>
      </w:r>
      <w:r w:rsidR="00857D50">
        <w:t>5%</w:t>
      </w:r>
    </w:p>
    <w:p w:rsidR="0080606A" w:rsidRDefault="0080606A" w:rsidP="00AD04F5">
      <w:pPr>
        <w:jc w:val="both"/>
      </w:pPr>
      <w:r>
        <w:t>Les options sont de type européennes et à échéance le 15 mars 2010.</w:t>
      </w:r>
    </w:p>
    <w:p w:rsidR="00BD1881" w:rsidRDefault="00BD1881" w:rsidP="00AD04F5">
      <w:pPr>
        <w:jc w:val="both"/>
      </w:pPr>
    </w:p>
    <w:p w:rsidR="00B67341" w:rsidRDefault="00B67341" w:rsidP="00AD04F5">
      <w:pPr>
        <w:jc w:val="both"/>
      </w:pPr>
      <w:r>
        <w:t>Call warr</w:t>
      </w:r>
      <w:r w:rsidR="00C23667">
        <w:t xml:space="preserve">ant EUR/USD, prix d’exercice : </w:t>
      </w:r>
      <w:r w:rsidR="00857D50">
        <w:t>1.505</w:t>
      </w:r>
      <w:r>
        <w:t>, prime :</w:t>
      </w:r>
      <w:r w:rsidR="00857D50">
        <w:t xml:space="preserve"> 0.31€</w:t>
      </w:r>
      <w:r w:rsidR="007F0FC9">
        <w:t>, delta : 0,28</w:t>
      </w:r>
    </w:p>
    <w:p w:rsidR="00B67341" w:rsidRDefault="00B67341" w:rsidP="00AD04F5">
      <w:pPr>
        <w:jc w:val="both"/>
      </w:pPr>
      <w:r>
        <w:t>Put warrant EUR/US</w:t>
      </w:r>
      <w:r w:rsidR="0080606A">
        <w:t>D</w:t>
      </w:r>
      <w:r w:rsidR="00C23667">
        <w:t xml:space="preserve">, prix d’exercice : </w:t>
      </w:r>
      <w:r w:rsidR="00857D50">
        <w:t>1.485</w:t>
      </w:r>
      <w:r>
        <w:t>, prime :</w:t>
      </w:r>
      <w:r w:rsidR="00857D50">
        <w:t xml:space="preserve"> 0.29€</w:t>
      </w:r>
      <w:r w:rsidR="007F0FC9">
        <w:t>, delta : -0,71</w:t>
      </w:r>
    </w:p>
    <w:p w:rsidR="00B67341" w:rsidRDefault="0080606A" w:rsidP="00AD04F5">
      <w:pPr>
        <w:jc w:val="both"/>
      </w:pPr>
      <w:r>
        <w:t>Pour</w:t>
      </w:r>
      <w:r w:rsidR="00B67341">
        <w:t xml:space="preserve"> les wa</w:t>
      </w:r>
      <w:r>
        <w:t>rrants, la parité est de 1/10, la quotité de 500 et l’échéance est le 15 mars 2010.</w:t>
      </w:r>
    </w:p>
    <w:p w:rsidR="00BD1881" w:rsidRDefault="007F0FC9" w:rsidP="00AD04F5">
      <w:pPr>
        <w:jc w:val="both"/>
      </w:pPr>
      <w:r>
        <w:t>Le delta représente la sensibilité</w:t>
      </w:r>
      <w:r w:rsidR="00BD1881" w:rsidRPr="00BD1881">
        <w:t xml:space="preserve"> </w:t>
      </w:r>
      <w:r w:rsidR="00BD1881">
        <w:t>du prix du warrant (la prime) à une variation de la valeur du  sous-jacent (ici le cours de l’euro)</w:t>
      </w:r>
    </w:p>
    <w:p w:rsidR="00BD1881" w:rsidRDefault="00BD1881" w:rsidP="00AD04F5">
      <w:pPr>
        <w:jc w:val="both"/>
      </w:pPr>
      <w:r>
        <w:t xml:space="preserve">La parité représente le rapport entre le nombre de warrants nécessaires et le sous-jacent. </w:t>
      </w:r>
    </w:p>
    <w:p w:rsidR="00BD1881" w:rsidRPr="00BD1881" w:rsidRDefault="00BD1881" w:rsidP="00AD04F5">
      <w:pPr>
        <w:jc w:val="both"/>
      </w:pPr>
      <w:r>
        <w:t>Le nombre de warrants nécessaires est égal à</w:t>
      </w:r>
      <w:r>
        <w:rPr>
          <w:b/>
          <w:bCs/>
        </w:rPr>
        <w:t> </w:t>
      </w:r>
      <w:r>
        <w:rPr>
          <w:bCs/>
        </w:rPr>
        <w:t>:</w:t>
      </w:r>
      <w:r w:rsidRPr="00BD1881">
        <w:rPr>
          <w:bCs/>
        </w:rPr>
        <w:t xml:space="preserve"> Montant à couvrir x Parité / Delta</w:t>
      </w:r>
    </w:p>
    <w:p w:rsidR="007F0FC9" w:rsidRDefault="007F0FC9" w:rsidP="00AD04F5">
      <w:pPr>
        <w:jc w:val="both"/>
      </w:pPr>
    </w:p>
    <w:p w:rsidR="0080606A" w:rsidRDefault="0080606A" w:rsidP="00AD04F5">
      <w:pPr>
        <w:jc w:val="both"/>
      </w:pPr>
      <w:r>
        <w:t>Tous les cours indiqués sont au certain.</w:t>
      </w:r>
    </w:p>
    <w:p w:rsidR="0080606A" w:rsidRPr="00AF1761" w:rsidRDefault="0080606A" w:rsidP="00AF1761"/>
    <w:p w:rsidR="0076604A" w:rsidRDefault="0076604A" w:rsidP="00AC79B9">
      <w:pPr>
        <w:jc w:val="both"/>
      </w:pPr>
    </w:p>
    <w:p w:rsidR="004E10C2" w:rsidRDefault="004E10C2" w:rsidP="004E10C2">
      <w:pPr>
        <w:jc w:val="center"/>
        <w:rPr>
          <w:b/>
        </w:rPr>
      </w:pPr>
      <w:r w:rsidRPr="004E10C2">
        <w:rPr>
          <w:b/>
        </w:rPr>
        <w:t>Annexe 6</w:t>
      </w:r>
    </w:p>
    <w:p w:rsidR="004E10C2" w:rsidRPr="004E10C2" w:rsidRDefault="004E10C2" w:rsidP="004E10C2">
      <w:pPr>
        <w:jc w:val="center"/>
        <w:rPr>
          <w:b/>
        </w:rPr>
      </w:pPr>
    </w:p>
    <w:p w:rsidR="004E10C2" w:rsidRPr="004E10C2" w:rsidRDefault="004E10C2" w:rsidP="004E10C2">
      <w:pPr>
        <w:jc w:val="center"/>
        <w:rPr>
          <w:b/>
          <w:bCs/>
          <w:u w:val="single"/>
        </w:rPr>
      </w:pPr>
      <w:r w:rsidRPr="004E10C2">
        <w:rPr>
          <w:b/>
          <w:bCs/>
          <w:u w:val="single"/>
        </w:rPr>
        <w:t xml:space="preserve">La création de valeur actionnariale </w:t>
      </w:r>
    </w:p>
    <w:p w:rsidR="004E10C2" w:rsidRPr="00134262" w:rsidRDefault="004E10C2" w:rsidP="004E10C2"/>
    <w:p w:rsidR="004E10C2" w:rsidRDefault="004E10C2" w:rsidP="004E10C2">
      <w:pPr>
        <w:jc w:val="both"/>
      </w:pPr>
    </w:p>
    <w:p w:rsidR="004E10C2" w:rsidRPr="002E0F22" w:rsidRDefault="004E10C2" w:rsidP="004E10C2">
      <w:pPr>
        <w:jc w:val="both"/>
        <w:rPr>
          <w:b/>
          <w:bCs/>
        </w:rPr>
      </w:pPr>
      <w:r w:rsidRPr="002E0F22">
        <w:rPr>
          <w:b/>
          <w:bCs/>
        </w:rPr>
        <w:t>LES PRINCIPES DE LA CRÉATION DE VALEUR</w:t>
      </w:r>
    </w:p>
    <w:p w:rsidR="004E10C2" w:rsidRDefault="004E10C2" w:rsidP="004E10C2">
      <w:pPr>
        <w:jc w:val="both"/>
      </w:pPr>
    </w:p>
    <w:p w:rsidR="004E10C2" w:rsidRPr="00C33103" w:rsidRDefault="004E10C2" w:rsidP="004E10C2">
      <w:pPr>
        <w:jc w:val="both"/>
      </w:pPr>
      <w:r w:rsidRPr="00C33103">
        <w:t>1. L’entreprise a pour objectif de maximiser le patrimoine de ses</w:t>
      </w:r>
      <w:r>
        <w:t xml:space="preserve"> </w:t>
      </w:r>
      <w:r w:rsidRPr="00C33103">
        <w:t>propriétaires, c’est-à-dire la valeur des actions.</w:t>
      </w:r>
    </w:p>
    <w:p w:rsidR="004E10C2" w:rsidRDefault="004E10C2" w:rsidP="004E10C2">
      <w:pPr>
        <w:jc w:val="both"/>
      </w:pPr>
    </w:p>
    <w:p w:rsidR="004E10C2" w:rsidRPr="00C33103" w:rsidRDefault="004E10C2" w:rsidP="004E10C2">
      <w:pPr>
        <w:jc w:val="both"/>
      </w:pPr>
      <w:r w:rsidRPr="00C33103">
        <w:t>Le modèle qui sous-tend la création de valeur relève d’une approche contractualiste</w:t>
      </w:r>
      <w:r>
        <w:t xml:space="preserve"> </w:t>
      </w:r>
      <w:r w:rsidRPr="00C33103">
        <w:t>et patrimoniale de l’entreprise. Elle appartient à ses actionnaires qui</w:t>
      </w:r>
      <w:r>
        <w:t xml:space="preserve"> </w:t>
      </w:r>
      <w:r w:rsidRPr="00C33103">
        <w:t>choisissent les dirigeants et leurs délèguent le pouvoir de gérer leur capital. Les</w:t>
      </w:r>
      <w:r>
        <w:t xml:space="preserve"> </w:t>
      </w:r>
      <w:r w:rsidRPr="00C33103">
        <w:t>rapports avec les salariés, les sous-traitants et les consommateurs relèvent de</w:t>
      </w:r>
      <w:r>
        <w:t xml:space="preserve"> </w:t>
      </w:r>
      <w:r w:rsidRPr="00C33103">
        <w:t>liens contractuels, plus ou moins stables, par lesquels chaque partenaire est susceptible</w:t>
      </w:r>
      <w:r>
        <w:t xml:space="preserve"> </w:t>
      </w:r>
      <w:r w:rsidRPr="00C33103">
        <w:t>de trouver un avantage, mais qui restent subsidiaires par rapport à</w:t>
      </w:r>
      <w:r>
        <w:t xml:space="preserve"> </w:t>
      </w:r>
      <w:r w:rsidRPr="00C33103">
        <w:t>l’objectif de création de valeur actionnariale.</w:t>
      </w:r>
    </w:p>
    <w:p w:rsidR="004E10C2" w:rsidRPr="00C33103" w:rsidRDefault="004E10C2" w:rsidP="004E10C2">
      <w:pPr>
        <w:jc w:val="both"/>
      </w:pPr>
      <w:r w:rsidRPr="00C33103">
        <w:t>Ce modèle, à un certain niveau de généralité, ne diffère pas de la théorie microéconomique</w:t>
      </w:r>
      <w:r>
        <w:t xml:space="preserve"> </w:t>
      </w:r>
      <w:r w:rsidRPr="00C33103">
        <w:t>standard. Il semble se généraliser dans la pratique, en dehors de</w:t>
      </w:r>
      <w:r>
        <w:t xml:space="preserve"> </w:t>
      </w:r>
      <w:r w:rsidRPr="00C33103">
        <w:t>tout débat sur ses présupposés philosophiques.</w:t>
      </w:r>
    </w:p>
    <w:p w:rsidR="004E10C2" w:rsidRPr="00C33103" w:rsidRDefault="004E10C2" w:rsidP="004E10C2">
      <w:pPr>
        <w:jc w:val="both"/>
      </w:pPr>
      <w:r w:rsidRPr="00C33103">
        <w:t>Certes, on peut trouver dans les systèmes comparés de droit des sociétés des</w:t>
      </w:r>
      <w:r>
        <w:t xml:space="preserve"> </w:t>
      </w:r>
      <w:r w:rsidRPr="00C33103">
        <w:t>conceptions différentes, faisant de l’entreprise une communauté organique qui</w:t>
      </w:r>
      <w:r>
        <w:t xml:space="preserve"> </w:t>
      </w:r>
      <w:r w:rsidRPr="00C33103">
        <w:t xml:space="preserve">doit faire prévaloir, à </w:t>
      </w:r>
      <w:r w:rsidRPr="00C33103">
        <w:lastRenderedPageBreak/>
        <w:t>égalité avec ceux de ses propriétaires, d’autres intérêts</w:t>
      </w:r>
      <w:r>
        <w:t xml:space="preserve"> </w:t>
      </w:r>
      <w:r w:rsidRPr="00C33103">
        <w:t>prioritaires. Elles tendent à s’effacer devant l’approche dominante en raison de</w:t>
      </w:r>
      <w:r>
        <w:t xml:space="preserve"> </w:t>
      </w:r>
      <w:r w:rsidRPr="00C33103">
        <w:t>leurs moindres performances, comme en attestent les évolutions des économies</w:t>
      </w:r>
      <w:r>
        <w:t xml:space="preserve"> </w:t>
      </w:r>
      <w:r w:rsidRPr="00C33103">
        <w:t>japonaise</w:t>
      </w:r>
      <w:r w:rsidR="006A3F77">
        <w:t>s</w:t>
      </w:r>
      <w:r w:rsidRPr="00C33103">
        <w:t xml:space="preserve"> et d’Europe continentale dans les années 90.</w:t>
      </w:r>
    </w:p>
    <w:p w:rsidR="004E10C2" w:rsidRDefault="004E10C2" w:rsidP="004E10C2">
      <w:pPr>
        <w:jc w:val="both"/>
      </w:pPr>
    </w:p>
    <w:p w:rsidR="004E10C2" w:rsidRPr="00C33103" w:rsidRDefault="004E10C2" w:rsidP="004E10C2">
      <w:pPr>
        <w:jc w:val="both"/>
      </w:pPr>
      <w:r w:rsidRPr="00C33103">
        <w:t>2. Pour créer de la valeur, il faut reconnaître que le capital a un coût.</w:t>
      </w:r>
    </w:p>
    <w:p w:rsidR="004E10C2" w:rsidRDefault="004E10C2" w:rsidP="004E10C2">
      <w:pPr>
        <w:jc w:val="both"/>
      </w:pPr>
    </w:p>
    <w:p w:rsidR="004E10C2" w:rsidRPr="00C33103" w:rsidRDefault="004E10C2" w:rsidP="004E10C2">
      <w:pPr>
        <w:jc w:val="both"/>
      </w:pPr>
      <w:r w:rsidRPr="00C33103">
        <w:t>Les fonds propres ne sont pas une ressource gratuite. Parce que les actions</w:t>
      </w:r>
      <w:r>
        <w:t xml:space="preserve"> </w:t>
      </w:r>
      <w:r w:rsidRPr="00C33103">
        <w:t>constituent un actif risqué, leurs détenteurs demandent un taux de rendement</w:t>
      </w:r>
      <w:r>
        <w:t xml:space="preserve"> </w:t>
      </w:r>
      <w:r w:rsidRPr="00C33103">
        <w:t>élevé. Si le capital n’est pas correctement rémunéré, il se réallouera vers d’autres</w:t>
      </w:r>
      <w:r>
        <w:t xml:space="preserve"> </w:t>
      </w:r>
      <w:r w:rsidRPr="00C33103">
        <w:t>secteurs susceptibles de lui fournir un rendement plus élevé.</w:t>
      </w:r>
    </w:p>
    <w:p w:rsidR="004E10C2" w:rsidRPr="00C33103" w:rsidRDefault="004E10C2" w:rsidP="004E10C2">
      <w:pPr>
        <w:jc w:val="both"/>
      </w:pPr>
      <w:r w:rsidRPr="00C33103">
        <w:t>Le coût des fonds propres ne se limite dès lors pas pour l’entreprise au paiement</w:t>
      </w:r>
      <w:r>
        <w:t xml:space="preserve"> </w:t>
      </w:r>
      <w:r w:rsidRPr="00C33103">
        <w:t>des dividendes (point de vue traditionnel qui prévaut dans les modèles</w:t>
      </w:r>
      <w:r>
        <w:t xml:space="preserve"> </w:t>
      </w:r>
      <w:r w:rsidRPr="00C33103">
        <w:t>d’évaluation des actions basés sur l’actualisation des dividendes). Il est le coût</w:t>
      </w:r>
      <w:r>
        <w:t xml:space="preserve"> </w:t>
      </w:r>
      <w:r w:rsidRPr="00C33103">
        <w:t>d’opportunité d’un placement alternatif et de même niveau de risque. Sa mesure</w:t>
      </w:r>
      <w:r>
        <w:t xml:space="preserve"> </w:t>
      </w:r>
      <w:r w:rsidRPr="00C33103">
        <w:t>est équivalente au rendement total (dividendes et plus-values en capital) des</w:t>
      </w:r>
      <w:r>
        <w:t xml:space="preserve"> </w:t>
      </w:r>
      <w:r w:rsidRPr="00C33103">
        <w:t>titres en capital du secteur et/ou du marché.</w:t>
      </w:r>
    </w:p>
    <w:p w:rsidR="004E10C2" w:rsidRPr="00C33103" w:rsidRDefault="004E10C2" w:rsidP="004E10C2">
      <w:pPr>
        <w:jc w:val="both"/>
      </w:pPr>
      <w:r w:rsidRPr="00C33103">
        <w:t>3. Si une entreprise n’a pas d’emplois dont le rendement soit supérieur au</w:t>
      </w:r>
      <w:r>
        <w:t xml:space="preserve"> </w:t>
      </w:r>
      <w:r w:rsidRPr="00C33103">
        <w:t>coût des ressources (fonds propres et dettes), il ne faut pas qu’elle</w:t>
      </w:r>
      <w:r>
        <w:t xml:space="preserve"> </w:t>
      </w:r>
      <w:r w:rsidRPr="00C33103">
        <w:t>cherche à investir ou à se diversifier de façon non optimale. Elle doit</w:t>
      </w:r>
      <w:r>
        <w:t xml:space="preserve"> </w:t>
      </w:r>
      <w:r w:rsidRPr="00C33103">
        <w:t>utiliser le cash-flow disponible en remboursant l’actionnaire, sous forme</w:t>
      </w:r>
      <w:r>
        <w:t xml:space="preserve"> </w:t>
      </w:r>
      <w:r w:rsidRPr="00C33103">
        <w:t>de dividendes exceptionnels ou de rachat d’actions.</w:t>
      </w:r>
    </w:p>
    <w:p w:rsidR="004E10C2" w:rsidRPr="00C33103" w:rsidRDefault="004E10C2" w:rsidP="004E10C2">
      <w:pPr>
        <w:jc w:val="both"/>
      </w:pPr>
      <w:r w:rsidRPr="00C33103">
        <w:t>Ces principes visent ainsi à fournir ex ante un critère d’évaluation de l’opportunité</w:t>
      </w:r>
      <w:r>
        <w:t xml:space="preserve"> </w:t>
      </w:r>
      <w:r w:rsidRPr="00C33103">
        <w:t>des investissements et ex post une mesure de la performance financière.</w:t>
      </w:r>
    </w:p>
    <w:p w:rsidR="004E10C2" w:rsidRDefault="004E10C2" w:rsidP="004E10C2">
      <w:pPr>
        <w:jc w:val="both"/>
        <w:rPr>
          <w:b/>
          <w:bCs/>
          <w:i/>
          <w:iCs/>
        </w:rPr>
      </w:pPr>
    </w:p>
    <w:p w:rsidR="004E10C2" w:rsidRDefault="004E10C2" w:rsidP="004E10C2"/>
    <w:p w:rsidR="004E10C2" w:rsidRPr="002E0F22" w:rsidRDefault="004E10C2" w:rsidP="004E10C2">
      <w:pPr>
        <w:rPr>
          <w:b/>
          <w:bCs/>
        </w:rPr>
      </w:pPr>
      <w:r w:rsidRPr="002E0F22">
        <w:rPr>
          <w:b/>
          <w:bCs/>
        </w:rPr>
        <w:t>CONSÉQUENCES DE LA MISE EN ŒUVRE DE LA VALEUR ACTIONNARIALE</w:t>
      </w:r>
    </w:p>
    <w:p w:rsidR="004E10C2" w:rsidRDefault="004E10C2" w:rsidP="004E10C2">
      <w:pPr>
        <w:jc w:val="both"/>
      </w:pPr>
    </w:p>
    <w:p w:rsidR="004E10C2" w:rsidRDefault="004E10C2" w:rsidP="004E10C2">
      <w:pPr>
        <w:jc w:val="both"/>
      </w:pPr>
      <w:r>
        <w:t xml:space="preserve">1. </w:t>
      </w:r>
      <w:r w:rsidRPr="00C33103">
        <w:t>Lorsque les stratégies de recentrage sur les métiers de base ne sont pas</w:t>
      </w:r>
      <w:r>
        <w:t xml:space="preserve"> </w:t>
      </w:r>
      <w:r w:rsidRPr="00C33103">
        <w:t xml:space="preserve">mises en oeuvre par les dirigeants, les investisseurs les imposent. </w:t>
      </w:r>
    </w:p>
    <w:p w:rsidR="004E10C2" w:rsidRDefault="004E10C2" w:rsidP="004E10C2">
      <w:pPr>
        <w:jc w:val="both"/>
      </w:pPr>
    </w:p>
    <w:p w:rsidR="004E10C2" w:rsidRPr="00C33103" w:rsidRDefault="004E10C2" w:rsidP="004E10C2">
      <w:pPr>
        <w:jc w:val="both"/>
      </w:pPr>
      <w:r w:rsidRPr="00C33103">
        <w:t>Les</w:t>
      </w:r>
      <w:r>
        <w:t xml:space="preserve"> </w:t>
      </w:r>
      <w:r w:rsidRPr="00C33103">
        <w:t>marchés financiers exercent sur les émetteurs une discipline afin qu’ils créent de</w:t>
      </w:r>
      <w:r>
        <w:t xml:space="preserve"> </w:t>
      </w:r>
      <w:r w:rsidRPr="00C33103">
        <w:t>la valeur et concentrent leurs activités.</w:t>
      </w:r>
      <w:r>
        <w:t xml:space="preserve"> </w:t>
      </w:r>
      <w:r w:rsidRPr="00C33103">
        <w:t>Les performances relatives des groupes diversifiés entraînent une déception des</w:t>
      </w:r>
      <w:r>
        <w:t xml:space="preserve"> </w:t>
      </w:r>
      <w:r w:rsidRPr="00C33103">
        <w:t>investisseurs et attirent les acquéreurs potentiels. Les offres publiques, souvent</w:t>
      </w:r>
      <w:r>
        <w:t xml:space="preserve"> </w:t>
      </w:r>
      <w:r w:rsidRPr="00C33103">
        <w:t>hostiles, sur des conglomérats ou entreprises multimétiers se font alors à des</w:t>
      </w:r>
      <w:r>
        <w:t xml:space="preserve"> </w:t>
      </w:r>
      <w:r w:rsidRPr="00C33103">
        <w:t>conditions intéressantes pour l’acquéreur et permettent la génération de plus</w:t>
      </w:r>
      <w:r>
        <w:t xml:space="preserve">- </w:t>
      </w:r>
      <w:r w:rsidRPr="00C33103">
        <w:t>values par revente des activités non essentielles. La crainte des OPA constitue</w:t>
      </w:r>
      <w:r>
        <w:t xml:space="preserve"> </w:t>
      </w:r>
      <w:r w:rsidRPr="00C33103">
        <w:t>une incitation à la mise en oeuvre d’une stratégie centrée sur la création de valeur</w:t>
      </w:r>
      <w:r>
        <w:t xml:space="preserve"> </w:t>
      </w:r>
      <w:r w:rsidRPr="00C33103">
        <w:t>actionnariale.</w:t>
      </w:r>
    </w:p>
    <w:p w:rsidR="004E10C2" w:rsidRDefault="004E10C2" w:rsidP="004E10C2">
      <w:pPr>
        <w:jc w:val="both"/>
      </w:pPr>
    </w:p>
    <w:p w:rsidR="004E10C2" w:rsidRPr="00C33103" w:rsidRDefault="004E10C2" w:rsidP="004E10C2">
      <w:pPr>
        <w:jc w:val="both"/>
      </w:pPr>
      <w:r w:rsidRPr="00C33103">
        <w:t>2. La création de valeur s’opère par une gestion économe des fonds propres</w:t>
      </w:r>
    </w:p>
    <w:p w:rsidR="004E10C2" w:rsidRDefault="004E10C2" w:rsidP="004E10C2">
      <w:pPr>
        <w:jc w:val="both"/>
      </w:pPr>
    </w:p>
    <w:p w:rsidR="004E10C2" w:rsidRPr="00C33103" w:rsidRDefault="004E10C2" w:rsidP="004E10C2">
      <w:pPr>
        <w:jc w:val="both"/>
      </w:pPr>
      <w:r w:rsidRPr="00C33103">
        <w:t>La recherche de la rentabilité cesse d’être quasi-exclusivement centrée sur la</w:t>
      </w:r>
      <w:r>
        <w:t xml:space="preserve"> </w:t>
      </w:r>
      <w:r w:rsidRPr="00C33103">
        <w:t>génération de marges par la compression des coûts et la maximisation des</w:t>
      </w:r>
      <w:r>
        <w:t xml:space="preserve"> </w:t>
      </w:r>
      <w:r w:rsidRPr="00C33103">
        <w:t>ventes. S’y ajoutent, parce que les fonds propres constituent la ressource la plus</w:t>
      </w:r>
      <w:r>
        <w:t xml:space="preserve"> </w:t>
      </w:r>
      <w:r w:rsidRPr="00C33103">
        <w:t>onéreuse, une politique de minimisation des actifs fixes (externalisation, débouclage</w:t>
      </w:r>
      <w:r>
        <w:t xml:space="preserve"> </w:t>
      </w:r>
      <w:r w:rsidRPr="00C33103">
        <w:t>des participations croisées, recours au crédit-bail) ou circulants (stocks</w:t>
      </w:r>
      <w:r>
        <w:t xml:space="preserve"> </w:t>
      </w:r>
      <w:r w:rsidRPr="00C33103">
        <w:t>zéro,</w:t>
      </w:r>
      <w:r>
        <w:t xml:space="preserve"> créances </w:t>
      </w:r>
      <w:r w:rsidRPr="00C33103">
        <w:t>zéro) ainsi que ce que l’on peut a</w:t>
      </w:r>
      <w:r w:rsidR="00E91E99">
        <w:t>ppeler “</w:t>
      </w:r>
      <w:r w:rsidRPr="00C33103">
        <w:t>une gestion active du</w:t>
      </w:r>
      <w:r>
        <w:t xml:space="preserve"> </w:t>
      </w:r>
      <w:r w:rsidR="00E91E99">
        <w:t>dénominateur</w:t>
      </w:r>
      <w:r w:rsidRPr="00C33103">
        <w:t>” du ratio de rentabilité.</w:t>
      </w:r>
    </w:p>
    <w:p w:rsidR="004E10C2" w:rsidRPr="00C33103" w:rsidRDefault="004E10C2" w:rsidP="0076604A">
      <w:pPr>
        <w:jc w:val="both"/>
      </w:pPr>
      <w:r w:rsidRPr="00C33103">
        <w:t>Afin de minimiser et ajuster en permanence leur capital, les entreprises font des</w:t>
      </w:r>
      <w:r>
        <w:t xml:space="preserve"> </w:t>
      </w:r>
      <w:r w:rsidRPr="00C33103">
        <w:t xml:space="preserve">plans de rachat qu’elles mettent en </w:t>
      </w:r>
      <w:r w:rsidR="00E91E99">
        <w:t xml:space="preserve">œuvre </w:t>
      </w:r>
      <w:r w:rsidRPr="00C33103">
        <w:t>“</w:t>
      </w:r>
      <w:r w:rsidR="00AD04F5">
        <w:t xml:space="preserve">au fil </w:t>
      </w:r>
      <w:r w:rsidRPr="00C33103">
        <w:t>de l’eau” en fonction non</w:t>
      </w:r>
      <w:r>
        <w:t xml:space="preserve"> </w:t>
      </w:r>
      <w:r w:rsidRPr="00C33103">
        <w:t>seulement du comportement de leur titre mais aussi des nécessités d’une grande</w:t>
      </w:r>
      <w:r>
        <w:t xml:space="preserve"> </w:t>
      </w:r>
      <w:r w:rsidRPr="00C33103">
        <w:t>flexibilité dans l’ajustement du niveau des fonds propres.</w:t>
      </w:r>
    </w:p>
    <w:p w:rsidR="004E10C2" w:rsidRDefault="004E10C2" w:rsidP="004E10C2">
      <w:pPr>
        <w:jc w:val="both"/>
      </w:pPr>
      <w:r w:rsidRPr="00C33103">
        <w:t>On voit également réapparaître, mais c’est surtout le cas aux États-unis, un certain</w:t>
      </w:r>
      <w:r>
        <w:t xml:space="preserve"> </w:t>
      </w:r>
      <w:r w:rsidRPr="00C33103">
        <w:t>recours au levier d’endettement. A la différence cependant de ce que l’on</w:t>
      </w:r>
      <w:r>
        <w:t xml:space="preserve"> </w:t>
      </w:r>
      <w:r w:rsidRPr="00C33103">
        <w:t xml:space="preserve">pouvait observer dans les </w:t>
      </w:r>
      <w:r w:rsidRPr="00C33103">
        <w:lastRenderedPageBreak/>
        <w:t>années 70 où l’effet de levier était obtenu par une</w:t>
      </w:r>
      <w:r>
        <w:t xml:space="preserve"> </w:t>
      </w:r>
      <w:r w:rsidRPr="00C33103">
        <w:t>croissance positive mais différenciée des éléments du passif, il s’agit aujourd’hui</w:t>
      </w:r>
      <w:r>
        <w:t xml:space="preserve"> </w:t>
      </w:r>
      <w:r w:rsidRPr="00C33103">
        <w:t>d’une contraction des fonds propres associée à une moindre diminution de la</w:t>
      </w:r>
      <w:r>
        <w:t xml:space="preserve"> </w:t>
      </w:r>
      <w:r w:rsidRPr="00C33103">
        <w:t>dette.</w:t>
      </w:r>
    </w:p>
    <w:p w:rsidR="004E10C2" w:rsidRPr="00C33103" w:rsidRDefault="004E10C2" w:rsidP="004E10C2">
      <w:pPr>
        <w:jc w:val="both"/>
      </w:pPr>
    </w:p>
    <w:p w:rsidR="004E10C2" w:rsidRDefault="004E10C2" w:rsidP="004E10C2">
      <w:pPr>
        <w:jc w:val="both"/>
      </w:pPr>
      <w:r w:rsidRPr="00C33103">
        <w:t>3. Le développement du gouvernement d’entreprise</w:t>
      </w:r>
    </w:p>
    <w:p w:rsidR="004E10C2" w:rsidRPr="00C33103" w:rsidRDefault="004E10C2" w:rsidP="004E10C2">
      <w:pPr>
        <w:jc w:val="both"/>
      </w:pPr>
    </w:p>
    <w:p w:rsidR="004E10C2" w:rsidRPr="00C33103" w:rsidRDefault="004E10C2" w:rsidP="004E10C2">
      <w:pPr>
        <w:jc w:val="both"/>
      </w:pPr>
      <w:r w:rsidRPr="00C33103">
        <w:t>La volonté de promouvoir la création de valeur actionnariale s’affirme en parallèle</w:t>
      </w:r>
      <w:r>
        <w:t xml:space="preserve"> </w:t>
      </w:r>
      <w:r w:rsidRPr="00C33103">
        <w:t>avec celle d’avoir un Gouvernement d’entreprise transparent et efficient.</w:t>
      </w:r>
    </w:p>
    <w:p w:rsidR="004E10C2" w:rsidRPr="00C33103" w:rsidRDefault="004E10C2" w:rsidP="004E10C2">
      <w:pPr>
        <w:jc w:val="both"/>
      </w:pPr>
      <w:r w:rsidRPr="00C33103">
        <w:t>Les préoccupations sont en effet convergentes. Dans les deux cas il s’agit de</w:t>
      </w:r>
      <w:r>
        <w:t xml:space="preserve"> </w:t>
      </w:r>
      <w:r w:rsidRPr="00C33103">
        <w:t>faire en sorte que le jeu des pouvoirs au sein des organismes délibérants et exécutifs</w:t>
      </w:r>
      <w:r>
        <w:t xml:space="preserve"> </w:t>
      </w:r>
      <w:r w:rsidRPr="00C33103">
        <w:t>des entreprises favorise d’abord ceux qui en sont les propriétaires : les</w:t>
      </w:r>
      <w:r>
        <w:t xml:space="preserve"> </w:t>
      </w:r>
      <w:r w:rsidRPr="00C33103">
        <w:t>actionnaires. Les dirigeants ne sauraient poursuivre d’autres objectifs que la recherche</w:t>
      </w:r>
      <w:r>
        <w:t xml:space="preserve"> </w:t>
      </w:r>
      <w:r w:rsidRPr="00C33103">
        <w:t>des intérêts des actionnaires (prestige, diversifications non rentables, stratégie</w:t>
      </w:r>
      <w:r>
        <w:t xml:space="preserve"> </w:t>
      </w:r>
      <w:r w:rsidRPr="00C33103">
        <w:t>d’enracinement, instruments anti-OPA, dissociation entre droits de vote et détention</w:t>
      </w:r>
      <w:r>
        <w:t xml:space="preserve"> </w:t>
      </w:r>
      <w:r w:rsidRPr="00C33103">
        <w:t>d’actions, opérations dilutives…).</w:t>
      </w:r>
    </w:p>
    <w:p w:rsidR="004E10C2" w:rsidRPr="00C33103" w:rsidRDefault="004E10C2" w:rsidP="004E10C2">
      <w:pPr>
        <w:jc w:val="both"/>
      </w:pPr>
      <w:r w:rsidRPr="00C33103">
        <w:t>Pour cela, les actionnaires doivent être informés complètement et en temps opportun,</w:t>
      </w:r>
      <w:r>
        <w:t xml:space="preserve"> </w:t>
      </w:r>
      <w:r w:rsidRPr="00C33103">
        <w:t>confortés dans leurs pouvoirs (en particulier ceux de participer effectivement</w:t>
      </w:r>
      <w:r>
        <w:t xml:space="preserve"> </w:t>
      </w:r>
      <w:r w:rsidRPr="00C33103">
        <w:t>aux décisions et de déléguer à des administrateurs ayant les moyens d’exercer</w:t>
      </w:r>
      <w:r>
        <w:t xml:space="preserve"> </w:t>
      </w:r>
      <w:r w:rsidRPr="00C33103">
        <w:t>pleinement leur mission). Des structures de contrôle effectif des dirigeants doivent</w:t>
      </w:r>
      <w:r>
        <w:t xml:space="preserve"> </w:t>
      </w:r>
      <w:r w:rsidRPr="00C33103">
        <w:t xml:space="preserve">être mises en </w:t>
      </w:r>
      <w:r w:rsidR="00E91E99">
        <w:t>œuvre</w:t>
      </w:r>
      <w:r w:rsidRPr="00C33103">
        <w:t>. C’est ainsi que l’on voit les actionnaires, leurs gestionnaires</w:t>
      </w:r>
      <w:r>
        <w:t xml:space="preserve"> </w:t>
      </w:r>
      <w:r w:rsidRPr="00C33103">
        <w:t>ou leurs représentants revendiquer un rôle de surveillance et parfois</w:t>
      </w:r>
      <w:r>
        <w:t xml:space="preserve"> </w:t>
      </w:r>
      <w:r w:rsidRPr="00C33103">
        <w:t>de proposition au moyen de l’exercice du vote lors des assemblées générales.</w:t>
      </w:r>
    </w:p>
    <w:p w:rsidR="004E10C2" w:rsidRPr="00C33103" w:rsidRDefault="004E10C2" w:rsidP="004E10C2">
      <w:pPr>
        <w:jc w:val="both"/>
      </w:pPr>
      <w:r w:rsidRPr="00C33103">
        <w:t>Au total, l’importance accordée à la création de valeur dans la définition des</w:t>
      </w:r>
      <w:r>
        <w:t xml:space="preserve"> </w:t>
      </w:r>
      <w:r w:rsidRPr="00C33103">
        <w:t>stratégies d’entreprises ainsi que dans l’évaluation de leurs performances</w:t>
      </w:r>
      <w:r>
        <w:t xml:space="preserve"> </w:t>
      </w:r>
      <w:r w:rsidRPr="00C33103">
        <w:t>consacre la place de l’actionnaire dans les systèmes économiques et sociaux contemporains.</w:t>
      </w:r>
    </w:p>
    <w:p w:rsidR="004E10C2" w:rsidRDefault="004E10C2" w:rsidP="004E10C2">
      <w:pPr>
        <w:jc w:val="both"/>
      </w:pPr>
      <w:r w:rsidRPr="00C33103">
        <w:t>La technostructure, dont Galbraith célébrait encore au début des années</w:t>
      </w:r>
      <w:r>
        <w:t xml:space="preserve"> </w:t>
      </w:r>
      <w:r w:rsidRPr="00C33103">
        <w:t>60 d</w:t>
      </w:r>
      <w:r w:rsidR="00E91E99">
        <w:t>ans “Le nouvel état industriel</w:t>
      </w:r>
      <w:r w:rsidRPr="00C33103">
        <w:t>”</w:t>
      </w:r>
      <w:r w:rsidR="00E91E99">
        <w:t xml:space="preserve"> </w:t>
      </w:r>
      <w:r w:rsidRPr="00C33103">
        <w:t>le rôle central, entretient, de ce fait, avec</w:t>
      </w:r>
      <w:r>
        <w:t xml:space="preserve"> </w:t>
      </w:r>
      <w:r w:rsidRPr="00C33103">
        <w:t>les détenteurs du capital des relations plus équilibrées.</w:t>
      </w:r>
    </w:p>
    <w:p w:rsidR="004E10C2" w:rsidRDefault="004E10C2" w:rsidP="004E10C2">
      <w:pPr>
        <w:jc w:val="both"/>
      </w:pPr>
    </w:p>
    <w:p w:rsidR="004E10C2" w:rsidRPr="00C33103" w:rsidRDefault="004E10C2" w:rsidP="004E10C2">
      <w:pPr>
        <w:jc w:val="both"/>
      </w:pPr>
      <w:r w:rsidRPr="00C33103">
        <w:t>4. Un changement dans les modalités de rémunération des dirigeants</w:t>
      </w:r>
      <w:r>
        <w:t xml:space="preserve"> </w:t>
      </w:r>
      <w:r w:rsidRPr="00C33103">
        <w:t>et des salariés.</w:t>
      </w:r>
    </w:p>
    <w:p w:rsidR="004E10C2" w:rsidRDefault="004E10C2" w:rsidP="004E10C2">
      <w:pPr>
        <w:jc w:val="both"/>
      </w:pPr>
    </w:p>
    <w:p w:rsidR="004E10C2" w:rsidRPr="00C33103" w:rsidRDefault="004E10C2" w:rsidP="004E10C2">
      <w:pPr>
        <w:jc w:val="both"/>
      </w:pPr>
      <w:r w:rsidRPr="00C33103">
        <w:t>La sensibilisation des dirigeants et des salariés aux impératifs de la création de</w:t>
      </w:r>
      <w:r>
        <w:t xml:space="preserve"> </w:t>
      </w:r>
      <w:r w:rsidRPr="00C33103">
        <w:t>valeur entraîne le dépassement des formes traditionnelles de la relation salariale.</w:t>
      </w:r>
      <w:r>
        <w:t xml:space="preserve"> </w:t>
      </w:r>
      <w:r w:rsidRPr="00C33103">
        <w:t>La distribution de stock-options, les plans d’épargne, l’actionnariat direct des</w:t>
      </w:r>
      <w:r>
        <w:t xml:space="preserve"> </w:t>
      </w:r>
      <w:r w:rsidRPr="00C33103">
        <w:t>salariés dans leur entreprise ou l’épargne retraite constituent à la fois des incitations</w:t>
      </w:r>
      <w:r>
        <w:t xml:space="preserve"> </w:t>
      </w:r>
      <w:r w:rsidRPr="00C33103">
        <w:t>à la création de valeur et des modalités de réduction d’antagonismes traditionnels</w:t>
      </w:r>
      <w:r>
        <w:t xml:space="preserve"> </w:t>
      </w:r>
      <w:r w:rsidRPr="00C33103">
        <w:t>entre les apporteurs de facteurs de production.</w:t>
      </w:r>
    </w:p>
    <w:p w:rsidR="004E10C2" w:rsidRDefault="004E10C2" w:rsidP="004E10C2">
      <w:pPr>
        <w:jc w:val="both"/>
      </w:pPr>
    </w:p>
    <w:p w:rsidR="004E10C2" w:rsidRPr="00CB0453" w:rsidRDefault="004E10C2" w:rsidP="004E10C2">
      <w:pPr>
        <w:jc w:val="both"/>
        <w:rPr>
          <w:i/>
          <w:iCs/>
        </w:rPr>
      </w:pPr>
      <w:r w:rsidRPr="00CB0453">
        <w:rPr>
          <w:i/>
          <w:iCs/>
        </w:rPr>
        <w:t xml:space="preserve">Bulletin COB n° 346 Mai 2000 </w:t>
      </w:r>
    </w:p>
    <w:p w:rsidR="004E10C2" w:rsidRPr="00CB0453" w:rsidRDefault="004E10C2" w:rsidP="004E10C2">
      <w:pPr>
        <w:jc w:val="both"/>
        <w:rPr>
          <w:i/>
          <w:iCs/>
        </w:rPr>
      </w:pPr>
      <w:r w:rsidRPr="00CB0453">
        <w:rPr>
          <w:i/>
          <w:iCs/>
        </w:rPr>
        <w:t>Extrait de l’étude de l’AMF  intitulée « Création de valeur actionnariale et Communication financière »</w:t>
      </w:r>
    </w:p>
    <w:p w:rsidR="004E10C2" w:rsidRPr="00CB0453" w:rsidRDefault="004E10C2" w:rsidP="004E10C2">
      <w:r w:rsidRPr="00CB0453">
        <w:t>http://www.amf-france.org/documents/general/3872_1.pdf</w:t>
      </w:r>
    </w:p>
    <w:p w:rsidR="004E10C2" w:rsidRDefault="004E10C2" w:rsidP="004E10C2"/>
    <w:p w:rsidR="004E10C2" w:rsidRDefault="004E10C2" w:rsidP="004E10C2"/>
    <w:p w:rsidR="004E10C2" w:rsidRPr="004E10C2" w:rsidRDefault="004E10C2" w:rsidP="004E10C2">
      <w:pPr>
        <w:jc w:val="center"/>
        <w:rPr>
          <w:b/>
        </w:rPr>
      </w:pPr>
      <w:r w:rsidRPr="004E10C2">
        <w:rPr>
          <w:b/>
        </w:rPr>
        <w:t xml:space="preserve">Annexe </w:t>
      </w:r>
      <w:r>
        <w:rPr>
          <w:b/>
        </w:rPr>
        <w:t>7</w:t>
      </w:r>
    </w:p>
    <w:p w:rsidR="004E10C2" w:rsidRPr="00134262" w:rsidRDefault="004E10C2" w:rsidP="004E10C2">
      <w:pPr>
        <w:jc w:val="center"/>
      </w:pPr>
    </w:p>
    <w:p w:rsidR="004E10C2" w:rsidRPr="004E10C2" w:rsidRDefault="004E10C2" w:rsidP="004E10C2">
      <w:pPr>
        <w:jc w:val="center"/>
        <w:rPr>
          <w:b/>
          <w:bCs/>
          <w:u w:val="single"/>
        </w:rPr>
      </w:pPr>
      <w:r w:rsidRPr="004E10C2">
        <w:rPr>
          <w:b/>
          <w:bCs/>
          <w:u w:val="single"/>
        </w:rPr>
        <w:t>La structure financière du capital</w:t>
      </w:r>
    </w:p>
    <w:p w:rsidR="004E10C2" w:rsidRDefault="004E10C2" w:rsidP="004E10C2"/>
    <w:p w:rsidR="004E10C2" w:rsidRPr="00134262" w:rsidRDefault="004E10C2" w:rsidP="004E10C2"/>
    <w:p w:rsidR="004E10C2" w:rsidRPr="00134262" w:rsidRDefault="004E10C2" w:rsidP="004E10C2">
      <w:pPr>
        <w:jc w:val="both"/>
      </w:pPr>
      <w:r w:rsidRPr="00134262">
        <w:t xml:space="preserve">L'hypothèse fondatrice de neutralité de la structure financière du capital apparaît moins convaincante lorsque la fiscalité des entreprises ou des investisseurs est prise en compte. Les coûts implicites liés à la possible faillite ou les coûts d'agence des fonds propres peuvent </w:t>
      </w:r>
      <w:r w:rsidRPr="00134262">
        <w:lastRenderedPageBreak/>
        <w:t>conduire les entreprises à rechercher un ratio optimal d'endettement. Les asymétries informationnelles ou des objectifs de signalisation sont sus</w:t>
      </w:r>
      <w:r w:rsidRPr="00134262">
        <w:softHyphen/>
        <w:t>ceptibles de pousser les entreprises vers une hiérarchisation du financement. Les dirigeants ne cherchent plus à optimiser le ratio d'endettement mais tentent de limiter le financement externe de dette ou de capital.</w:t>
      </w:r>
    </w:p>
    <w:p w:rsidR="004E10C2" w:rsidRPr="00134262" w:rsidRDefault="004E10C2" w:rsidP="004E10C2">
      <w:pPr>
        <w:jc w:val="both"/>
      </w:pPr>
    </w:p>
    <w:p w:rsidR="004E10C2" w:rsidRPr="00134262" w:rsidRDefault="004E10C2" w:rsidP="006D0BBC">
      <w:pPr>
        <w:jc w:val="both"/>
      </w:pPr>
      <w:r w:rsidRPr="00134262">
        <w:t>Cette étude sur le marché français confirme les résultats d'études antérieures réalisées sur le marché américain. Face à un besoin de financement, les entreprises françaises hiérarchisent</w:t>
      </w:r>
      <w:r>
        <w:t xml:space="preserve"> </w:t>
      </w:r>
      <w:r w:rsidRPr="00134262">
        <w:t>leurs ressources financières en privilégiant les ressources internes d'autofinancement au détriment des ressources externes. Lorsqu'elles sont amenées à recourir à un financement</w:t>
      </w:r>
      <w:r>
        <w:t xml:space="preserve"> </w:t>
      </w:r>
      <w:r w:rsidRPr="00134262">
        <w:t>externe, elles accordent une priorité à l'endettement aux dépens de l'augmentation de capi</w:t>
      </w:r>
      <w:r w:rsidRPr="00134262">
        <w:softHyphen/>
        <w:t>tal. Ainsi, la structure financière des entreprises françaises semble résulter plus de cette hiérarchisation des ressources de financement que de la recherche d'un ratio d'endettement</w:t>
      </w:r>
      <w:r>
        <w:t xml:space="preserve"> </w:t>
      </w:r>
      <w:r w:rsidRPr="00134262">
        <w:t xml:space="preserve">optimal. </w:t>
      </w:r>
    </w:p>
    <w:p w:rsidR="004E10C2" w:rsidRPr="00134262" w:rsidRDefault="004E10C2" w:rsidP="004E10C2"/>
    <w:p w:rsidR="004E10C2" w:rsidRPr="00C23667" w:rsidRDefault="004E10C2" w:rsidP="004E10C2">
      <w:pPr>
        <w:rPr>
          <w:i/>
          <w:iCs/>
        </w:rPr>
      </w:pPr>
      <w:r w:rsidRPr="00C23667">
        <w:rPr>
          <w:i/>
          <w:iCs/>
        </w:rPr>
        <w:t>Extrait de la conclusion d’une étude réalisée par Eric Molay  en Mars 2004 intitulée : « Structure financière du capital: tests empiriques sur le marché français »</w:t>
      </w:r>
    </w:p>
    <w:p w:rsidR="004E10C2" w:rsidRPr="00C23667" w:rsidRDefault="004E10C2" w:rsidP="004E10C2">
      <w:pPr>
        <w:rPr>
          <w:i/>
          <w:iCs/>
        </w:rPr>
      </w:pPr>
      <w:r w:rsidRPr="00C23667">
        <w:rPr>
          <w:i/>
          <w:iCs/>
        </w:rPr>
        <w:t>Université de Nice-Sophia-Antipolis</w:t>
      </w:r>
    </w:p>
    <w:p w:rsidR="004E10C2" w:rsidRPr="000518E3" w:rsidRDefault="004E10C2" w:rsidP="004E10C2">
      <w:pPr>
        <w:jc w:val="both"/>
      </w:pPr>
    </w:p>
    <w:sectPr w:rsidR="004E10C2" w:rsidRPr="000518E3">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32F" w:rsidRDefault="0005332F">
      <w:r>
        <w:separator/>
      </w:r>
    </w:p>
  </w:endnote>
  <w:endnote w:type="continuationSeparator" w:id="0">
    <w:p w:rsidR="0005332F" w:rsidRDefault="0005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9D4" w:rsidRDefault="009619D4" w:rsidP="00FD318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9619D4" w:rsidRDefault="009619D4" w:rsidP="00E6710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9D4" w:rsidRPr="000A07D0" w:rsidRDefault="000A07D0" w:rsidP="000A07D0">
    <w:pPr>
      <w:pStyle w:val="Pieddepage"/>
      <w:tabs>
        <w:tab w:val="left" w:pos="709"/>
      </w:tabs>
      <w:ind w:right="357"/>
      <w:rPr>
        <w:sz w:val="20"/>
        <w:szCs w:val="20"/>
      </w:rPr>
    </w:pPr>
    <w:r w:rsidRPr="00642AF9">
      <w:rPr>
        <w:sz w:val="20"/>
        <w:szCs w:val="20"/>
      </w:rPr>
      <w:t xml:space="preserve">©Comptazine – Reproduction interdite – DSCG </w:t>
    </w:r>
    <w:r>
      <w:rPr>
        <w:sz w:val="20"/>
        <w:szCs w:val="20"/>
      </w:rPr>
      <w:t>Finance</w:t>
    </w:r>
    <w:r w:rsidRPr="00642AF9">
      <w:rPr>
        <w:sz w:val="20"/>
        <w:szCs w:val="20"/>
      </w:rPr>
      <w:t xml:space="preserve"> 20</w:t>
    </w:r>
    <w:r>
      <w:rPr>
        <w:sz w:val="20"/>
        <w:szCs w:val="20"/>
      </w:rPr>
      <w:t>10</w:t>
    </w:r>
    <w:r w:rsidRPr="00642AF9">
      <w:rPr>
        <w:bCs/>
        <w:sz w:val="20"/>
        <w:szCs w:val="20"/>
      </w:rPr>
      <w:tab/>
    </w:r>
    <w:r w:rsidRPr="00642AF9">
      <w:rPr>
        <w:rStyle w:val="Numrodepage"/>
        <w:bCs/>
        <w:sz w:val="20"/>
        <w:szCs w:val="20"/>
      </w:rPr>
      <w:fldChar w:fldCharType="begin"/>
    </w:r>
    <w:r w:rsidRPr="00642AF9">
      <w:rPr>
        <w:rStyle w:val="Numrodepage"/>
        <w:bCs/>
        <w:sz w:val="20"/>
        <w:szCs w:val="20"/>
      </w:rPr>
      <w:instrText xml:space="preserve"> PAGE </w:instrText>
    </w:r>
    <w:r w:rsidRPr="00642AF9">
      <w:rPr>
        <w:rStyle w:val="Numrodepage"/>
        <w:bCs/>
        <w:sz w:val="20"/>
        <w:szCs w:val="20"/>
      </w:rPr>
      <w:fldChar w:fldCharType="separate"/>
    </w:r>
    <w:r w:rsidR="001E16CD">
      <w:rPr>
        <w:rStyle w:val="Numrodepage"/>
        <w:bCs/>
        <w:noProof/>
        <w:sz w:val="20"/>
        <w:szCs w:val="20"/>
      </w:rPr>
      <w:t>10</w:t>
    </w:r>
    <w:r w:rsidRPr="00642AF9">
      <w:rPr>
        <w:rStyle w:val="Numrodepage"/>
        <w:bCs/>
        <w:sz w:val="20"/>
        <w:szCs w:val="20"/>
      </w:rPr>
      <w:fldChar w:fldCharType="end"/>
    </w:r>
    <w:r w:rsidRPr="00642AF9">
      <w:rPr>
        <w:rStyle w:val="Numrodepage"/>
        <w:bCs/>
        <w:sz w:val="20"/>
        <w:szCs w:val="20"/>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32F" w:rsidRDefault="0005332F">
      <w:r>
        <w:separator/>
      </w:r>
    </w:p>
  </w:footnote>
  <w:footnote w:type="continuationSeparator" w:id="0">
    <w:p w:rsidR="0005332F" w:rsidRDefault="000533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7D0" w:rsidRPr="000A07D0" w:rsidRDefault="00DD087E" w:rsidP="000A07D0">
    <w:pPr>
      <w:pStyle w:val="En-tte"/>
      <w:ind w:left="5088" w:right="849" w:firstLine="1284"/>
    </w:pPr>
    <w:r>
      <w:rPr>
        <w:noProof/>
      </w:rPr>
      <w:drawing>
        <wp:anchor distT="0" distB="0" distL="114300" distR="114300" simplePos="0" relativeHeight="251659264" behindDoc="1" locked="0" layoutInCell="1" allowOverlap="1">
          <wp:simplePos x="0" y="0"/>
          <wp:positionH relativeFrom="margin">
            <wp:posOffset>5678805</wp:posOffset>
          </wp:positionH>
          <wp:positionV relativeFrom="margin">
            <wp:posOffset>-495300</wp:posOffset>
          </wp:positionV>
          <wp:extent cx="381000" cy="381000"/>
          <wp:effectExtent l="0" t="0" r="0" b="0"/>
          <wp:wrapNone/>
          <wp:docPr id="1" name="Image 6" descr="Description : Description : C:\Mes documents\ACCOUNTANCY SIMPLY\Projet\logos_Comptazine_FB_TW-40-x-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Description : Description : C:\Mes documents\ACCOUNTANCY SIMPLY\Projet\logos_Comptazine_FB_TW-40-x-4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2" w:history="1">
      <w:r w:rsidR="000A07D0">
        <w:rPr>
          <w:rStyle w:val="Lienhypertexte"/>
          <w:rFonts w:ascii="Calibri" w:hAnsi="Calibri" w:cs="Calibri"/>
          <w:color w:val="E36C0A"/>
          <w:sz w:val="18"/>
        </w:rPr>
        <w:t>www.comptazine.fr</w:t>
      </w:r>
    </w:hyperlink>
    <w:r w:rsidR="000A07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2013490" o:spid="_x0000_s2050" type="#_x0000_t75" style="position:absolute;left:0;text-align:left;margin-left:0;margin-top:0;width:495.9pt;height:495.9pt;z-index:-251656192;mso-position-horizontal:center;mso-position-horizontal-relative:margin;mso-position-vertical:center;mso-position-vertical-relative:margin" o:allowincell="f">
          <v:imagedata r:id="rId3" o:title="logos_Comptazine_NB-OPACITE-20-200-x-20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B591E"/>
    <w:multiLevelType w:val="hybridMultilevel"/>
    <w:tmpl w:val="56BA7536"/>
    <w:lvl w:ilvl="0" w:tplc="0212B9FA">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59D"/>
    <w:rsid w:val="00012276"/>
    <w:rsid w:val="00030733"/>
    <w:rsid w:val="00041295"/>
    <w:rsid w:val="000518E3"/>
    <w:rsid w:val="0005332F"/>
    <w:rsid w:val="00097A2B"/>
    <w:rsid w:val="000A07D0"/>
    <w:rsid w:val="000A2DA1"/>
    <w:rsid w:val="000C1307"/>
    <w:rsid w:val="00103512"/>
    <w:rsid w:val="00114F47"/>
    <w:rsid w:val="001167F0"/>
    <w:rsid w:val="00160AA4"/>
    <w:rsid w:val="00161196"/>
    <w:rsid w:val="0016392F"/>
    <w:rsid w:val="001901B6"/>
    <w:rsid w:val="001E16CD"/>
    <w:rsid w:val="00214AEB"/>
    <w:rsid w:val="00232928"/>
    <w:rsid w:val="00280551"/>
    <w:rsid w:val="002C1429"/>
    <w:rsid w:val="00314D52"/>
    <w:rsid w:val="00331014"/>
    <w:rsid w:val="00353C31"/>
    <w:rsid w:val="0038045C"/>
    <w:rsid w:val="0038123C"/>
    <w:rsid w:val="00391A72"/>
    <w:rsid w:val="00397227"/>
    <w:rsid w:val="003B78F4"/>
    <w:rsid w:val="003C6C2A"/>
    <w:rsid w:val="004643EF"/>
    <w:rsid w:val="00480B46"/>
    <w:rsid w:val="004926BF"/>
    <w:rsid w:val="004A2126"/>
    <w:rsid w:val="004D00E2"/>
    <w:rsid w:val="004E10C2"/>
    <w:rsid w:val="004E72BC"/>
    <w:rsid w:val="00523CAC"/>
    <w:rsid w:val="00524C22"/>
    <w:rsid w:val="005543AF"/>
    <w:rsid w:val="00562039"/>
    <w:rsid w:val="005A276F"/>
    <w:rsid w:val="005F24A3"/>
    <w:rsid w:val="00610E5F"/>
    <w:rsid w:val="00616D65"/>
    <w:rsid w:val="00637C2E"/>
    <w:rsid w:val="0064231D"/>
    <w:rsid w:val="006A3F77"/>
    <w:rsid w:val="006A7C09"/>
    <w:rsid w:val="006B295B"/>
    <w:rsid w:val="006B3580"/>
    <w:rsid w:val="006D0BBC"/>
    <w:rsid w:val="006E202D"/>
    <w:rsid w:val="006E333A"/>
    <w:rsid w:val="006E4BC5"/>
    <w:rsid w:val="006E55BB"/>
    <w:rsid w:val="006F1CD8"/>
    <w:rsid w:val="00701F15"/>
    <w:rsid w:val="00737B5D"/>
    <w:rsid w:val="0076604A"/>
    <w:rsid w:val="00784D9B"/>
    <w:rsid w:val="007F0FC9"/>
    <w:rsid w:val="008042E5"/>
    <w:rsid w:val="0080576E"/>
    <w:rsid w:val="0080606A"/>
    <w:rsid w:val="00845C4C"/>
    <w:rsid w:val="00857D50"/>
    <w:rsid w:val="008E5673"/>
    <w:rsid w:val="008F2D34"/>
    <w:rsid w:val="008F51AD"/>
    <w:rsid w:val="0091517A"/>
    <w:rsid w:val="009619D4"/>
    <w:rsid w:val="0096777C"/>
    <w:rsid w:val="009A2BF3"/>
    <w:rsid w:val="009C629F"/>
    <w:rsid w:val="00A00B66"/>
    <w:rsid w:val="00A00C97"/>
    <w:rsid w:val="00A14A20"/>
    <w:rsid w:val="00A311DA"/>
    <w:rsid w:val="00A51B5A"/>
    <w:rsid w:val="00A71B50"/>
    <w:rsid w:val="00A80C0B"/>
    <w:rsid w:val="00A87C38"/>
    <w:rsid w:val="00AC321A"/>
    <w:rsid w:val="00AC79B9"/>
    <w:rsid w:val="00AD04F5"/>
    <w:rsid w:val="00AF1761"/>
    <w:rsid w:val="00B22E0A"/>
    <w:rsid w:val="00B43D5C"/>
    <w:rsid w:val="00B64279"/>
    <w:rsid w:val="00B67341"/>
    <w:rsid w:val="00BD1881"/>
    <w:rsid w:val="00BD2752"/>
    <w:rsid w:val="00C23667"/>
    <w:rsid w:val="00C3276E"/>
    <w:rsid w:val="00C621CB"/>
    <w:rsid w:val="00C65D19"/>
    <w:rsid w:val="00C66068"/>
    <w:rsid w:val="00C72DCD"/>
    <w:rsid w:val="00CA4EF2"/>
    <w:rsid w:val="00CB46DF"/>
    <w:rsid w:val="00CF3C64"/>
    <w:rsid w:val="00CF626C"/>
    <w:rsid w:val="00CF667F"/>
    <w:rsid w:val="00D45C04"/>
    <w:rsid w:val="00D536BC"/>
    <w:rsid w:val="00D657D2"/>
    <w:rsid w:val="00DD087E"/>
    <w:rsid w:val="00DD459D"/>
    <w:rsid w:val="00DE6F87"/>
    <w:rsid w:val="00DF5D9D"/>
    <w:rsid w:val="00E35962"/>
    <w:rsid w:val="00E54F74"/>
    <w:rsid w:val="00E645C2"/>
    <w:rsid w:val="00E67101"/>
    <w:rsid w:val="00E72C42"/>
    <w:rsid w:val="00E81301"/>
    <w:rsid w:val="00E8512C"/>
    <w:rsid w:val="00E91E99"/>
    <w:rsid w:val="00E976C5"/>
    <w:rsid w:val="00E978DD"/>
    <w:rsid w:val="00EF76AC"/>
    <w:rsid w:val="00F12A0E"/>
    <w:rsid w:val="00F60621"/>
    <w:rsid w:val="00F6302E"/>
    <w:rsid w:val="00F65CDC"/>
    <w:rsid w:val="00FD3180"/>
    <w:rsid w:val="00FE292B"/>
    <w:rsid w:val="00FF599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2C42"/>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3">
    <w:name w:val="Body Text 3"/>
    <w:basedOn w:val="Normal"/>
    <w:link w:val="Corpsdetexte3Car"/>
    <w:semiHidden/>
    <w:rsid w:val="00BD1881"/>
    <w:pPr>
      <w:jc w:val="center"/>
    </w:pPr>
  </w:style>
  <w:style w:type="character" w:customStyle="1" w:styleId="Corpsdetexte3Car">
    <w:name w:val="Corps de texte 3 Car"/>
    <w:basedOn w:val="Policepardfaut"/>
    <w:link w:val="Corpsdetexte3"/>
    <w:semiHidden/>
    <w:rsid w:val="00BD1881"/>
    <w:rPr>
      <w:sz w:val="24"/>
      <w:szCs w:val="24"/>
    </w:rPr>
  </w:style>
  <w:style w:type="paragraph" w:styleId="Pieddepage">
    <w:name w:val="footer"/>
    <w:basedOn w:val="Normal"/>
    <w:link w:val="PieddepageCar"/>
    <w:uiPriority w:val="99"/>
    <w:rsid w:val="00E67101"/>
    <w:pPr>
      <w:tabs>
        <w:tab w:val="center" w:pos="4536"/>
        <w:tab w:val="right" w:pos="9072"/>
      </w:tabs>
    </w:pPr>
  </w:style>
  <w:style w:type="character" w:styleId="Numrodepage">
    <w:name w:val="page number"/>
    <w:basedOn w:val="Policepardfaut"/>
    <w:rsid w:val="00E67101"/>
  </w:style>
  <w:style w:type="paragraph" w:styleId="En-tte">
    <w:name w:val="header"/>
    <w:basedOn w:val="Normal"/>
    <w:link w:val="En-tteCar"/>
    <w:rsid w:val="006B295B"/>
    <w:pPr>
      <w:tabs>
        <w:tab w:val="center" w:pos="4536"/>
        <w:tab w:val="right" w:pos="9072"/>
      </w:tabs>
    </w:pPr>
  </w:style>
  <w:style w:type="character" w:styleId="Marquedecommentaire">
    <w:name w:val="annotation reference"/>
    <w:basedOn w:val="Policepardfaut"/>
    <w:rsid w:val="00D657D2"/>
    <w:rPr>
      <w:sz w:val="16"/>
      <w:szCs w:val="16"/>
    </w:rPr>
  </w:style>
  <w:style w:type="paragraph" w:styleId="Commentaire">
    <w:name w:val="annotation text"/>
    <w:basedOn w:val="Normal"/>
    <w:link w:val="CommentaireCar"/>
    <w:rsid w:val="00D657D2"/>
    <w:rPr>
      <w:sz w:val="20"/>
      <w:szCs w:val="20"/>
    </w:rPr>
  </w:style>
  <w:style w:type="character" w:customStyle="1" w:styleId="CommentaireCar">
    <w:name w:val="Commentaire Car"/>
    <w:basedOn w:val="Policepardfaut"/>
    <w:link w:val="Commentaire"/>
    <w:rsid w:val="00D657D2"/>
  </w:style>
  <w:style w:type="paragraph" w:styleId="Objetducommentaire">
    <w:name w:val="annotation subject"/>
    <w:basedOn w:val="Commentaire"/>
    <w:next w:val="Commentaire"/>
    <w:link w:val="ObjetducommentaireCar"/>
    <w:rsid w:val="00D657D2"/>
    <w:rPr>
      <w:b/>
      <w:bCs/>
    </w:rPr>
  </w:style>
  <w:style w:type="character" w:customStyle="1" w:styleId="ObjetducommentaireCar">
    <w:name w:val="Objet du commentaire Car"/>
    <w:basedOn w:val="CommentaireCar"/>
    <w:link w:val="Objetducommentaire"/>
    <w:rsid w:val="00D657D2"/>
    <w:rPr>
      <w:b/>
      <w:bCs/>
    </w:rPr>
  </w:style>
  <w:style w:type="paragraph" w:styleId="Textedebulles">
    <w:name w:val="Balloon Text"/>
    <w:basedOn w:val="Normal"/>
    <w:link w:val="TextedebullesCar"/>
    <w:rsid w:val="00D657D2"/>
    <w:rPr>
      <w:rFonts w:ascii="Tahoma" w:hAnsi="Tahoma" w:cs="Tahoma"/>
      <w:sz w:val="16"/>
      <w:szCs w:val="16"/>
    </w:rPr>
  </w:style>
  <w:style w:type="character" w:customStyle="1" w:styleId="TextedebullesCar">
    <w:name w:val="Texte de bulles Car"/>
    <w:basedOn w:val="Policepardfaut"/>
    <w:link w:val="Textedebulles"/>
    <w:rsid w:val="00D657D2"/>
    <w:rPr>
      <w:rFonts w:ascii="Tahoma" w:hAnsi="Tahoma" w:cs="Tahoma"/>
      <w:sz w:val="16"/>
      <w:szCs w:val="16"/>
    </w:rPr>
  </w:style>
  <w:style w:type="character" w:styleId="Lienhypertexte">
    <w:name w:val="Hyperlink"/>
    <w:unhideWhenUsed/>
    <w:rsid w:val="000A07D0"/>
    <w:rPr>
      <w:color w:val="0000FF"/>
      <w:u w:val="single"/>
    </w:rPr>
  </w:style>
  <w:style w:type="character" w:customStyle="1" w:styleId="En-tteCar">
    <w:name w:val="En-tête Car"/>
    <w:link w:val="En-tte"/>
    <w:rsid w:val="000A07D0"/>
    <w:rPr>
      <w:sz w:val="24"/>
      <w:szCs w:val="24"/>
    </w:rPr>
  </w:style>
  <w:style w:type="character" w:customStyle="1" w:styleId="PieddepageCar">
    <w:name w:val="Pied de page Car"/>
    <w:link w:val="Pieddepage"/>
    <w:uiPriority w:val="99"/>
    <w:rsid w:val="000A07D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2C42"/>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Corpsdetexte3">
    <w:name w:val="Body Text 3"/>
    <w:basedOn w:val="Normal"/>
    <w:link w:val="Corpsdetexte3Car"/>
    <w:semiHidden/>
    <w:rsid w:val="00BD1881"/>
    <w:pPr>
      <w:jc w:val="center"/>
    </w:pPr>
  </w:style>
  <w:style w:type="character" w:customStyle="1" w:styleId="Corpsdetexte3Car">
    <w:name w:val="Corps de texte 3 Car"/>
    <w:basedOn w:val="Policepardfaut"/>
    <w:link w:val="Corpsdetexte3"/>
    <w:semiHidden/>
    <w:rsid w:val="00BD1881"/>
    <w:rPr>
      <w:sz w:val="24"/>
      <w:szCs w:val="24"/>
    </w:rPr>
  </w:style>
  <w:style w:type="paragraph" w:styleId="Pieddepage">
    <w:name w:val="footer"/>
    <w:basedOn w:val="Normal"/>
    <w:link w:val="PieddepageCar"/>
    <w:uiPriority w:val="99"/>
    <w:rsid w:val="00E67101"/>
    <w:pPr>
      <w:tabs>
        <w:tab w:val="center" w:pos="4536"/>
        <w:tab w:val="right" w:pos="9072"/>
      </w:tabs>
    </w:pPr>
  </w:style>
  <w:style w:type="character" w:styleId="Numrodepage">
    <w:name w:val="page number"/>
    <w:basedOn w:val="Policepardfaut"/>
    <w:rsid w:val="00E67101"/>
  </w:style>
  <w:style w:type="paragraph" w:styleId="En-tte">
    <w:name w:val="header"/>
    <w:basedOn w:val="Normal"/>
    <w:link w:val="En-tteCar"/>
    <w:rsid w:val="006B295B"/>
    <w:pPr>
      <w:tabs>
        <w:tab w:val="center" w:pos="4536"/>
        <w:tab w:val="right" w:pos="9072"/>
      </w:tabs>
    </w:pPr>
  </w:style>
  <w:style w:type="character" w:styleId="Marquedecommentaire">
    <w:name w:val="annotation reference"/>
    <w:basedOn w:val="Policepardfaut"/>
    <w:rsid w:val="00D657D2"/>
    <w:rPr>
      <w:sz w:val="16"/>
      <w:szCs w:val="16"/>
    </w:rPr>
  </w:style>
  <w:style w:type="paragraph" w:styleId="Commentaire">
    <w:name w:val="annotation text"/>
    <w:basedOn w:val="Normal"/>
    <w:link w:val="CommentaireCar"/>
    <w:rsid w:val="00D657D2"/>
    <w:rPr>
      <w:sz w:val="20"/>
      <w:szCs w:val="20"/>
    </w:rPr>
  </w:style>
  <w:style w:type="character" w:customStyle="1" w:styleId="CommentaireCar">
    <w:name w:val="Commentaire Car"/>
    <w:basedOn w:val="Policepardfaut"/>
    <w:link w:val="Commentaire"/>
    <w:rsid w:val="00D657D2"/>
  </w:style>
  <w:style w:type="paragraph" w:styleId="Objetducommentaire">
    <w:name w:val="annotation subject"/>
    <w:basedOn w:val="Commentaire"/>
    <w:next w:val="Commentaire"/>
    <w:link w:val="ObjetducommentaireCar"/>
    <w:rsid w:val="00D657D2"/>
    <w:rPr>
      <w:b/>
      <w:bCs/>
    </w:rPr>
  </w:style>
  <w:style w:type="character" w:customStyle="1" w:styleId="ObjetducommentaireCar">
    <w:name w:val="Objet du commentaire Car"/>
    <w:basedOn w:val="CommentaireCar"/>
    <w:link w:val="Objetducommentaire"/>
    <w:rsid w:val="00D657D2"/>
    <w:rPr>
      <w:b/>
      <w:bCs/>
    </w:rPr>
  </w:style>
  <w:style w:type="paragraph" w:styleId="Textedebulles">
    <w:name w:val="Balloon Text"/>
    <w:basedOn w:val="Normal"/>
    <w:link w:val="TextedebullesCar"/>
    <w:rsid w:val="00D657D2"/>
    <w:rPr>
      <w:rFonts w:ascii="Tahoma" w:hAnsi="Tahoma" w:cs="Tahoma"/>
      <w:sz w:val="16"/>
      <w:szCs w:val="16"/>
    </w:rPr>
  </w:style>
  <w:style w:type="character" w:customStyle="1" w:styleId="TextedebullesCar">
    <w:name w:val="Texte de bulles Car"/>
    <w:basedOn w:val="Policepardfaut"/>
    <w:link w:val="Textedebulles"/>
    <w:rsid w:val="00D657D2"/>
    <w:rPr>
      <w:rFonts w:ascii="Tahoma" w:hAnsi="Tahoma" w:cs="Tahoma"/>
      <w:sz w:val="16"/>
      <w:szCs w:val="16"/>
    </w:rPr>
  </w:style>
  <w:style w:type="character" w:styleId="Lienhypertexte">
    <w:name w:val="Hyperlink"/>
    <w:unhideWhenUsed/>
    <w:rsid w:val="000A07D0"/>
    <w:rPr>
      <w:color w:val="0000FF"/>
      <w:u w:val="single"/>
    </w:rPr>
  </w:style>
  <w:style w:type="character" w:customStyle="1" w:styleId="En-tteCar">
    <w:name w:val="En-tête Car"/>
    <w:link w:val="En-tte"/>
    <w:rsid w:val="000A07D0"/>
    <w:rPr>
      <w:sz w:val="24"/>
      <w:szCs w:val="24"/>
    </w:rPr>
  </w:style>
  <w:style w:type="character" w:customStyle="1" w:styleId="PieddepageCar">
    <w:name w:val="Pied de page Car"/>
    <w:link w:val="Pieddepage"/>
    <w:uiPriority w:val="99"/>
    <w:rsid w:val="000A07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9899">
      <w:bodyDiv w:val="1"/>
      <w:marLeft w:val="0"/>
      <w:marRight w:val="0"/>
      <w:marTop w:val="0"/>
      <w:marBottom w:val="0"/>
      <w:divBdr>
        <w:top w:val="none" w:sz="0" w:space="0" w:color="auto"/>
        <w:left w:val="none" w:sz="0" w:space="0" w:color="auto"/>
        <w:bottom w:val="none" w:sz="0" w:space="0" w:color="auto"/>
        <w:right w:val="none" w:sz="0" w:space="0" w:color="auto"/>
      </w:divBdr>
    </w:div>
    <w:div w:id="361715326">
      <w:bodyDiv w:val="1"/>
      <w:marLeft w:val="0"/>
      <w:marRight w:val="0"/>
      <w:marTop w:val="0"/>
      <w:marBottom w:val="0"/>
      <w:divBdr>
        <w:top w:val="none" w:sz="0" w:space="0" w:color="auto"/>
        <w:left w:val="none" w:sz="0" w:space="0" w:color="auto"/>
        <w:bottom w:val="none" w:sz="0" w:space="0" w:color="auto"/>
        <w:right w:val="none" w:sz="0" w:space="0" w:color="auto"/>
      </w:divBdr>
    </w:div>
    <w:div w:id="1006324512">
      <w:bodyDiv w:val="1"/>
      <w:marLeft w:val="0"/>
      <w:marRight w:val="0"/>
      <w:marTop w:val="0"/>
      <w:marBottom w:val="0"/>
      <w:divBdr>
        <w:top w:val="none" w:sz="0" w:space="0" w:color="auto"/>
        <w:left w:val="none" w:sz="0" w:space="0" w:color="auto"/>
        <w:bottom w:val="none" w:sz="0" w:space="0" w:color="auto"/>
        <w:right w:val="none" w:sz="0" w:space="0" w:color="auto"/>
      </w:divBdr>
    </w:div>
    <w:div w:id="1099642794">
      <w:bodyDiv w:val="1"/>
      <w:marLeft w:val="0"/>
      <w:marRight w:val="0"/>
      <w:marTop w:val="0"/>
      <w:marBottom w:val="0"/>
      <w:divBdr>
        <w:top w:val="none" w:sz="0" w:space="0" w:color="auto"/>
        <w:left w:val="none" w:sz="0" w:space="0" w:color="auto"/>
        <w:bottom w:val="none" w:sz="0" w:space="0" w:color="auto"/>
        <w:right w:val="none" w:sz="0" w:space="0" w:color="auto"/>
      </w:divBdr>
    </w:div>
    <w:div w:id="1207179090">
      <w:bodyDiv w:val="1"/>
      <w:marLeft w:val="0"/>
      <w:marRight w:val="0"/>
      <w:marTop w:val="0"/>
      <w:marBottom w:val="0"/>
      <w:divBdr>
        <w:top w:val="none" w:sz="0" w:space="0" w:color="auto"/>
        <w:left w:val="none" w:sz="0" w:space="0" w:color="auto"/>
        <w:bottom w:val="none" w:sz="0" w:space="0" w:color="auto"/>
        <w:right w:val="none" w:sz="0" w:space="0" w:color="auto"/>
      </w:divBdr>
    </w:div>
    <w:div w:id="164843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comptazine.fr"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3815</Words>
  <Characters>20986</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24752</CharactersWithSpaces>
  <SharedDoc>false</SharedDoc>
  <HLinks>
    <vt:vector size="6" baseType="variant">
      <vt:variant>
        <vt:i4>1638468</vt:i4>
      </vt:variant>
      <vt:variant>
        <vt:i4>0</vt:i4>
      </vt:variant>
      <vt:variant>
        <vt:i4>0</vt:i4>
      </vt:variant>
      <vt:variant>
        <vt:i4>5</vt:i4>
      </vt:variant>
      <vt:variant>
        <vt:lpwstr>http://www.comptazine.fr/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Comptazine</dc:creator>
  <cp:lastModifiedBy>Sébastien Demay</cp:lastModifiedBy>
  <cp:revision>3</cp:revision>
  <cp:lastPrinted>2014-04-05T21:09:00Z</cp:lastPrinted>
  <dcterms:created xsi:type="dcterms:W3CDTF">2014-04-05T21:03:00Z</dcterms:created>
  <dcterms:modified xsi:type="dcterms:W3CDTF">2014-04-05T21:09:00Z</dcterms:modified>
</cp:coreProperties>
</file>