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0A" w:rsidRDefault="006B295B" w:rsidP="006B295B">
      <w:pPr>
        <w:autoSpaceDE w:val="0"/>
        <w:autoSpaceDN w:val="0"/>
        <w:adjustRightInd w:val="0"/>
        <w:rPr>
          <w:b/>
          <w:bCs/>
          <w:color w:val="000000"/>
          <w:sz w:val="32"/>
          <w:szCs w:val="32"/>
        </w:rPr>
      </w:pPr>
      <w:r>
        <w:rPr>
          <w:b/>
          <w:bCs/>
          <w:color w:val="000000"/>
          <w:sz w:val="20"/>
          <w:szCs w:val="20"/>
        </w:rPr>
        <w:t xml:space="preserve"> </w:t>
      </w:r>
    </w:p>
    <w:p w:rsidR="00B22E0A" w:rsidRDefault="00310109" w:rsidP="006E202D">
      <w:pPr>
        <w:autoSpaceDE w:val="0"/>
        <w:autoSpaceDN w:val="0"/>
        <w:adjustRightInd w:val="0"/>
        <w:jc w:val="center"/>
        <w:rPr>
          <w:b/>
          <w:bCs/>
          <w:color w:val="000000"/>
          <w:sz w:val="32"/>
          <w:szCs w:val="32"/>
        </w:rPr>
      </w:pPr>
      <w:r>
        <w:rPr>
          <w:b/>
          <w:bCs/>
          <w:noProof/>
          <w:color w:val="000000"/>
          <w:sz w:val="32"/>
          <w:szCs w:val="32"/>
        </w:rPr>
        <mc:AlternateContent>
          <mc:Choice Requires="wpg">
            <w:drawing>
              <wp:anchor distT="0" distB="0" distL="114300" distR="114300" simplePos="0" relativeHeight="251657728" behindDoc="0" locked="0" layoutInCell="1" allowOverlap="1">
                <wp:simplePos x="0" y="0"/>
                <wp:positionH relativeFrom="column">
                  <wp:posOffset>-337820</wp:posOffset>
                </wp:positionH>
                <wp:positionV relativeFrom="paragraph">
                  <wp:posOffset>1905</wp:posOffset>
                </wp:positionV>
                <wp:extent cx="1429385" cy="723900"/>
                <wp:effectExtent l="9525" t="11430" r="0"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2" name="Text Box 6"/>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0A" w:rsidRDefault="00B22E0A" w:rsidP="00B22E0A">
                              <w:pPr>
                                <w:rPr>
                                  <w:sz w:val="40"/>
                                </w:rPr>
                              </w:pPr>
                              <w:r>
                                <w:rPr>
                                  <w:sz w:val="40"/>
                                </w:rPr>
                                <w:t>DSCG</w:t>
                              </w:r>
                            </w:p>
                          </w:txbxContent>
                        </wps:txbx>
                        <wps:bodyPr rot="0" vert="horz" wrap="square" lIns="91440" tIns="45720" rIns="91440" bIns="45720" anchor="t" anchorCtr="0" upright="1">
                          <a:noAutofit/>
                        </wps:bodyPr>
                      </wps:wsp>
                      <wps:wsp>
                        <wps:cNvPr id="4" name="AutoShape 7"/>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6.6pt;margin-top:.15pt;width:112.55pt;height:57pt;z-index:251657728"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TMnAMAAKgKAAAOAAAAZHJzL2Uyb0RvYy54bWzcVm1vpDYQ/l6p/8HydwJmYRdQyCnZl6hS&#10;2p50dz/AC+alBZva3rC5qv+9Y5tdko3uWl3USi0fEPbY43memXnM9btj36FHJlUreI7JVYAR44Uo&#10;W17n+NPHnZdgpDTlJe0EZzl+Ygq/u/n+u+txyFgoGtGVTCJwwlU2DjlutB4y31dFw3qqrsTAOBgr&#10;IXuqYShrv5R0BO9954dBsPRHIctBioIpBbMbZ8Q31n9VsUL/XFWKadTlGGLT9i3te2/e/s01zWpJ&#10;h6YtpjDoN0TR05bDoWdXG6opOsj2lau+LaRQotJXheh9UVVtwSwGQEOCCzT3UhwGi6XOxno40wTU&#10;XvD0zW6Lnx7fS9SWkDuMOO0hRfZUFBtqxqHOYMW9HD4M76XDB58PovhVgdm/tJtx7Raj/fijKMEd&#10;PWhhqTlWsjcuADQ62gw8nTPAjhoVMEmiMF0kMUYF2FbhIg2mFBUN5NFsI8sAzGAlC5K69BXNdtoe&#10;hjHAMHsJiexOn2buXBvrFJsBBuWmZkbV2xj90NCB2UQpw9fEaHhi9KOBdyeOaOlItYsMo0gfYRqi&#10;tQQpRyziYt1QXrNbKcXYMFpCdMTsBAznrQ6DMk7+immySpaOsjhaOMpOfIfBCrrCEBaHNuNnvmg2&#10;SKXvmeiR+cixhF6yYdLHB6VNNPMSk1Yudm3XwTzNOv5iAha6GTgVthqbOd+2x+9pkG6TbRJ5Ubjc&#10;elGw2Xi3u3XkLXdkFW8Wm/V6Q/4w55Ioa9qyZNwcc2pVEv29xE2i4Zrs3KxKdG1p3JmQlKz3606i&#10;RwpSsbOP5Rws8zL/ZRiWBMByAYmEUXAXpt5umay8aBfFXroKEi8g6V26DKI02uxeQnpoOXs7JDTm&#10;ODV5tHDmoC+wBfZ5jY1mfatBjLu2z3FyXkQzU4JbXtrUatp27vsZFSb8mQpI9ynRtmBNjbpq1cf9&#10;EbyYKt6L8glKVwqoLKhAuEHgoxHyM0YjqHGO1W8HKhlG3Q8cyj8lEfQz0nYQxasQBvK5Zf/cQnkB&#10;rnKsMXKfa+0k/zDItm7gJNdwXNyCOFWtreY5qqnRQB/+JaGITkJhwrFaglYmPy/aHbL4T+nDa0k1&#10;/Wn1OFlO+vBKUOfunwSiMnd5uRaSMzkLhanFupyuFlr+glHVd3DFQpshEsZO36FkrKp8XVTeXN9w&#10;nU5l/KWS/v8L1Ze787/SkvYmh98hWyzTr5v533o+ti08/2De/AkAAP//AwBQSwMEFAAGAAgAAAAh&#10;ABknCpHgAAAACAEAAA8AAABkcnMvZG93bnJldi54bWxMj0FPwkAQhe8m/ofNmHiD7VJRrN0SQtQT&#10;IRFMiLehHdqG7mzTXdry711OenuT9/LeN+lyNI3oqXO1ZQ1qGoEgzm1Rc6nhe/8xWYBwHrnAxjJp&#10;uJKDZXZ/l2JS2IG/qN/5UoQSdglqqLxvEyldXpFBN7UtcfBOtjPow9mVsuhwCOWmkbMoepYGaw4L&#10;Fba0rig/7y5Gw+eAwypW7/3mfFpff/bz7WGjSOvHh3H1BsLT6P/CcMMP6JAFpqO9cOFEo2Eyj2ch&#10;qiEGcbNf1CuIYxDqKQaZpfL/A9kvAAAA//8DAFBLAQItABQABgAIAAAAIQC2gziS/gAAAOEBAAAT&#10;AAAAAAAAAAAAAAAAAAAAAABbQ29udGVudF9UeXBlc10ueG1sUEsBAi0AFAAGAAgAAAAhADj9If/W&#10;AAAAlAEAAAsAAAAAAAAAAAAAAAAALwEAAF9yZWxzLy5yZWxzUEsBAi0AFAAGAAgAAAAhAAzDZMyc&#10;AwAAqAoAAA4AAAAAAAAAAAAAAAAALgIAAGRycy9lMm9Eb2MueG1sUEsBAi0AFAAGAAgAAAAhABkn&#10;CpHgAAAACAEAAA8AAAAAAAAAAAAAAAAA9gUAAGRycy9kb3ducmV2LnhtbFBLBQYAAAAABAAEAPMA&#10;AAADBwAAAAA=&#10;">
                <v:shapetype id="_x0000_t202" coordsize="21600,21600" o:spt="202" path="m,l,21600r21600,l21600,xe">
                  <v:stroke joinstyle="miter"/>
                  <v:path gradientshapeok="t" o:connecttype="rect"/>
                </v:shapetype>
                <v:shape id="Text Box 6"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22E0A" w:rsidRDefault="00B22E0A" w:rsidP="00B22E0A">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kMEA&#10;AADaAAAADwAAAGRycy9kb3ducmV2LnhtbESPT4vCMBTE7wt+h/AEb2uqiLtUo6gou3jxL3h9JM+2&#10;2ryUJmr99kZY2OMwM79hxtPGluJOtS8cK+h1ExDE2pmCMwXHw+rzG4QPyAZLx6TgSR6mk9bHGFPj&#10;Hryj+z5kIkLYp6ggD6FKpfQ6J4u+6yri6J1dbTFEWWfS1PiIcFvKfpIMpcWC40KOFS1y0tf9zSpw&#10;l/BlNrvtabhd6vmPznB9xLVSnXYzG4EI1IT/8F/71ygYwPtKv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VPpDBAAAA2gAAAA8AAAAAAAAAAAAAAAAAmAIAAGRycy9kb3du&#10;cmV2LnhtbFBLBQYAAAAABAAEAPUAAACGAwAAAAA=&#10;" filled="f"/>
              </v:group>
            </w:pict>
          </mc:Fallback>
        </mc:AlternateContent>
      </w:r>
    </w:p>
    <w:p w:rsidR="00B22E0A" w:rsidRDefault="00B22E0A" w:rsidP="006E202D">
      <w:pPr>
        <w:autoSpaceDE w:val="0"/>
        <w:autoSpaceDN w:val="0"/>
        <w:adjustRightInd w:val="0"/>
        <w:jc w:val="center"/>
        <w:rPr>
          <w:b/>
          <w:bCs/>
          <w:color w:val="000000"/>
          <w:sz w:val="32"/>
          <w:szCs w:val="32"/>
        </w:rPr>
      </w:pPr>
    </w:p>
    <w:p w:rsidR="00845C4C" w:rsidRPr="00C65D19" w:rsidRDefault="00845C4C" w:rsidP="006E202D">
      <w:pPr>
        <w:autoSpaceDE w:val="0"/>
        <w:autoSpaceDN w:val="0"/>
        <w:adjustRightInd w:val="0"/>
        <w:jc w:val="center"/>
        <w:rPr>
          <w:b/>
          <w:bCs/>
          <w:color w:val="000000"/>
          <w:sz w:val="32"/>
          <w:szCs w:val="32"/>
        </w:rPr>
      </w:pPr>
      <w:r w:rsidRPr="00C65D19">
        <w:rPr>
          <w:b/>
          <w:bCs/>
          <w:color w:val="000000"/>
          <w:sz w:val="32"/>
          <w:szCs w:val="32"/>
        </w:rPr>
        <w:t>SESSION 20</w:t>
      </w:r>
      <w:r w:rsidR="00125982">
        <w:rPr>
          <w:b/>
          <w:bCs/>
          <w:color w:val="000000"/>
          <w:sz w:val="32"/>
          <w:szCs w:val="32"/>
        </w:rPr>
        <w:t>11</w:t>
      </w:r>
    </w:p>
    <w:p w:rsidR="006E202D" w:rsidRPr="006E202D" w:rsidRDefault="006E202D" w:rsidP="00845C4C">
      <w:pPr>
        <w:autoSpaceDE w:val="0"/>
        <w:autoSpaceDN w:val="0"/>
        <w:adjustRightInd w:val="0"/>
        <w:jc w:val="center"/>
        <w:rPr>
          <w:b/>
          <w:bCs/>
          <w:color w:val="000000"/>
        </w:rPr>
      </w:pPr>
    </w:p>
    <w:p w:rsidR="006E202D" w:rsidRPr="006E202D" w:rsidRDefault="006E202D" w:rsidP="00845C4C">
      <w:pPr>
        <w:autoSpaceDE w:val="0"/>
        <w:autoSpaceDN w:val="0"/>
        <w:adjustRightInd w:val="0"/>
        <w:jc w:val="center"/>
        <w:rPr>
          <w:b/>
          <w:bCs/>
          <w:color w:val="000000"/>
        </w:rPr>
      </w:pPr>
    </w:p>
    <w:p w:rsidR="00845C4C" w:rsidRPr="006E202D" w:rsidRDefault="00845C4C" w:rsidP="00845C4C">
      <w:pPr>
        <w:autoSpaceDE w:val="0"/>
        <w:autoSpaceDN w:val="0"/>
        <w:adjustRightInd w:val="0"/>
        <w:jc w:val="center"/>
        <w:rPr>
          <w:b/>
          <w:bCs/>
          <w:color w:val="000000"/>
        </w:rPr>
      </w:pPr>
      <w:r w:rsidRPr="006E202D">
        <w:rPr>
          <w:b/>
          <w:bCs/>
          <w:color w:val="000000"/>
        </w:rPr>
        <w:t>UE 2 – FINANCE</w:t>
      </w:r>
    </w:p>
    <w:p w:rsidR="00845C4C" w:rsidRPr="006E202D" w:rsidRDefault="00845C4C" w:rsidP="00845C4C">
      <w:pPr>
        <w:autoSpaceDE w:val="0"/>
        <w:autoSpaceDN w:val="0"/>
        <w:adjustRightInd w:val="0"/>
        <w:jc w:val="center"/>
        <w:rPr>
          <w:color w:val="000000"/>
        </w:rPr>
      </w:pPr>
      <w:r w:rsidRPr="006E202D">
        <w:rPr>
          <w:color w:val="000000"/>
        </w:rPr>
        <w:t>Durée de l’épreuve : 3 heures - coefficient : 1</w:t>
      </w:r>
    </w:p>
    <w:p w:rsidR="00845C4C" w:rsidRPr="006E202D" w:rsidRDefault="00845C4C" w:rsidP="00845C4C">
      <w:pPr>
        <w:pBdr>
          <w:bottom w:val="single" w:sz="4" w:space="1" w:color="auto"/>
        </w:pBdr>
        <w:autoSpaceDE w:val="0"/>
        <w:autoSpaceDN w:val="0"/>
        <w:adjustRightInd w:val="0"/>
        <w:rPr>
          <w:color w:val="000000"/>
          <w:sz w:val="22"/>
          <w:szCs w:val="22"/>
        </w:rPr>
      </w:pPr>
      <w:bookmarkStart w:id="0" w:name="_GoBack"/>
      <w:bookmarkEnd w:id="0"/>
    </w:p>
    <w:p w:rsidR="00845C4C" w:rsidRPr="006E202D" w:rsidRDefault="00845C4C" w:rsidP="00845C4C">
      <w:pPr>
        <w:autoSpaceDE w:val="0"/>
        <w:autoSpaceDN w:val="0"/>
        <w:adjustRightInd w:val="0"/>
        <w:rPr>
          <w:color w:val="000000"/>
          <w:sz w:val="22"/>
          <w:szCs w:val="22"/>
        </w:rPr>
      </w:pPr>
      <w:r w:rsidRPr="006E202D">
        <w:rPr>
          <w:color w:val="000000"/>
          <w:sz w:val="22"/>
          <w:szCs w:val="22"/>
        </w:rPr>
        <w:t>Document autorisé :</w:t>
      </w:r>
    </w:p>
    <w:p w:rsidR="00845C4C" w:rsidRPr="006E202D" w:rsidRDefault="00845C4C" w:rsidP="00845C4C">
      <w:pPr>
        <w:autoSpaceDE w:val="0"/>
        <w:autoSpaceDN w:val="0"/>
        <w:adjustRightInd w:val="0"/>
        <w:rPr>
          <w:b/>
          <w:bCs/>
          <w:color w:val="000000"/>
          <w:sz w:val="22"/>
          <w:szCs w:val="22"/>
        </w:rPr>
      </w:pPr>
      <w:r w:rsidRPr="006E202D">
        <w:rPr>
          <w:b/>
          <w:bCs/>
          <w:color w:val="000000"/>
          <w:sz w:val="22"/>
          <w:szCs w:val="22"/>
        </w:rPr>
        <w:t>Aucun</w:t>
      </w:r>
    </w:p>
    <w:p w:rsidR="00845C4C" w:rsidRPr="006E202D" w:rsidRDefault="00845C4C" w:rsidP="00845C4C">
      <w:pPr>
        <w:autoSpaceDE w:val="0"/>
        <w:autoSpaceDN w:val="0"/>
        <w:adjustRightInd w:val="0"/>
        <w:rPr>
          <w:b/>
          <w:bCs/>
          <w:color w:val="000000"/>
          <w:sz w:val="22"/>
          <w:szCs w:val="22"/>
        </w:rPr>
      </w:pPr>
    </w:p>
    <w:p w:rsidR="00845C4C" w:rsidRPr="006E202D" w:rsidRDefault="00845C4C" w:rsidP="00845C4C">
      <w:pPr>
        <w:autoSpaceDE w:val="0"/>
        <w:autoSpaceDN w:val="0"/>
        <w:adjustRightInd w:val="0"/>
        <w:rPr>
          <w:color w:val="000000"/>
          <w:sz w:val="22"/>
          <w:szCs w:val="22"/>
        </w:rPr>
      </w:pPr>
      <w:r w:rsidRPr="006E202D">
        <w:rPr>
          <w:color w:val="000000"/>
          <w:sz w:val="22"/>
          <w:szCs w:val="22"/>
        </w:rPr>
        <w:t>Matériel autorisé :</w:t>
      </w:r>
    </w:p>
    <w:p w:rsidR="00845C4C" w:rsidRPr="006E202D" w:rsidRDefault="00845C4C" w:rsidP="00C23667">
      <w:pPr>
        <w:autoSpaceDE w:val="0"/>
        <w:autoSpaceDN w:val="0"/>
        <w:adjustRightInd w:val="0"/>
        <w:jc w:val="both"/>
        <w:rPr>
          <w:b/>
          <w:bCs/>
          <w:color w:val="000000"/>
          <w:sz w:val="22"/>
          <w:szCs w:val="22"/>
        </w:rPr>
      </w:pPr>
      <w:r w:rsidRPr="006E202D">
        <w:rPr>
          <w:color w:val="000000"/>
          <w:sz w:val="22"/>
          <w:szCs w:val="22"/>
        </w:rPr>
        <w:t xml:space="preserve">Une calculatrice de poche </w:t>
      </w:r>
      <w:r w:rsidRPr="006E202D">
        <w:rPr>
          <w:b/>
          <w:bCs/>
          <w:color w:val="000000"/>
          <w:sz w:val="22"/>
          <w:szCs w:val="22"/>
        </w:rPr>
        <w:t>à fonctionnement autonome sans imprimante et sans aucun moyen de</w:t>
      </w:r>
      <w:r w:rsidR="00C23667">
        <w:rPr>
          <w:b/>
          <w:bCs/>
          <w:color w:val="000000"/>
          <w:sz w:val="22"/>
          <w:szCs w:val="22"/>
        </w:rPr>
        <w:t xml:space="preserve"> </w:t>
      </w:r>
      <w:r w:rsidRPr="006E202D">
        <w:rPr>
          <w:b/>
          <w:bCs/>
          <w:color w:val="000000"/>
          <w:sz w:val="22"/>
          <w:szCs w:val="22"/>
        </w:rPr>
        <w:t>transmission, à l’exclusion de tout autre élément matériel ou documentaire (circulaire n° 99-186 du 16/11/99 ; BOEN n° 42).</w:t>
      </w:r>
    </w:p>
    <w:p w:rsidR="00845C4C" w:rsidRPr="006E202D" w:rsidRDefault="00845C4C" w:rsidP="00845C4C">
      <w:pPr>
        <w:autoSpaceDE w:val="0"/>
        <w:autoSpaceDN w:val="0"/>
        <w:adjustRightInd w:val="0"/>
        <w:rPr>
          <w:color w:val="000000"/>
          <w:sz w:val="22"/>
          <w:szCs w:val="22"/>
        </w:rPr>
      </w:pPr>
    </w:p>
    <w:p w:rsidR="00845C4C" w:rsidRPr="006E202D" w:rsidRDefault="00845C4C" w:rsidP="00845C4C">
      <w:pPr>
        <w:autoSpaceDE w:val="0"/>
        <w:autoSpaceDN w:val="0"/>
        <w:adjustRightInd w:val="0"/>
        <w:rPr>
          <w:color w:val="000000"/>
          <w:sz w:val="22"/>
          <w:szCs w:val="22"/>
        </w:rPr>
      </w:pPr>
      <w:r w:rsidRPr="006E202D">
        <w:rPr>
          <w:color w:val="000000"/>
          <w:sz w:val="22"/>
          <w:szCs w:val="22"/>
        </w:rPr>
        <w:t>Document remis au candidat :</w:t>
      </w:r>
    </w:p>
    <w:p w:rsidR="00845C4C" w:rsidRPr="006E202D" w:rsidRDefault="00845C4C" w:rsidP="00845C4C">
      <w:pPr>
        <w:autoSpaceDE w:val="0"/>
        <w:autoSpaceDN w:val="0"/>
        <w:adjustRightInd w:val="0"/>
        <w:rPr>
          <w:b/>
          <w:bCs/>
          <w:color w:val="000000"/>
          <w:sz w:val="22"/>
          <w:szCs w:val="22"/>
        </w:rPr>
      </w:pPr>
      <w:r w:rsidRPr="006E202D">
        <w:rPr>
          <w:b/>
          <w:bCs/>
          <w:color w:val="000000"/>
          <w:sz w:val="22"/>
          <w:szCs w:val="22"/>
        </w:rPr>
        <w:t xml:space="preserve">Le sujet comporte </w:t>
      </w:r>
      <w:r w:rsidR="004256B8">
        <w:rPr>
          <w:b/>
          <w:bCs/>
          <w:color w:val="000000"/>
          <w:sz w:val="22"/>
          <w:szCs w:val="22"/>
        </w:rPr>
        <w:t>7</w:t>
      </w:r>
      <w:r w:rsidR="0096777C">
        <w:rPr>
          <w:b/>
          <w:bCs/>
          <w:color w:val="000000"/>
          <w:sz w:val="22"/>
          <w:szCs w:val="22"/>
        </w:rPr>
        <w:t xml:space="preserve"> </w:t>
      </w:r>
      <w:r w:rsidRPr="006E202D">
        <w:rPr>
          <w:b/>
          <w:bCs/>
          <w:color w:val="000000"/>
          <w:sz w:val="22"/>
          <w:szCs w:val="22"/>
        </w:rPr>
        <w:t xml:space="preserve">pages numérotées de </w:t>
      </w:r>
      <w:r w:rsidR="0096777C">
        <w:rPr>
          <w:b/>
          <w:bCs/>
          <w:color w:val="000000"/>
          <w:sz w:val="22"/>
          <w:szCs w:val="22"/>
        </w:rPr>
        <w:t>1</w:t>
      </w:r>
      <w:r w:rsidR="004256B8">
        <w:rPr>
          <w:b/>
          <w:bCs/>
          <w:color w:val="000000"/>
          <w:sz w:val="22"/>
          <w:szCs w:val="22"/>
        </w:rPr>
        <w:t>/7 à 7/7</w:t>
      </w:r>
      <w:r w:rsidR="0096777C">
        <w:rPr>
          <w:b/>
          <w:bCs/>
          <w:color w:val="000000"/>
          <w:sz w:val="22"/>
          <w:szCs w:val="22"/>
        </w:rPr>
        <w:t>.</w:t>
      </w:r>
    </w:p>
    <w:p w:rsidR="00845C4C" w:rsidRPr="006E202D" w:rsidRDefault="00845C4C" w:rsidP="00845C4C">
      <w:pPr>
        <w:autoSpaceDE w:val="0"/>
        <w:autoSpaceDN w:val="0"/>
        <w:adjustRightInd w:val="0"/>
        <w:rPr>
          <w:color w:val="000000"/>
          <w:sz w:val="22"/>
          <w:szCs w:val="22"/>
        </w:rPr>
      </w:pPr>
    </w:p>
    <w:p w:rsidR="00845C4C" w:rsidRPr="006E202D" w:rsidRDefault="00845C4C" w:rsidP="00845C4C">
      <w:pPr>
        <w:autoSpaceDE w:val="0"/>
        <w:autoSpaceDN w:val="0"/>
        <w:adjustRightInd w:val="0"/>
        <w:rPr>
          <w:color w:val="000000"/>
          <w:sz w:val="22"/>
          <w:szCs w:val="22"/>
        </w:rPr>
      </w:pPr>
      <w:r w:rsidRPr="006E202D">
        <w:rPr>
          <w:color w:val="000000"/>
          <w:sz w:val="22"/>
          <w:szCs w:val="22"/>
        </w:rPr>
        <w:t>Il vous est demandé de vérifier que le sujet est complet dès sa mise à votre disposition.</w:t>
      </w:r>
    </w:p>
    <w:p w:rsidR="00845C4C" w:rsidRPr="006E202D" w:rsidRDefault="00845C4C" w:rsidP="00845C4C">
      <w:pPr>
        <w:pBdr>
          <w:bottom w:val="single" w:sz="4" w:space="1" w:color="auto"/>
        </w:pBdr>
        <w:autoSpaceDE w:val="0"/>
        <w:autoSpaceDN w:val="0"/>
        <w:adjustRightInd w:val="0"/>
        <w:rPr>
          <w:b/>
          <w:bCs/>
          <w:i/>
          <w:iCs/>
          <w:color w:val="000000"/>
          <w:sz w:val="22"/>
          <w:szCs w:val="22"/>
        </w:rPr>
      </w:pPr>
    </w:p>
    <w:p w:rsidR="00125982" w:rsidRPr="006E202D" w:rsidRDefault="00845C4C" w:rsidP="00125982">
      <w:pPr>
        <w:autoSpaceDE w:val="0"/>
        <w:autoSpaceDN w:val="0"/>
        <w:adjustRightInd w:val="0"/>
        <w:jc w:val="center"/>
        <w:rPr>
          <w:b/>
          <w:bCs/>
          <w:i/>
          <w:iCs/>
          <w:color w:val="000000"/>
          <w:sz w:val="22"/>
          <w:szCs w:val="22"/>
        </w:rPr>
      </w:pPr>
      <w:r w:rsidRPr="006E202D">
        <w:rPr>
          <w:b/>
          <w:bCs/>
          <w:i/>
          <w:iCs/>
          <w:color w:val="000000"/>
          <w:sz w:val="22"/>
          <w:szCs w:val="22"/>
        </w:rPr>
        <w:t>Le sujet se présente sous la forme de deux dossiers indépendants</w:t>
      </w:r>
    </w:p>
    <w:p w:rsidR="00845C4C" w:rsidRPr="006E202D" w:rsidRDefault="00845C4C" w:rsidP="00845C4C">
      <w:pPr>
        <w:autoSpaceDE w:val="0"/>
        <w:autoSpaceDN w:val="0"/>
        <w:adjustRightInd w:val="0"/>
        <w:rPr>
          <w:color w:val="000000"/>
          <w:sz w:val="22"/>
          <w:szCs w:val="22"/>
        </w:rPr>
      </w:pPr>
      <w:r w:rsidRPr="006E202D">
        <w:rPr>
          <w:b/>
          <w:bCs/>
          <w:color w:val="000000"/>
          <w:sz w:val="22"/>
          <w:szCs w:val="22"/>
        </w:rPr>
        <w:t xml:space="preserve">Page de garde </w:t>
      </w:r>
      <w:r w:rsidRPr="006E202D">
        <w:rPr>
          <w:color w:val="000000"/>
          <w:sz w:val="22"/>
          <w:szCs w:val="22"/>
        </w:rPr>
        <w:t xml:space="preserve">.......................................................................................................... </w:t>
      </w:r>
      <w:r w:rsidR="006E202D">
        <w:rPr>
          <w:color w:val="000000"/>
          <w:sz w:val="22"/>
          <w:szCs w:val="22"/>
        </w:rPr>
        <w:t>…………</w:t>
      </w:r>
      <w:r w:rsidR="00E67101">
        <w:rPr>
          <w:color w:val="000000"/>
          <w:sz w:val="22"/>
          <w:szCs w:val="22"/>
        </w:rPr>
        <w:t>…..</w:t>
      </w:r>
      <w:r w:rsidRPr="006E202D">
        <w:rPr>
          <w:color w:val="000000"/>
          <w:sz w:val="22"/>
          <w:szCs w:val="22"/>
        </w:rPr>
        <w:t>page 1</w:t>
      </w:r>
    </w:p>
    <w:p w:rsidR="00845C4C" w:rsidRPr="006E202D" w:rsidRDefault="00845C4C" w:rsidP="00845C4C">
      <w:pPr>
        <w:autoSpaceDE w:val="0"/>
        <w:autoSpaceDN w:val="0"/>
        <w:adjustRightInd w:val="0"/>
        <w:rPr>
          <w:color w:val="000080"/>
          <w:sz w:val="22"/>
          <w:szCs w:val="22"/>
        </w:rPr>
      </w:pPr>
      <w:r w:rsidRPr="006E202D">
        <w:rPr>
          <w:b/>
          <w:bCs/>
          <w:color w:val="000000"/>
          <w:sz w:val="22"/>
          <w:szCs w:val="22"/>
        </w:rPr>
        <w:t xml:space="preserve">DOSSIER 1 - </w:t>
      </w:r>
      <w:r w:rsidRPr="006E202D">
        <w:rPr>
          <w:color w:val="000000"/>
          <w:sz w:val="22"/>
          <w:szCs w:val="22"/>
        </w:rPr>
        <w:t xml:space="preserve">Étude de cas  (75 points, soit 15/20) ......................... </w:t>
      </w:r>
      <w:r w:rsidR="00E67101">
        <w:rPr>
          <w:color w:val="000000"/>
          <w:sz w:val="22"/>
          <w:szCs w:val="22"/>
        </w:rPr>
        <w:t>…………………………….</w:t>
      </w:r>
      <w:r w:rsidRPr="006E202D">
        <w:rPr>
          <w:color w:val="000000"/>
          <w:sz w:val="22"/>
          <w:szCs w:val="22"/>
        </w:rPr>
        <w:t xml:space="preserve">page </w:t>
      </w:r>
      <w:r w:rsidRPr="006E202D">
        <w:rPr>
          <w:color w:val="000080"/>
          <w:sz w:val="22"/>
          <w:szCs w:val="22"/>
        </w:rPr>
        <w:t>2</w:t>
      </w:r>
    </w:p>
    <w:p w:rsidR="00845C4C" w:rsidRPr="006E202D" w:rsidRDefault="00845C4C" w:rsidP="00A00C97">
      <w:pPr>
        <w:pBdr>
          <w:bottom w:val="single" w:sz="12" w:space="1" w:color="auto"/>
        </w:pBdr>
        <w:autoSpaceDE w:val="0"/>
        <w:autoSpaceDN w:val="0"/>
        <w:adjustRightInd w:val="0"/>
        <w:rPr>
          <w:color w:val="000000"/>
          <w:sz w:val="22"/>
          <w:szCs w:val="22"/>
        </w:rPr>
      </w:pPr>
      <w:r w:rsidRPr="006E202D">
        <w:rPr>
          <w:b/>
          <w:bCs/>
          <w:color w:val="000000"/>
          <w:sz w:val="22"/>
          <w:szCs w:val="22"/>
        </w:rPr>
        <w:t xml:space="preserve">DOSSIER 2 - </w:t>
      </w:r>
      <w:r w:rsidRPr="006E202D">
        <w:rPr>
          <w:color w:val="000000"/>
          <w:sz w:val="22"/>
          <w:szCs w:val="22"/>
        </w:rPr>
        <w:t xml:space="preserve">Réflexion sur </w:t>
      </w:r>
      <w:r w:rsidR="00C23667">
        <w:rPr>
          <w:color w:val="000000"/>
          <w:sz w:val="22"/>
          <w:szCs w:val="22"/>
        </w:rPr>
        <w:t xml:space="preserve">la </w:t>
      </w:r>
      <w:r w:rsidR="00125982">
        <w:rPr>
          <w:color w:val="000000"/>
          <w:sz w:val="22"/>
          <w:szCs w:val="22"/>
        </w:rPr>
        <w:t>théorie</w:t>
      </w:r>
      <w:r w:rsidR="00A00C97" w:rsidRPr="00A00C97">
        <w:rPr>
          <w:sz w:val="22"/>
          <w:szCs w:val="22"/>
        </w:rPr>
        <w:t xml:space="preserve"> financière</w:t>
      </w:r>
      <w:r w:rsidR="00A00C97">
        <w:rPr>
          <w:sz w:val="22"/>
          <w:szCs w:val="22"/>
        </w:rPr>
        <w:t xml:space="preserve">  </w:t>
      </w:r>
      <w:r w:rsidRPr="006E202D">
        <w:rPr>
          <w:color w:val="000000"/>
          <w:sz w:val="22"/>
          <w:szCs w:val="22"/>
        </w:rPr>
        <w:t>(25 points, soit 5/20) ..............</w:t>
      </w:r>
      <w:r w:rsidR="00125982">
        <w:rPr>
          <w:color w:val="000000"/>
          <w:sz w:val="22"/>
          <w:szCs w:val="22"/>
        </w:rPr>
        <w:t>...</w:t>
      </w:r>
      <w:r w:rsidRPr="006E202D">
        <w:rPr>
          <w:color w:val="000000"/>
          <w:sz w:val="22"/>
          <w:szCs w:val="22"/>
        </w:rPr>
        <w:t>........</w:t>
      </w:r>
      <w:r w:rsidR="00A00C97">
        <w:rPr>
          <w:color w:val="000000"/>
          <w:sz w:val="22"/>
          <w:szCs w:val="22"/>
        </w:rPr>
        <w:t>..</w:t>
      </w:r>
      <w:r w:rsidR="00C23667">
        <w:rPr>
          <w:color w:val="000000"/>
          <w:sz w:val="22"/>
          <w:szCs w:val="22"/>
        </w:rPr>
        <w:t>.</w:t>
      </w:r>
      <w:r w:rsidR="00A00C97">
        <w:rPr>
          <w:color w:val="000000"/>
          <w:sz w:val="22"/>
          <w:szCs w:val="22"/>
        </w:rPr>
        <w:t>...........page 3</w:t>
      </w:r>
    </w:p>
    <w:p w:rsidR="00B22E0A" w:rsidRDefault="00B22E0A" w:rsidP="00845C4C">
      <w:pPr>
        <w:autoSpaceDE w:val="0"/>
        <w:autoSpaceDN w:val="0"/>
        <w:adjustRightInd w:val="0"/>
        <w:jc w:val="center"/>
        <w:rPr>
          <w:b/>
          <w:bCs/>
          <w:i/>
          <w:iCs/>
          <w:color w:val="000000"/>
          <w:sz w:val="22"/>
          <w:szCs w:val="22"/>
        </w:rPr>
      </w:pPr>
    </w:p>
    <w:p w:rsidR="00845C4C" w:rsidRPr="006E202D" w:rsidRDefault="00845C4C" w:rsidP="00845C4C">
      <w:pPr>
        <w:autoSpaceDE w:val="0"/>
        <w:autoSpaceDN w:val="0"/>
        <w:adjustRightInd w:val="0"/>
        <w:jc w:val="center"/>
        <w:rPr>
          <w:b/>
          <w:bCs/>
          <w:i/>
          <w:iCs/>
          <w:color w:val="000000"/>
          <w:sz w:val="22"/>
          <w:szCs w:val="22"/>
        </w:rPr>
      </w:pPr>
      <w:r w:rsidRPr="006E202D">
        <w:rPr>
          <w:b/>
          <w:bCs/>
          <w:i/>
          <w:iCs/>
          <w:color w:val="000000"/>
          <w:sz w:val="22"/>
          <w:szCs w:val="22"/>
        </w:rPr>
        <w:t>Le sujet comporte les annexes suivantes</w:t>
      </w:r>
    </w:p>
    <w:p w:rsidR="00845C4C" w:rsidRPr="006E202D" w:rsidRDefault="00845C4C" w:rsidP="00845C4C">
      <w:pPr>
        <w:autoSpaceDE w:val="0"/>
        <w:autoSpaceDN w:val="0"/>
        <w:adjustRightInd w:val="0"/>
        <w:rPr>
          <w:b/>
          <w:bCs/>
          <w:color w:val="000000"/>
          <w:sz w:val="22"/>
          <w:szCs w:val="22"/>
        </w:rPr>
      </w:pPr>
      <w:r w:rsidRPr="006E202D">
        <w:rPr>
          <w:b/>
          <w:bCs/>
          <w:color w:val="000000"/>
          <w:sz w:val="22"/>
          <w:szCs w:val="22"/>
        </w:rPr>
        <w:t>DOSSIER 1</w:t>
      </w:r>
    </w:p>
    <w:p w:rsidR="00845C4C" w:rsidRPr="006E202D" w:rsidRDefault="00923DC6" w:rsidP="00845C4C">
      <w:pPr>
        <w:autoSpaceDE w:val="0"/>
        <w:autoSpaceDN w:val="0"/>
        <w:adjustRightInd w:val="0"/>
        <w:rPr>
          <w:color w:val="000000"/>
          <w:sz w:val="22"/>
          <w:szCs w:val="22"/>
        </w:rPr>
      </w:pPr>
      <w:r>
        <w:rPr>
          <w:color w:val="000000"/>
          <w:sz w:val="22"/>
          <w:szCs w:val="22"/>
        </w:rPr>
        <w:t>Annexe 1 – Présentation du groupe……………………………………</w:t>
      </w:r>
      <w:r w:rsidR="00845C4C" w:rsidRPr="006E202D">
        <w:rPr>
          <w:color w:val="000000"/>
          <w:sz w:val="22"/>
          <w:szCs w:val="22"/>
        </w:rPr>
        <w:t xml:space="preserve">……………… </w:t>
      </w:r>
      <w:r w:rsidR="00E67101">
        <w:rPr>
          <w:color w:val="000000"/>
          <w:sz w:val="22"/>
          <w:szCs w:val="22"/>
        </w:rPr>
        <w:t>…………</w:t>
      </w:r>
      <w:r w:rsidR="00845C4C" w:rsidRPr="006E202D">
        <w:rPr>
          <w:color w:val="000000"/>
          <w:sz w:val="22"/>
          <w:szCs w:val="22"/>
        </w:rPr>
        <w:t>page</w:t>
      </w:r>
      <w:r w:rsidR="00E67101">
        <w:rPr>
          <w:color w:val="000000"/>
          <w:sz w:val="22"/>
          <w:szCs w:val="22"/>
        </w:rPr>
        <w:t xml:space="preserve"> 4</w:t>
      </w:r>
      <w:r w:rsidR="00845C4C" w:rsidRPr="006E202D">
        <w:rPr>
          <w:color w:val="000000"/>
          <w:sz w:val="22"/>
          <w:szCs w:val="22"/>
        </w:rPr>
        <w:t xml:space="preserve"> </w:t>
      </w:r>
    </w:p>
    <w:p w:rsidR="00845C4C" w:rsidRDefault="00845C4C" w:rsidP="00845C4C">
      <w:pPr>
        <w:autoSpaceDE w:val="0"/>
        <w:autoSpaceDN w:val="0"/>
        <w:adjustRightInd w:val="0"/>
        <w:rPr>
          <w:color w:val="000000"/>
          <w:sz w:val="22"/>
          <w:szCs w:val="22"/>
        </w:rPr>
      </w:pPr>
      <w:r w:rsidRPr="006E202D">
        <w:rPr>
          <w:color w:val="000000"/>
          <w:sz w:val="22"/>
          <w:szCs w:val="22"/>
        </w:rPr>
        <w:t>Annexe 2 –</w:t>
      </w:r>
      <w:r w:rsidR="00C23667">
        <w:rPr>
          <w:color w:val="000000"/>
          <w:sz w:val="22"/>
          <w:szCs w:val="22"/>
        </w:rPr>
        <w:t xml:space="preserve"> </w:t>
      </w:r>
      <w:r w:rsidR="00947207">
        <w:rPr>
          <w:sz w:val="22"/>
          <w:szCs w:val="22"/>
        </w:rPr>
        <w:t>Modalités d’admission sur Alternext………………………………..</w:t>
      </w:r>
      <w:r w:rsidRPr="006E202D">
        <w:rPr>
          <w:color w:val="000000"/>
          <w:sz w:val="22"/>
          <w:szCs w:val="22"/>
        </w:rPr>
        <w:t>............ …</w:t>
      </w:r>
      <w:r w:rsidR="00E67101">
        <w:rPr>
          <w:color w:val="000000"/>
          <w:sz w:val="22"/>
          <w:szCs w:val="22"/>
        </w:rPr>
        <w:t>…….</w:t>
      </w:r>
      <w:r w:rsidRPr="006E202D">
        <w:rPr>
          <w:color w:val="000000"/>
          <w:sz w:val="22"/>
          <w:szCs w:val="22"/>
        </w:rPr>
        <w:t>page</w:t>
      </w:r>
      <w:r w:rsidR="002A7E1E">
        <w:rPr>
          <w:color w:val="000000"/>
          <w:sz w:val="22"/>
          <w:szCs w:val="22"/>
        </w:rPr>
        <w:t xml:space="preserve"> 4</w:t>
      </w:r>
      <w:r w:rsidRPr="006E202D">
        <w:rPr>
          <w:color w:val="000000"/>
          <w:sz w:val="22"/>
          <w:szCs w:val="22"/>
        </w:rPr>
        <w:t xml:space="preserve"> Annexe 3 –</w:t>
      </w:r>
      <w:r w:rsidR="00C23667">
        <w:rPr>
          <w:color w:val="000000"/>
          <w:sz w:val="22"/>
          <w:szCs w:val="22"/>
        </w:rPr>
        <w:t xml:space="preserve"> </w:t>
      </w:r>
      <w:r w:rsidR="00947207">
        <w:rPr>
          <w:sz w:val="22"/>
          <w:szCs w:val="22"/>
        </w:rPr>
        <w:t>Extraits des comptes consolidés au 31/12/2010……………………..</w:t>
      </w:r>
      <w:r w:rsidRPr="006E202D">
        <w:rPr>
          <w:color w:val="000000"/>
          <w:sz w:val="22"/>
          <w:szCs w:val="22"/>
        </w:rPr>
        <w:t>………....</w:t>
      </w:r>
      <w:r w:rsidR="00E67101">
        <w:rPr>
          <w:color w:val="000000"/>
          <w:sz w:val="22"/>
          <w:szCs w:val="22"/>
        </w:rPr>
        <w:t>........</w:t>
      </w:r>
      <w:r w:rsidR="00C65D19">
        <w:rPr>
          <w:color w:val="000000"/>
          <w:sz w:val="22"/>
          <w:szCs w:val="22"/>
        </w:rPr>
        <w:t>.</w:t>
      </w:r>
      <w:r w:rsidRPr="006E202D">
        <w:rPr>
          <w:color w:val="000000"/>
          <w:sz w:val="22"/>
          <w:szCs w:val="22"/>
        </w:rPr>
        <w:t>page</w:t>
      </w:r>
      <w:r w:rsidR="00E67101">
        <w:rPr>
          <w:color w:val="000000"/>
          <w:sz w:val="22"/>
          <w:szCs w:val="22"/>
        </w:rPr>
        <w:t xml:space="preserve"> 5</w:t>
      </w:r>
      <w:r w:rsidRPr="006E202D">
        <w:rPr>
          <w:color w:val="000000"/>
          <w:sz w:val="22"/>
          <w:szCs w:val="22"/>
        </w:rPr>
        <w:t xml:space="preserve"> </w:t>
      </w:r>
    </w:p>
    <w:p w:rsidR="00947207" w:rsidRPr="006E202D" w:rsidRDefault="00947207" w:rsidP="00845C4C">
      <w:pPr>
        <w:autoSpaceDE w:val="0"/>
        <w:autoSpaceDN w:val="0"/>
        <w:adjustRightInd w:val="0"/>
        <w:rPr>
          <w:color w:val="000000"/>
          <w:sz w:val="22"/>
          <w:szCs w:val="22"/>
        </w:rPr>
      </w:pPr>
      <w:r>
        <w:rPr>
          <w:color w:val="000000"/>
          <w:sz w:val="22"/>
          <w:szCs w:val="22"/>
        </w:rPr>
        <w:t>Annexe 4 – Modalités de fixation du prix..................................................................................….page 5</w:t>
      </w:r>
    </w:p>
    <w:p w:rsidR="00845C4C" w:rsidRDefault="00947207" w:rsidP="00845C4C">
      <w:pPr>
        <w:autoSpaceDE w:val="0"/>
        <w:autoSpaceDN w:val="0"/>
        <w:adjustRightInd w:val="0"/>
        <w:rPr>
          <w:sz w:val="22"/>
          <w:szCs w:val="22"/>
        </w:rPr>
      </w:pPr>
      <w:r>
        <w:rPr>
          <w:color w:val="000000"/>
          <w:sz w:val="22"/>
          <w:szCs w:val="22"/>
        </w:rPr>
        <w:t>Annexe 5</w:t>
      </w:r>
      <w:r w:rsidR="00845C4C" w:rsidRPr="006E202D">
        <w:rPr>
          <w:color w:val="000000"/>
          <w:sz w:val="22"/>
          <w:szCs w:val="22"/>
        </w:rPr>
        <w:t xml:space="preserve"> –</w:t>
      </w:r>
      <w:r w:rsidR="00C23667">
        <w:rPr>
          <w:color w:val="000000"/>
          <w:sz w:val="22"/>
          <w:szCs w:val="22"/>
        </w:rPr>
        <w:t xml:space="preserve"> </w:t>
      </w:r>
      <w:r>
        <w:rPr>
          <w:sz w:val="22"/>
          <w:szCs w:val="22"/>
        </w:rPr>
        <w:t>Détermination de la fourchette de prix……………………………………………….page 6</w:t>
      </w:r>
    </w:p>
    <w:p w:rsidR="00DD0C57" w:rsidRPr="006E202D" w:rsidRDefault="00DD0C57" w:rsidP="00845C4C">
      <w:pPr>
        <w:autoSpaceDE w:val="0"/>
        <w:autoSpaceDN w:val="0"/>
        <w:adjustRightInd w:val="0"/>
        <w:rPr>
          <w:color w:val="000000"/>
          <w:sz w:val="22"/>
          <w:szCs w:val="22"/>
        </w:rPr>
      </w:pPr>
      <w:r>
        <w:rPr>
          <w:sz w:val="22"/>
          <w:szCs w:val="22"/>
        </w:rPr>
        <w:t>Annexe 6 – Détermination du coût du capital (CMPC)…………………………………………...page 7</w:t>
      </w:r>
    </w:p>
    <w:p w:rsidR="00845C4C" w:rsidRPr="006E202D" w:rsidRDefault="00947207" w:rsidP="00845C4C">
      <w:pPr>
        <w:autoSpaceDE w:val="0"/>
        <w:autoSpaceDN w:val="0"/>
        <w:adjustRightInd w:val="0"/>
        <w:rPr>
          <w:color w:val="000000"/>
          <w:sz w:val="22"/>
          <w:szCs w:val="22"/>
        </w:rPr>
      </w:pPr>
      <w:r>
        <w:rPr>
          <w:color w:val="000000"/>
          <w:sz w:val="22"/>
          <w:szCs w:val="22"/>
        </w:rPr>
        <w:t xml:space="preserve">Annexe </w:t>
      </w:r>
      <w:r w:rsidR="00DD0C57">
        <w:rPr>
          <w:color w:val="000000"/>
          <w:sz w:val="22"/>
          <w:szCs w:val="22"/>
        </w:rPr>
        <w:t>7</w:t>
      </w:r>
      <w:r w:rsidR="00C23667">
        <w:rPr>
          <w:color w:val="000000"/>
          <w:sz w:val="22"/>
          <w:szCs w:val="22"/>
        </w:rPr>
        <w:t xml:space="preserve"> </w:t>
      </w:r>
      <w:r w:rsidR="00C23667" w:rsidRPr="006E202D">
        <w:rPr>
          <w:color w:val="000000"/>
          <w:sz w:val="22"/>
          <w:szCs w:val="22"/>
        </w:rPr>
        <w:t>–</w:t>
      </w:r>
      <w:r w:rsidR="00C23667">
        <w:rPr>
          <w:color w:val="000000"/>
          <w:sz w:val="22"/>
          <w:szCs w:val="22"/>
        </w:rPr>
        <w:t xml:space="preserve"> </w:t>
      </w:r>
      <w:r>
        <w:rPr>
          <w:sz w:val="22"/>
          <w:szCs w:val="22"/>
        </w:rPr>
        <w:t>Pacte d’actionnaires</w:t>
      </w:r>
      <w:r w:rsidR="00C23667">
        <w:rPr>
          <w:color w:val="000000"/>
          <w:sz w:val="22"/>
          <w:szCs w:val="22"/>
        </w:rPr>
        <w:t xml:space="preserve"> ...................</w:t>
      </w:r>
      <w:r w:rsidR="00845C4C" w:rsidRPr="006E202D">
        <w:rPr>
          <w:color w:val="000000"/>
          <w:sz w:val="22"/>
          <w:szCs w:val="22"/>
        </w:rPr>
        <w:t>...................................... ………………</w:t>
      </w:r>
      <w:r w:rsidR="00947C36">
        <w:rPr>
          <w:color w:val="000000"/>
          <w:sz w:val="22"/>
          <w:szCs w:val="22"/>
        </w:rPr>
        <w:t>…………..</w:t>
      </w:r>
      <w:r w:rsidR="00C65D19">
        <w:rPr>
          <w:color w:val="000000"/>
          <w:sz w:val="22"/>
          <w:szCs w:val="22"/>
        </w:rPr>
        <w:t>.</w:t>
      </w:r>
      <w:r w:rsidR="00845C4C" w:rsidRPr="006E202D">
        <w:rPr>
          <w:color w:val="000000"/>
          <w:sz w:val="22"/>
          <w:szCs w:val="22"/>
        </w:rPr>
        <w:t>page</w:t>
      </w:r>
      <w:r w:rsidR="00E67101">
        <w:rPr>
          <w:color w:val="000000"/>
          <w:sz w:val="22"/>
          <w:szCs w:val="22"/>
        </w:rPr>
        <w:t xml:space="preserve"> 7</w:t>
      </w:r>
      <w:r w:rsidR="00845C4C" w:rsidRPr="006E202D">
        <w:rPr>
          <w:color w:val="000000"/>
          <w:sz w:val="22"/>
          <w:szCs w:val="22"/>
        </w:rPr>
        <w:t xml:space="preserve"> </w:t>
      </w:r>
    </w:p>
    <w:p w:rsidR="00B22E0A" w:rsidRDefault="00B22E0A" w:rsidP="00845C4C">
      <w:pPr>
        <w:autoSpaceDE w:val="0"/>
        <w:autoSpaceDN w:val="0"/>
        <w:adjustRightInd w:val="0"/>
        <w:rPr>
          <w:b/>
          <w:bCs/>
          <w:color w:val="000000"/>
          <w:sz w:val="22"/>
          <w:szCs w:val="22"/>
        </w:rPr>
      </w:pPr>
    </w:p>
    <w:p w:rsidR="00761DB2" w:rsidRDefault="00761DB2" w:rsidP="00845C4C">
      <w:pPr>
        <w:autoSpaceDE w:val="0"/>
        <w:autoSpaceDN w:val="0"/>
        <w:adjustRightInd w:val="0"/>
        <w:rPr>
          <w:b/>
          <w:bCs/>
          <w:color w:val="000000"/>
          <w:sz w:val="22"/>
          <w:szCs w:val="22"/>
        </w:rPr>
      </w:pPr>
      <w:r>
        <w:rPr>
          <w:b/>
          <w:bCs/>
        </w:rPr>
        <w:t>DOSSIER 2 – Théorie financière</w:t>
      </w:r>
    </w:p>
    <w:p w:rsidR="00845C4C" w:rsidRPr="006E202D" w:rsidRDefault="00845C4C" w:rsidP="00845C4C">
      <w:pPr>
        <w:autoSpaceDE w:val="0"/>
        <w:autoSpaceDN w:val="0"/>
        <w:adjustRightInd w:val="0"/>
        <w:rPr>
          <w:b/>
          <w:bCs/>
          <w:color w:val="000000"/>
          <w:sz w:val="22"/>
          <w:szCs w:val="22"/>
        </w:rPr>
      </w:pPr>
    </w:p>
    <w:p w:rsidR="00845C4C" w:rsidRPr="006E202D" w:rsidRDefault="00845C4C" w:rsidP="00845C4C">
      <w:pPr>
        <w:autoSpaceDE w:val="0"/>
        <w:autoSpaceDN w:val="0"/>
        <w:adjustRightInd w:val="0"/>
        <w:rPr>
          <w:b/>
          <w:bCs/>
          <w:color w:val="000000"/>
          <w:sz w:val="22"/>
          <w:szCs w:val="22"/>
        </w:rPr>
      </w:pPr>
    </w:p>
    <w:p w:rsidR="00845C4C" w:rsidRPr="006E202D" w:rsidRDefault="00845C4C" w:rsidP="00845C4C">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2"/>
          <w:szCs w:val="22"/>
          <w:u w:val="single"/>
        </w:rPr>
      </w:pPr>
      <w:r w:rsidRPr="006E202D">
        <w:rPr>
          <w:b/>
          <w:bCs/>
          <w:color w:val="000000"/>
          <w:sz w:val="22"/>
          <w:szCs w:val="22"/>
          <w:u w:val="single"/>
        </w:rPr>
        <w:t>AVERTISSEMENT</w:t>
      </w:r>
    </w:p>
    <w:p w:rsidR="00845C4C" w:rsidRPr="00C23667" w:rsidRDefault="00845C4C" w:rsidP="00C23667">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2"/>
          <w:szCs w:val="22"/>
        </w:rPr>
      </w:pPr>
      <w:r w:rsidRPr="006E202D">
        <w:rPr>
          <w:b/>
          <w:bCs/>
          <w:color w:val="000000"/>
          <w:sz w:val="22"/>
          <w:szCs w:val="22"/>
        </w:rPr>
        <w:t>Si le texte du sujet, de ses questions ou de ses annexes, vous conduit à formuler une ou plusieurs</w:t>
      </w:r>
      <w:r w:rsidR="00C23667">
        <w:rPr>
          <w:b/>
          <w:bCs/>
          <w:color w:val="000000"/>
          <w:sz w:val="22"/>
          <w:szCs w:val="22"/>
        </w:rPr>
        <w:t xml:space="preserve"> </w:t>
      </w:r>
      <w:r w:rsidRPr="006E202D">
        <w:rPr>
          <w:b/>
          <w:bCs/>
          <w:color w:val="000000"/>
          <w:sz w:val="22"/>
          <w:szCs w:val="22"/>
        </w:rPr>
        <w:t>hypothèses, il vous est demandé de la (ou les) mentionner explicitement dans votre copie.</w:t>
      </w:r>
    </w:p>
    <w:p w:rsidR="00845C4C" w:rsidRPr="006E202D" w:rsidRDefault="00845C4C" w:rsidP="00845C4C">
      <w:pPr>
        <w:jc w:val="center"/>
        <w:rPr>
          <w:i/>
          <w:sz w:val="22"/>
          <w:szCs w:val="22"/>
        </w:rPr>
      </w:pPr>
    </w:p>
    <w:p w:rsidR="006E202D" w:rsidRDefault="006E202D" w:rsidP="00B22E0A">
      <w:pPr>
        <w:rPr>
          <w:i/>
        </w:rPr>
      </w:pPr>
    </w:p>
    <w:p w:rsidR="00280551" w:rsidRPr="00280551" w:rsidRDefault="00280551" w:rsidP="00845C4C">
      <w:pPr>
        <w:jc w:val="center"/>
        <w:rPr>
          <w:i/>
        </w:rPr>
      </w:pPr>
      <w:r w:rsidRPr="00280551">
        <w:rPr>
          <w:i/>
        </w:rPr>
        <w:t>Il vous est demandé d’apporter un soin particulier à la présentation de votre copie.</w:t>
      </w:r>
    </w:p>
    <w:p w:rsidR="00280551" w:rsidRPr="00280551" w:rsidRDefault="00280551" w:rsidP="00845C4C">
      <w:pPr>
        <w:jc w:val="center"/>
        <w:rPr>
          <w:i/>
        </w:rPr>
      </w:pPr>
      <w:r w:rsidRPr="00280551">
        <w:rPr>
          <w:i/>
        </w:rPr>
        <w:t>Toute information calculée devra être justifiée.</w:t>
      </w:r>
    </w:p>
    <w:p w:rsidR="00280551" w:rsidRDefault="00280551" w:rsidP="00280551"/>
    <w:p w:rsidR="00B21931" w:rsidRDefault="00B21931" w:rsidP="00280551"/>
    <w:p w:rsidR="00B21931" w:rsidRDefault="00B21931" w:rsidP="00280551"/>
    <w:p w:rsidR="00280551" w:rsidRDefault="00280551" w:rsidP="00280551"/>
    <w:p w:rsidR="00314D52" w:rsidRPr="006B3580" w:rsidRDefault="00B21931" w:rsidP="00280551">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lastRenderedPageBreak/>
        <w:t>DOSSIER</w:t>
      </w:r>
      <w:r w:rsidR="00280551" w:rsidRPr="006B3580">
        <w:rPr>
          <w:b/>
          <w:bCs/>
          <w:sz w:val="32"/>
          <w:szCs w:val="32"/>
        </w:rPr>
        <w:t xml:space="preserve"> 1 – ETUDE DE CAS</w:t>
      </w:r>
    </w:p>
    <w:p w:rsidR="00280551" w:rsidRPr="00280551" w:rsidRDefault="00B21931" w:rsidP="00B21931">
      <w:pPr>
        <w:pBdr>
          <w:top w:val="single" w:sz="4" w:space="1" w:color="auto"/>
          <w:left w:val="single" w:sz="4" w:space="4" w:color="auto"/>
          <w:bottom w:val="single" w:sz="4" w:space="1" w:color="auto"/>
          <w:right w:val="single" w:sz="4" w:space="4" w:color="auto"/>
        </w:pBdr>
        <w:jc w:val="center"/>
        <w:rPr>
          <w:sz w:val="32"/>
          <w:szCs w:val="32"/>
        </w:rPr>
      </w:pPr>
      <w:r>
        <w:rPr>
          <w:b/>
          <w:bCs/>
          <w:sz w:val="28"/>
          <w:szCs w:val="28"/>
        </w:rPr>
        <w:t>INTRODUCTION EN BOURSE SUR ALTERNEXT DE GROUPIMO</w:t>
      </w:r>
    </w:p>
    <w:p w:rsidR="00314D52" w:rsidRDefault="00314D52" w:rsidP="00314D52">
      <w:pPr>
        <w:jc w:val="both"/>
      </w:pPr>
    </w:p>
    <w:p w:rsidR="00AF26DA" w:rsidRDefault="00AF26DA" w:rsidP="00AF26DA">
      <w:pPr>
        <w:autoSpaceDE w:val="0"/>
        <w:autoSpaceDN w:val="0"/>
        <w:adjustRightInd w:val="0"/>
        <w:jc w:val="both"/>
      </w:pPr>
      <w:r>
        <w:t>Créé en 2000, Groupimo a assis son développement sur son métier historique d’administrateur de biens. Il est aujourd’hui présent sur l’ensemble de la chaîne de valeur des métiers des services à l’immobilier résidentiel ou d’entreprise :</w:t>
      </w:r>
    </w:p>
    <w:p w:rsidR="00AF26DA" w:rsidRDefault="00AF26DA" w:rsidP="00AF26DA">
      <w:pPr>
        <w:autoSpaceDE w:val="0"/>
        <w:autoSpaceDN w:val="0"/>
        <w:adjustRightInd w:val="0"/>
        <w:jc w:val="both"/>
      </w:pPr>
      <w:r>
        <w:rPr>
          <w:rFonts w:ascii="Symbol" w:hAnsi="Symbol" w:cs="Symbol"/>
        </w:rPr>
        <w:t></w:t>
      </w:r>
      <w:r>
        <w:rPr>
          <w:rFonts w:ascii="Symbol" w:hAnsi="Symbol" w:cs="Symbol"/>
        </w:rPr>
        <w:t></w:t>
      </w:r>
      <w:r>
        <w:t>l’administration de biens :</w:t>
      </w:r>
    </w:p>
    <w:p w:rsidR="00AF26DA" w:rsidRDefault="00AF26DA" w:rsidP="00AF26DA">
      <w:pPr>
        <w:autoSpaceDE w:val="0"/>
        <w:autoSpaceDN w:val="0"/>
        <w:adjustRightInd w:val="0"/>
        <w:ind w:left="708"/>
        <w:jc w:val="both"/>
      </w:pPr>
      <w:r>
        <w:t>– la gestion locative ;</w:t>
      </w:r>
    </w:p>
    <w:p w:rsidR="00AF26DA" w:rsidRDefault="00AF26DA" w:rsidP="00AF26DA">
      <w:pPr>
        <w:autoSpaceDE w:val="0"/>
        <w:autoSpaceDN w:val="0"/>
        <w:adjustRightInd w:val="0"/>
        <w:ind w:left="708"/>
        <w:jc w:val="both"/>
      </w:pPr>
      <w:r>
        <w:t>– le syndic de copropriété ;</w:t>
      </w:r>
    </w:p>
    <w:p w:rsidR="00AF26DA" w:rsidRDefault="00AF26DA" w:rsidP="00AF26DA">
      <w:pPr>
        <w:autoSpaceDE w:val="0"/>
        <w:autoSpaceDN w:val="0"/>
        <w:adjustRightInd w:val="0"/>
        <w:ind w:left="708"/>
        <w:jc w:val="both"/>
      </w:pPr>
      <w:r>
        <w:t>– la location.</w:t>
      </w:r>
    </w:p>
    <w:p w:rsidR="00AF26DA" w:rsidRDefault="00AF26DA" w:rsidP="00AF26DA">
      <w:pPr>
        <w:autoSpaceDE w:val="0"/>
        <w:autoSpaceDN w:val="0"/>
        <w:adjustRightInd w:val="0"/>
        <w:jc w:val="both"/>
      </w:pPr>
      <w:r>
        <w:rPr>
          <w:rFonts w:ascii="Symbol" w:hAnsi="Symbol" w:cs="Symbol"/>
        </w:rPr>
        <w:t></w:t>
      </w:r>
      <w:r>
        <w:rPr>
          <w:rFonts w:ascii="Symbol" w:hAnsi="Symbol" w:cs="Symbol"/>
        </w:rPr>
        <w:t></w:t>
      </w:r>
      <w:r>
        <w:t>l’activité d’agent immobilier :</w:t>
      </w:r>
    </w:p>
    <w:p w:rsidR="00AF26DA" w:rsidRDefault="00AF26DA" w:rsidP="00AF26DA">
      <w:pPr>
        <w:autoSpaceDE w:val="0"/>
        <w:autoSpaceDN w:val="0"/>
        <w:adjustRightInd w:val="0"/>
        <w:ind w:left="708"/>
        <w:jc w:val="both"/>
      </w:pPr>
      <w:r>
        <w:t>– la transaction dans l’ancien ;</w:t>
      </w:r>
    </w:p>
    <w:p w:rsidR="00AF26DA" w:rsidRDefault="00AF26DA" w:rsidP="00AF26DA">
      <w:pPr>
        <w:autoSpaceDE w:val="0"/>
        <w:autoSpaceDN w:val="0"/>
        <w:adjustRightInd w:val="0"/>
        <w:ind w:left="708"/>
        <w:jc w:val="both"/>
      </w:pPr>
      <w:r>
        <w:t>– la transaction dans le neuf.</w:t>
      </w:r>
    </w:p>
    <w:p w:rsidR="00AF26DA" w:rsidRDefault="00AF26DA" w:rsidP="00AF26DA">
      <w:pPr>
        <w:autoSpaceDE w:val="0"/>
        <w:autoSpaceDN w:val="0"/>
        <w:adjustRightInd w:val="0"/>
        <w:jc w:val="both"/>
      </w:pPr>
      <w:r>
        <w:rPr>
          <w:rFonts w:ascii="Symbol" w:hAnsi="Symbol" w:cs="Symbol"/>
        </w:rPr>
        <w:t></w:t>
      </w:r>
      <w:r>
        <w:rPr>
          <w:rFonts w:ascii="Symbol" w:hAnsi="Symbol" w:cs="Symbol"/>
        </w:rPr>
        <w:t></w:t>
      </w:r>
      <w:r>
        <w:t>des activités en amont et en aval dans la chaîne de valeur :</w:t>
      </w:r>
    </w:p>
    <w:p w:rsidR="00AF26DA" w:rsidRDefault="00AF26DA" w:rsidP="00AF26DA">
      <w:pPr>
        <w:autoSpaceDE w:val="0"/>
        <w:autoSpaceDN w:val="0"/>
        <w:adjustRightInd w:val="0"/>
        <w:ind w:left="708"/>
        <w:jc w:val="both"/>
      </w:pPr>
      <w:r>
        <w:t>– le montage d’opérations de promotion et d’aménagement foncier ;</w:t>
      </w:r>
    </w:p>
    <w:p w:rsidR="00AF26DA" w:rsidRDefault="00AF26DA" w:rsidP="00AF26DA">
      <w:pPr>
        <w:autoSpaceDE w:val="0"/>
        <w:autoSpaceDN w:val="0"/>
        <w:adjustRightInd w:val="0"/>
        <w:ind w:left="708"/>
        <w:jc w:val="both"/>
      </w:pPr>
      <w:r>
        <w:t>– l’activité de marchand de biens.</w:t>
      </w:r>
    </w:p>
    <w:p w:rsidR="00AF26DA" w:rsidRDefault="00AF26DA" w:rsidP="00AF26DA">
      <w:pPr>
        <w:autoSpaceDE w:val="0"/>
        <w:autoSpaceDN w:val="0"/>
        <w:adjustRightInd w:val="0"/>
        <w:jc w:val="both"/>
      </w:pPr>
      <w:r>
        <w:rPr>
          <w:rFonts w:ascii="Symbol" w:hAnsi="Symbol" w:cs="Symbol"/>
        </w:rPr>
        <w:t></w:t>
      </w:r>
      <w:r>
        <w:rPr>
          <w:rFonts w:ascii="Symbol" w:hAnsi="Symbol" w:cs="Symbol"/>
        </w:rPr>
        <w:t></w:t>
      </w:r>
      <w:r>
        <w:t>les services complémentaires :</w:t>
      </w:r>
    </w:p>
    <w:p w:rsidR="00AF26DA" w:rsidRDefault="00AF26DA" w:rsidP="00AF26DA">
      <w:pPr>
        <w:autoSpaceDE w:val="0"/>
        <w:autoSpaceDN w:val="0"/>
        <w:adjustRightInd w:val="0"/>
        <w:ind w:left="708"/>
        <w:jc w:val="both"/>
      </w:pPr>
      <w:r>
        <w:t>– courtage en financement ;</w:t>
      </w:r>
    </w:p>
    <w:p w:rsidR="00AF26DA" w:rsidRDefault="00AF26DA" w:rsidP="00AF26DA">
      <w:pPr>
        <w:autoSpaceDE w:val="0"/>
        <w:autoSpaceDN w:val="0"/>
        <w:adjustRightInd w:val="0"/>
        <w:ind w:left="708"/>
        <w:jc w:val="both"/>
      </w:pPr>
      <w:r>
        <w:t>– courtage en assurances ;</w:t>
      </w:r>
    </w:p>
    <w:p w:rsidR="00B21931" w:rsidRDefault="00AF26DA" w:rsidP="00AF26DA">
      <w:pPr>
        <w:ind w:left="708"/>
        <w:jc w:val="both"/>
      </w:pPr>
      <w:r>
        <w:t>– expertise.</w:t>
      </w:r>
    </w:p>
    <w:p w:rsidR="00AF26DA" w:rsidRDefault="00AF26DA" w:rsidP="00AF26DA">
      <w:pPr>
        <w:jc w:val="both"/>
      </w:pPr>
    </w:p>
    <w:p w:rsidR="00AF26DA" w:rsidRDefault="00AF26DA" w:rsidP="00AF26DA">
      <w:pPr>
        <w:autoSpaceDE w:val="0"/>
        <w:autoSpaceDN w:val="0"/>
        <w:adjustRightInd w:val="0"/>
        <w:jc w:val="both"/>
      </w:pPr>
      <w:r>
        <w:t>Groupimo a démarré son activité en Martinique où il est devenu en quelques années le leader avec sa marque ombrelle propriétaire « le marché de l’immobilier », puis s’est développé en Guadeloupe, Guyane et Saint-Martin. Il disposait de 22 implantations à fin 2010 après avoir ouvert une implantation à Paris.</w:t>
      </w:r>
    </w:p>
    <w:p w:rsidR="00AF26DA" w:rsidRDefault="00AF26DA" w:rsidP="00AF26DA">
      <w:pPr>
        <w:autoSpaceDE w:val="0"/>
        <w:autoSpaceDN w:val="0"/>
        <w:adjustRightInd w:val="0"/>
        <w:jc w:val="both"/>
      </w:pPr>
    </w:p>
    <w:p w:rsidR="00AF26DA" w:rsidRDefault="00AF26DA" w:rsidP="00AF26DA">
      <w:pPr>
        <w:autoSpaceDE w:val="0"/>
        <w:autoSpaceDN w:val="0"/>
        <w:adjustRightInd w:val="0"/>
        <w:jc w:val="center"/>
        <w:rPr>
          <w:b/>
          <w:bCs/>
          <w:sz w:val="22"/>
          <w:szCs w:val="22"/>
        </w:rPr>
      </w:pPr>
      <w:r>
        <w:rPr>
          <w:b/>
          <w:bCs/>
          <w:sz w:val="22"/>
          <w:szCs w:val="22"/>
        </w:rPr>
        <w:t>Travail à faire</w:t>
      </w:r>
    </w:p>
    <w:p w:rsidR="00AF26DA" w:rsidRDefault="00AF26DA" w:rsidP="00DD0C57">
      <w:pPr>
        <w:autoSpaceDE w:val="0"/>
        <w:autoSpaceDN w:val="0"/>
        <w:adjustRightInd w:val="0"/>
        <w:jc w:val="both"/>
        <w:rPr>
          <w:b/>
          <w:bCs/>
          <w:i/>
          <w:iCs/>
        </w:rPr>
      </w:pPr>
      <w:r>
        <w:rPr>
          <w:b/>
          <w:bCs/>
        </w:rPr>
        <w:t xml:space="preserve">A l’aide des </w:t>
      </w:r>
      <w:r>
        <w:rPr>
          <w:b/>
          <w:bCs/>
          <w:i/>
          <w:iCs/>
        </w:rPr>
        <w:t>annexes 1, 2 et 3 :</w:t>
      </w:r>
    </w:p>
    <w:p w:rsidR="00AF26DA" w:rsidRDefault="00AF26DA" w:rsidP="00DD0C57">
      <w:pPr>
        <w:autoSpaceDE w:val="0"/>
        <w:autoSpaceDN w:val="0"/>
        <w:adjustRightInd w:val="0"/>
        <w:jc w:val="both"/>
        <w:rPr>
          <w:b/>
          <w:bCs/>
        </w:rPr>
      </w:pPr>
      <w:r>
        <w:rPr>
          <w:b/>
          <w:bCs/>
        </w:rPr>
        <w:t>1. Présenter brièvement les objectifs recherchés par une entreprise au travers d’une introduction en bourse. Préciser les motivations spécifiques aux dirigeants-créateurs de Groupimo dans la cadre de cette introduction en bourse ?</w:t>
      </w:r>
    </w:p>
    <w:p w:rsidR="00AF26DA" w:rsidRDefault="00AF26DA" w:rsidP="00DD0C57">
      <w:pPr>
        <w:autoSpaceDE w:val="0"/>
        <w:autoSpaceDN w:val="0"/>
        <w:adjustRightInd w:val="0"/>
        <w:jc w:val="both"/>
        <w:rPr>
          <w:b/>
          <w:bCs/>
        </w:rPr>
      </w:pPr>
    </w:p>
    <w:p w:rsidR="00AF26DA" w:rsidRDefault="00AF26DA" w:rsidP="00DD0C57">
      <w:pPr>
        <w:autoSpaceDE w:val="0"/>
        <w:autoSpaceDN w:val="0"/>
        <w:adjustRightInd w:val="0"/>
        <w:jc w:val="both"/>
        <w:rPr>
          <w:b/>
          <w:bCs/>
        </w:rPr>
      </w:pPr>
      <w:r>
        <w:rPr>
          <w:b/>
          <w:bCs/>
        </w:rPr>
        <w:t>2. Indiquer les différences concernant les conditions d’</w:t>
      </w:r>
      <w:r w:rsidR="00DD0C57">
        <w:rPr>
          <w:b/>
          <w:bCs/>
        </w:rPr>
        <w:t xml:space="preserve">admission entre Eurolist et </w:t>
      </w:r>
      <w:r>
        <w:rPr>
          <w:b/>
          <w:bCs/>
        </w:rPr>
        <w:t>Alternext ?</w:t>
      </w:r>
    </w:p>
    <w:p w:rsidR="00AF26DA" w:rsidRDefault="00AF26DA" w:rsidP="00DD0C57">
      <w:pPr>
        <w:autoSpaceDE w:val="0"/>
        <w:autoSpaceDN w:val="0"/>
        <w:adjustRightInd w:val="0"/>
        <w:jc w:val="both"/>
        <w:rPr>
          <w:b/>
          <w:bCs/>
        </w:rPr>
      </w:pPr>
    </w:p>
    <w:p w:rsidR="00AF26DA" w:rsidRDefault="00AF26DA" w:rsidP="00DD0C57">
      <w:pPr>
        <w:autoSpaceDE w:val="0"/>
        <w:autoSpaceDN w:val="0"/>
        <w:adjustRightInd w:val="0"/>
        <w:jc w:val="both"/>
        <w:rPr>
          <w:b/>
          <w:bCs/>
        </w:rPr>
      </w:pPr>
      <w:r>
        <w:rPr>
          <w:b/>
          <w:bCs/>
        </w:rPr>
        <w:t>3. Expliquer le rôle joué par les organismes financiers dans le cadre d’une introduction en bourse et indiquer les différentes procédures d’introduction ?</w:t>
      </w:r>
    </w:p>
    <w:p w:rsidR="00AF26DA" w:rsidRDefault="00AF26DA" w:rsidP="00DD0C57">
      <w:pPr>
        <w:autoSpaceDE w:val="0"/>
        <w:autoSpaceDN w:val="0"/>
        <w:adjustRightInd w:val="0"/>
        <w:jc w:val="both"/>
        <w:rPr>
          <w:b/>
          <w:bCs/>
        </w:rPr>
      </w:pPr>
    </w:p>
    <w:p w:rsidR="00AF26DA" w:rsidRDefault="00AF26DA" w:rsidP="00DD0C57">
      <w:pPr>
        <w:autoSpaceDE w:val="0"/>
        <w:autoSpaceDN w:val="0"/>
        <w:adjustRightInd w:val="0"/>
        <w:jc w:val="both"/>
        <w:rPr>
          <w:b/>
          <w:bCs/>
        </w:rPr>
      </w:pPr>
      <w:r>
        <w:rPr>
          <w:b/>
          <w:bCs/>
        </w:rPr>
        <w:t xml:space="preserve">4. Si l’émission est réalisée à 100% et à un prix égal au point médian de la fourchette indicative de prix, le produit brut de l’émission devrait s’élever à 4 032 000 €, soit une augmentation de capital de 270 000 € et une prime d’émission de 3 762 000 €. Les frais d’émission s’élèvent à 500 000 €. </w:t>
      </w:r>
    </w:p>
    <w:p w:rsidR="00AF26DA" w:rsidRDefault="00AF26DA" w:rsidP="00DD0C57">
      <w:pPr>
        <w:autoSpaceDE w:val="0"/>
        <w:autoSpaceDN w:val="0"/>
        <w:adjustRightInd w:val="0"/>
        <w:jc w:val="both"/>
        <w:rPr>
          <w:b/>
          <w:bCs/>
        </w:rPr>
      </w:pPr>
      <w:r>
        <w:rPr>
          <w:b/>
          <w:bCs/>
        </w:rPr>
        <w:t xml:space="preserve">Faire abstraction de l’incidence fiscale. </w:t>
      </w:r>
    </w:p>
    <w:p w:rsidR="00AF26DA" w:rsidRDefault="00AF26DA" w:rsidP="00DD0C57">
      <w:pPr>
        <w:autoSpaceDE w:val="0"/>
        <w:autoSpaceDN w:val="0"/>
        <w:adjustRightInd w:val="0"/>
        <w:jc w:val="both"/>
        <w:rPr>
          <w:b/>
          <w:bCs/>
        </w:rPr>
      </w:pPr>
      <w:r>
        <w:rPr>
          <w:b/>
          <w:bCs/>
        </w:rPr>
        <w:t>Déterminer la valeur comptable d'une action avant et après l’opération.</w:t>
      </w:r>
    </w:p>
    <w:p w:rsidR="00BA4ECC" w:rsidRDefault="00BA4ECC" w:rsidP="00DD0C57">
      <w:pPr>
        <w:autoSpaceDE w:val="0"/>
        <w:autoSpaceDN w:val="0"/>
        <w:adjustRightInd w:val="0"/>
        <w:jc w:val="both"/>
        <w:rPr>
          <w:b/>
          <w:bCs/>
        </w:rPr>
      </w:pPr>
    </w:p>
    <w:p w:rsidR="00BA4ECC" w:rsidRDefault="00BA4ECC" w:rsidP="00BA4ECC">
      <w:pPr>
        <w:autoSpaceDE w:val="0"/>
        <w:autoSpaceDN w:val="0"/>
        <w:adjustRightInd w:val="0"/>
        <w:jc w:val="both"/>
        <w:rPr>
          <w:b/>
          <w:bCs/>
          <w:i/>
          <w:iCs/>
        </w:rPr>
      </w:pPr>
      <w:r>
        <w:rPr>
          <w:b/>
          <w:bCs/>
        </w:rPr>
        <w:t xml:space="preserve">A l’aide des </w:t>
      </w:r>
      <w:r>
        <w:rPr>
          <w:b/>
          <w:bCs/>
          <w:i/>
          <w:iCs/>
        </w:rPr>
        <w:t>annexes 1 à 7 :</w:t>
      </w:r>
    </w:p>
    <w:p w:rsidR="00BA4ECC" w:rsidRDefault="00BA4ECC" w:rsidP="00BA4ECC">
      <w:pPr>
        <w:autoSpaceDE w:val="0"/>
        <w:autoSpaceDN w:val="0"/>
        <w:adjustRightInd w:val="0"/>
        <w:rPr>
          <w:b/>
          <w:bCs/>
          <w:i/>
          <w:iCs/>
        </w:rPr>
      </w:pPr>
    </w:p>
    <w:p w:rsidR="00BA4ECC" w:rsidRDefault="00BA4ECC" w:rsidP="00BA4ECC">
      <w:pPr>
        <w:autoSpaceDE w:val="0"/>
        <w:autoSpaceDN w:val="0"/>
        <w:adjustRightInd w:val="0"/>
        <w:jc w:val="both"/>
        <w:rPr>
          <w:b/>
          <w:bCs/>
        </w:rPr>
      </w:pPr>
      <w:r>
        <w:rPr>
          <w:b/>
          <w:bCs/>
        </w:rPr>
        <w:t>5. Calculer le coût moyen pondéré du capital (CMPC) de Groupimo.</w:t>
      </w:r>
    </w:p>
    <w:p w:rsidR="00BA4ECC" w:rsidRPr="00AF26DA" w:rsidRDefault="00BA4ECC" w:rsidP="00BA4ECC">
      <w:pPr>
        <w:autoSpaceDE w:val="0"/>
        <w:autoSpaceDN w:val="0"/>
        <w:adjustRightInd w:val="0"/>
        <w:jc w:val="both"/>
        <w:rPr>
          <w:b/>
          <w:bCs/>
        </w:rPr>
      </w:pPr>
      <w:r>
        <w:rPr>
          <w:b/>
          <w:bCs/>
        </w:rPr>
        <w:lastRenderedPageBreak/>
        <w:t>6. Déterminer la valeur de marché des fonds propres de Groupimo par la méthode des comparables.</w:t>
      </w:r>
    </w:p>
    <w:p w:rsidR="00AF26DA" w:rsidRDefault="00AF26DA" w:rsidP="00BA4ECC">
      <w:pPr>
        <w:autoSpaceDE w:val="0"/>
        <w:autoSpaceDN w:val="0"/>
        <w:adjustRightInd w:val="0"/>
        <w:jc w:val="both"/>
      </w:pPr>
    </w:p>
    <w:p w:rsidR="00BA4ECC" w:rsidRDefault="00BA4ECC" w:rsidP="00BA4ECC">
      <w:pPr>
        <w:autoSpaceDE w:val="0"/>
        <w:autoSpaceDN w:val="0"/>
        <w:adjustRightInd w:val="0"/>
        <w:jc w:val="both"/>
        <w:rPr>
          <w:b/>
          <w:bCs/>
        </w:rPr>
      </w:pPr>
      <w:r>
        <w:rPr>
          <w:b/>
          <w:bCs/>
        </w:rPr>
        <w:t xml:space="preserve">7. Calculer la valeur de marché des fonds propres de Groupimo par la méthode des flux de trésorerie disponibles actualisés (FTD ou en anglais DCF, </w:t>
      </w:r>
      <w:r>
        <w:rPr>
          <w:b/>
          <w:bCs/>
          <w:i/>
          <w:iCs/>
        </w:rPr>
        <w:t>Discounted Cash Flows</w:t>
      </w:r>
      <w:r>
        <w:rPr>
          <w:b/>
          <w:bCs/>
        </w:rPr>
        <w:t>).</w:t>
      </w:r>
    </w:p>
    <w:p w:rsidR="00BA4ECC" w:rsidRDefault="00BA4ECC" w:rsidP="00BA4ECC">
      <w:pPr>
        <w:autoSpaceDE w:val="0"/>
        <w:autoSpaceDN w:val="0"/>
        <w:adjustRightInd w:val="0"/>
        <w:jc w:val="both"/>
        <w:rPr>
          <w:b/>
          <w:bCs/>
        </w:rPr>
      </w:pPr>
    </w:p>
    <w:p w:rsidR="00BA4ECC" w:rsidRDefault="00BA4ECC" w:rsidP="00BA4ECC">
      <w:pPr>
        <w:autoSpaceDE w:val="0"/>
        <w:autoSpaceDN w:val="0"/>
        <w:adjustRightInd w:val="0"/>
        <w:jc w:val="both"/>
        <w:rPr>
          <w:b/>
          <w:bCs/>
        </w:rPr>
      </w:pPr>
      <w:r>
        <w:rPr>
          <w:b/>
          <w:bCs/>
        </w:rPr>
        <w:t>8. Indiquer ce qu’est un pacte d’actionnaires et ses éventuels intérêts.</w:t>
      </w:r>
    </w:p>
    <w:p w:rsidR="00BA4ECC" w:rsidRDefault="00BA4ECC" w:rsidP="00BA4ECC">
      <w:pPr>
        <w:autoSpaceDE w:val="0"/>
        <w:autoSpaceDN w:val="0"/>
        <w:adjustRightInd w:val="0"/>
        <w:jc w:val="both"/>
        <w:rPr>
          <w:b/>
          <w:bCs/>
        </w:rPr>
      </w:pPr>
    </w:p>
    <w:p w:rsidR="00BA4ECC" w:rsidRPr="00BA4ECC" w:rsidRDefault="00BA4ECC" w:rsidP="00BA4ECC">
      <w:pPr>
        <w:autoSpaceDE w:val="0"/>
        <w:autoSpaceDN w:val="0"/>
        <w:adjustRightInd w:val="0"/>
        <w:jc w:val="both"/>
        <w:rPr>
          <w:b/>
          <w:bCs/>
        </w:rPr>
      </w:pPr>
      <w:r>
        <w:rPr>
          <w:b/>
          <w:bCs/>
        </w:rPr>
        <w:t>9. Actuellement le cours d’une action Groupimo est de 0,79 €. Les dirigeants ont entendu parler de regroupement d’actions. Présenter succinctement cette méthode et préciser en quoi elle est adaptée à leur situation.</w:t>
      </w:r>
    </w:p>
    <w:p w:rsidR="00B21931" w:rsidRDefault="00B21931" w:rsidP="00314D52">
      <w:pPr>
        <w:jc w:val="both"/>
      </w:pPr>
    </w:p>
    <w:p w:rsidR="00B21931" w:rsidRDefault="00B21931" w:rsidP="00314D52">
      <w:pPr>
        <w:jc w:val="both"/>
      </w:pPr>
    </w:p>
    <w:p w:rsidR="00B21931" w:rsidRDefault="00B21931" w:rsidP="00314D52">
      <w:pPr>
        <w:jc w:val="both"/>
      </w:pPr>
    </w:p>
    <w:p w:rsidR="00E81301" w:rsidRDefault="00E81301" w:rsidP="00AC79B9">
      <w:pPr>
        <w:jc w:val="both"/>
      </w:pPr>
    </w:p>
    <w:p w:rsidR="00B22E0A" w:rsidRPr="00D45C04" w:rsidRDefault="00B22E0A" w:rsidP="00AC79B9">
      <w:pPr>
        <w:jc w:val="both"/>
      </w:pPr>
    </w:p>
    <w:p w:rsidR="004E10C2" w:rsidRDefault="004E10C2" w:rsidP="004E10C2">
      <w:pPr>
        <w:pBdr>
          <w:top w:val="single" w:sz="4" w:space="1" w:color="auto"/>
          <w:left w:val="single" w:sz="4" w:space="4" w:color="auto"/>
          <w:bottom w:val="single" w:sz="4" w:space="1" w:color="auto"/>
          <w:right w:val="single" w:sz="4" w:space="4" w:color="auto"/>
        </w:pBdr>
        <w:jc w:val="center"/>
        <w:rPr>
          <w:b/>
          <w:bCs/>
        </w:rPr>
      </w:pPr>
    </w:p>
    <w:p w:rsidR="004E10C2" w:rsidRPr="004E10C2" w:rsidRDefault="00114F47" w:rsidP="004E10C2">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Dossier 2 -</w:t>
      </w:r>
      <w:r w:rsidR="004E10C2" w:rsidRPr="004E10C2">
        <w:rPr>
          <w:b/>
          <w:bCs/>
          <w:sz w:val="32"/>
          <w:szCs w:val="32"/>
        </w:rPr>
        <w:t xml:space="preserve"> REFLE</w:t>
      </w:r>
      <w:r w:rsidR="000432B1">
        <w:rPr>
          <w:b/>
          <w:bCs/>
          <w:sz w:val="32"/>
          <w:szCs w:val="32"/>
        </w:rPr>
        <w:t>XION</w:t>
      </w:r>
    </w:p>
    <w:p w:rsidR="004E10C2" w:rsidRPr="00CB0453" w:rsidRDefault="004E10C2" w:rsidP="004E10C2">
      <w:pPr>
        <w:pBdr>
          <w:top w:val="single" w:sz="4" w:space="1" w:color="auto"/>
          <w:left w:val="single" w:sz="4" w:space="4" w:color="auto"/>
          <w:bottom w:val="single" w:sz="4" w:space="1" w:color="auto"/>
          <w:right w:val="single" w:sz="4" w:space="4" w:color="auto"/>
        </w:pBdr>
        <w:jc w:val="center"/>
        <w:rPr>
          <w:b/>
          <w:bCs/>
        </w:rPr>
      </w:pPr>
    </w:p>
    <w:p w:rsidR="004E10C2" w:rsidRPr="00CB0453" w:rsidRDefault="004E10C2" w:rsidP="004E10C2">
      <w:pPr>
        <w:jc w:val="center"/>
        <w:rPr>
          <w:b/>
          <w:bCs/>
        </w:rPr>
      </w:pPr>
    </w:p>
    <w:p w:rsidR="000432B1" w:rsidRDefault="000432B1" w:rsidP="000432B1">
      <w:pPr>
        <w:autoSpaceDE w:val="0"/>
        <w:autoSpaceDN w:val="0"/>
        <w:adjustRightInd w:val="0"/>
        <w:jc w:val="center"/>
        <w:rPr>
          <w:b/>
          <w:bCs/>
        </w:rPr>
      </w:pPr>
      <w:r>
        <w:rPr>
          <w:b/>
          <w:bCs/>
        </w:rPr>
        <w:t>Sujet : Théorie financière</w:t>
      </w:r>
    </w:p>
    <w:p w:rsidR="000432B1" w:rsidRDefault="000432B1" w:rsidP="000432B1">
      <w:pPr>
        <w:autoSpaceDE w:val="0"/>
        <w:autoSpaceDN w:val="0"/>
        <w:adjustRightInd w:val="0"/>
        <w:jc w:val="center"/>
        <w:rPr>
          <w:b/>
          <w:bCs/>
        </w:rPr>
      </w:pPr>
    </w:p>
    <w:p w:rsidR="000432B1" w:rsidRDefault="000432B1" w:rsidP="000432B1">
      <w:pPr>
        <w:autoSpaceDE w:val="0"/>
        <w:autoSpaceDN w:val="0"/>
        <w:adjustRightInd w:val="0"/>
        <w:jc w:val="center"/>
        <w:rPr>
          <w:b/>
          <w:bCs/>
        </w:rPr>
      </w:pPr>
      <w:r>
        <w:rPr>
          <w:b/>
          <w:bCs/>
        </w:rPr>
        <w:t>Travail à faire</w:t>
      </w:r>
    </w:p>
    <w:p w:rsidR="000432B1" w:rsidRDefault="000432B1" w:rsidP="000432B1">
      <w:pPr>
        <w:autoSpaceDE w:val="0"/>
        <w:autoSpaceDN w:val="0"/>
        <w:adjustRightInd w:val="0"/>
        <w:jc w:val="center"/>
        <w:rPr>
          <w:b/>
          <w:bCs/>
        </w:rPr>
      </w:pPr>
    </w:p>
    <w:p w:rsidR="000432B1" w:rsidRDefault="000432B1" w:rsidP="000432B1">
      <w:pPr>
        <w:autoSpaceDE w:val="0"/>
        <w:autoSpaceDN w:val="0"/>
        <w:adjustRightInd w:val="0"/>
      </w:pPr>
      <w:r>
        <w:t>A l’aide de vos connaissances, il vous appartient de répondre à la question suivante :</w:t>
      </w:r>
    </w:p>
    <w:p w:rsidR="000432B1" w:rsidRDefault="000432B1" w:rsidP="000432B1">
      <w:pPr>
        <w:autoSpaceDE w:val="0"/>
        <w:autoSpaceDN w:val="0"/>
        <w:adjustRightInd w:val="0"/>
        <w:rPr>
          <w:b/>
          <w:bCs/>
        </w:rPr>
      </w:pPr>
    </w:p>
    <w:p w:rsidR="000432B1" w:rsidRDefault="000432B1" w:rsidP="00DB753F">
      <w:pPr>
        <w:autoSpaceDE w:val="0"/>
        <w:autoSpaceDN w:val="0"/>
        <w:adjustRightInd w:val="0"/>
        <w:jc w:val="both"/>
        <w:rPr>
          <w:b/>
          <w:bCs/>
        </w:rPr>
      </w:pPr>
      <w:r>
        <w:rPr>
          <w:b/>
          <w:bCs/>
        </w:rPr>
        <w:t>« Le MEDAF (le modèle d’Equilibre des Actifs financiers) a fait l’objet de vives polémiques. Présenter l’intérêt et les limites de ce modèle ainsi que les alternatives existantes »</w:t>
      </w:r>
    </w:p>
    <w:p w:rsidR="000432B1" w:rsidRDefault="000432B1" w:rsidP="000432B1">
      <w:pPr>
        <w:autoSpaceDE w:val="0"/>
        <w:autoSpaceDN w:val="0"/>
        <w:adjustRightInd w:val="0"/>
        <w:jc w:val="center"/>
        <w:rPr>
          <w:b/>
          <w:bCs/>
        </w:rPr>
      </w:pPr>
    </w:p>
    <w:p w:rsidR="000432B1" w:rsidRDefault="000432B1" w:rsidP="000432B1">
      <w:pPr>
        <w:autoSpaceDE w:val="0"/>
        <w:autoSpaceDN w:val="0"/>
        <w:adjustRightInd w:val="0"/>
      </w:pPr>
      <w:r>
        <w:t xml:space="preserve">Il est attendu de la part du candidat de répondre de </w:t>
      </w:r>
      <w:r>
        <w:rPr>
          <w:b/>
          <w:bCs/>
        </w:rPr>
        <w:t xml:space="preserve">manière précise et structurée </w:t>
      </w:r>
      <w:r>
        <w:t>à la question posée.</w:t>
      </w:r>
    </w:p>
    <w:p w:rsidR="000432B1" w:rsidRDefault="000432B1" w:rsidP="000432B1"/>
    <w:p w:rsidR="004E10C2" w:rsidRDefault="000432B1" w:rsidP="000432B1">
      <w:r>
        <w:t xml:space="preserve">Il est demandé de </w:t>
      </w:r>
      <w:r>
        <w:rPr>
          <w:b/>
          <w:bCs/>
        </w:rPr>
        <w:t xml:space="preserve">limiter votre réponse à 4 pages au maximum </w:t>
      </w:r>
      <w:r>
        <w:t>sur votre copie d’examen.</w:t>
      </w:r>
    </w:p>
    <w:p w:rsidR="004E10C2" w:rsidRDefault="004E10C2" w:rsidP="004E10C2">
      <w:pPr>
        <w:jc w:val="center"/>
      </w:pPr>
    </w:p>
    <w:p w:rsidR="004E10C2" w:rsidRDefault="004E10C2" w:rsidP="004E10C2">
      <w:pPr>
        <w:jc w:val="center"/>
      </w:pPr>
    </w:p>
    <w:p w:rsidR="004E10C2" w:rsidRDefault="004E10C2" w:rsidP="004E10C2">
      <w:pPr>
        <w:jc w:val="cente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rPr>
          <w:b/>
        </w:rPr>
      </w:pPr>
    </w:p>
    <w:p w:rsidR="00337235" w:rsidRDefault="00337235" w:rsidP="00337235">
      <w:pPr>
        <w:autoSpaceDE w:val="0"/>
        <w:autoSpaceDN w:val="0"/>
        <w:adjustRightInd w:val="0"/>
        <w:jc w:val="center"/>
        <w:rPr>
          <w:b/>
          <w:bCs/>
          <w:u w:val="single"/>
        </w:rPr>
      </w:pPr>
      <w:r w:rsidRPr="00337235">
        <w:rPr>
          <w:b/>
          <w:bCs/>
          <w:u w:val="single"/>
        </w:rPr>
        <w:lastRenderedPageBreak/>
        <w:t>Annexe 1 : Présentation de l’entreprise</w:t>
      </w:r>
    </w:p>
    <w:p w:rsidR="00337235" w:rsidRPr="00337235" w:rsidRDefault="00337235" w:rsidP="008511C7">
      <w:pPr>
        <w:autoSpaceDE w:val="0"/>
        <w:autoSpaceDN w:val="0"/>
        <w:adjustRightInd w:val="0"/>
        <w:jc w:val="both"/>
        <w:rPr>
          <w:b/>
          <w:bCs/>
          <w:u w:val="single"/>
        </w:rPr>
      </w:pPr>
    </w:p>
    <w:p w:rsidR="00337235" w:rsidRDefault="00337235" w:rsidP="008511C7">
      <w:pPr>
        <w:autoSpaceDE w:val="0"/>
        <w:autoSpaceDN w:val="0"/>
        <w:adjustRightInd w:val="0"/>
        <w:jc w:val="both"/>
        <w:rPr>
          <w:sz w:val="22"/>
          <w:szCs w:val="22"/>
        </w:rPr>
      </w:pPr>
      <w:r>
        <w:rPr>
          <w:sz w:val="22"/>
          <w:szCs w:val="22"/>
        </w:rPr>
        <w:t>Opérateur intégré de services à l’immobilier, Groupimo intervient dans l’administration de biens (50% du chiffre d’affaires réalisé dans la gérance, la location et le syndic), la transaction immobilière (41%) et diverses activités complémentaires (courtage en financement et assurance, expertise, aménagement foncier et montage d’opérations : 9%).</w:t>
      </w:r>
    </w:p>
    <w:p w:rsidR="00337235" w:rsidRDefault="00337235" w:rsidP="008511C7">
      <w:pPr>
        <w:autoSpaceDE w:val="0"/>
        <w:autoSpaceDN w:val="0"/>
        <w:adjustRightInd w:val="0"/>
        <w:jc w:val="both"/>
        <w:rPr>
          <w:sz w:val="22"/>
          <w:szCs w:val="22"/>
        </w:rPr>
      </w:pPr>
      <w:r>
        <w:rPr>
          <w:sz w:val="22"/>
          <w:szCs w:val="22"/>
        </w:rPr>
        <w:t>Groupimo occupe une position de leader dans les Départements et Territoires Français d’outre mer où la demande de biens immobiliers est soutenue par le développement économique et la croissance démographique ainsi que par les dispositifs de défiscalisation.</w:t>
      </w:r>
    </w:p>
    <w:p w:rsidR="00337235" w:rsidRDefault="00337235" w:rsidP="008511C7">
      <w:pPr>
        <w:autoSpaceDE w:val="0"/>
        <w:autoSpaceDN w:val="0"/>
        <w:adjustRightInd w:val="0"/>
        <w:jc w:val="both"/>
        <w:rPr>
          <w:sz w:val="22"/>
          <w:szCs w:val="22"/>
        </w:rPr>
      </w:pPr>
      <w:r>
        <w:rPr>
          <w:sz w:val="22"/>
          <w:szCs w:val="22"/>
        </w:rPr>
        <w:t>Groupimo a augmenté son chiffre d’affaires de plus de 20% par an depuis 2008 et maintenu une rentabilité opérationnelle de 8% en 2009 et 2010. La marge d’exploitation devrait progresser à partir de 2011. De nouvelles implantations ont été ouvertes en 2010 : 10 agences nouvelles soit 83% de plus qu’en 2009.</w:t>
      </w:r>
    </w:p>
    <w:p w:rsidR="00337235" w:rsidRDefault="00337235" w:rsidP="008511C7">
      <w:pPr>
        <w:autoSpaceDE w:val="0"/>
        <w:autoSpaceDN w:val="0"/>
        <w:adjustRightInd w:val="0"/>
        <w:jc w:val="both"/>
        <w:rPr>
          <w:sz w:val="22"/>
          <w:szCs w:val="22"/>
        </w:rPr>
      </w:pPr>
      <w:r>
        <w:rPr>
          <w:sz w:val="22"/>
          <w:szCs w:val="22"/>
        </w:rPr>
        <w:t>Groupimo bénéficie d’une bonne visibilité, liée à la récurrence de l’activité dans l’administration de biens où le taux de renouvellement des mandats de syndic et de gérance est supérieur à 90%.</w:t>
      </w:r>
    </w:p>
    <w:p w:rsidR="00337235" w:rsidRDefault="00337235" w:rsidP="008511C7">
      <w:pPr>
        <w:autoSpaceDE w:val="0"/>
        <w:autoSpaceDN w:val="0"/>
        <w:adjustRightInd w:val="0"/>
        <w:jc w:val="both"/>
        <w:rPr>
          <w:sz w:val="22"/>
          <w:szCs w:val="22"/>
        </w:rPr>
      </w:pPr>
      <w:r>
        <w:rPr>
          <w:sz w:val="22"/>
          <w:szCs w:val="22"/>
        </w:rPr>
        <w:t>Groupimo présente une structure qui favorise les économies d’échelle (mutualisation des services administratif, comptable et juridique), la flexibilité (force de vente constituée d’agents commerciaux rémunérés au variable) et les effets de synergie au niveau local (maillage du marché-cible, mise en commun des bases de données et fonctionnement en réseau).</w:t>
      </w:r>
    </w:p>
    <w:p w:rsidR="00337235" w:rsidRDefault="00337235" w:rsidP="008511C7">
      <w:pPr>
        <w:autoSpaceDE w:val="0"/>
        <w:autoSpaceDN w:val="0"/>
        <w:adjustRightInd w:val="0"/>
        <w:jc w:val="both"/>
        <w:rPr>
          <w:sz w:val="22"/>
          <w:szCs w:val="22"/>
        </w:rPr>
      </w:pPr>
      <w:r>
        <w:rPr>
          <w:sz w:val="22"/>
          <w:szCs w:val="22"/>
        </w:rPr>
        <w:t>Groupimo aborde le marché parisien : encore peu structuré, il est en voie de consolidation et présente des opportunités tant pour la croissance organique (mise en place d’un réseau d’agences organisé et mutualisant les fonctions administratives) que pour la croissance externe (reprise de cabinets d’administration de biens et d’agences).</w:t>
      </w:r>
    </w:p>
    <w:p w:rsidR="008511C7" w:rsidRDefault="008511C7" w:rsidP="008511C7">
      <w:pPr>
        <w:autoSpaceDE w:val="0"/>
        <w:autoSpaceDN w:val="0"/>
        <w:adjustRightInd w:val="0"/>
        <w:jc w:val="both"/>
        <w:rPr>
          <w:sz w:val="22"/>
          <w:szCs w:val="22"/>
        </w:rPr>
      </w:pPr>
      <w:r>
        <w:rPr>
          <w:sz w:val="22"/>
          <w:szCs w:val="22"/>
        </w:rPr>
        <w:t>Groupimo possède plusieurs atouts : une expérience éprouvée dans la reprise et l’intégration de sociétés, les relations établies avec Arthur Loyd et Generalli dans l’immobilier d’entreprise et les partenariats développés dans le montage d’opérations de promotion (Groupe Hoche, Omnium…).</w:t>
      </w:r>
    </w:p>
    <w:p w:rsidR="008511C7" w:rsidRDefault="008511C7" w:rsidP="008511C7">
      <w:pPr>
        <w:autoSpaceDE w:val="0"/>
        <w:autoSpaceDN w:val="0"/>
        <w:adjustRightInd w:val="0"/>
        <w:jc w:val="both"/>
        <w:rPr>
          <w:sz w:val="22"/>
          <w:szCs w:val="22"/>
        </w:rPr>
      </w:pPr>
      <w:r>
        <w:rPr>
          <w:sz w:val="22"/>
          <w:szCs w:val="22"/>
        </w:rPr>
        <w:t>Après la reprise de Foncia par Natixis, Groupimo serait le seul opérateur intégré indépendant coté en Bourse.</w:t>
      </w:r>
    </w:p>
    <w:p w:rsidR="008511C7" w:rsidRPr="00337235" w:rsidRDefault="008511C7" w:rsidP="008511C7">
      <w:pPr>
        <w:autoSpaceDE w:val="0"/>
        <w:autoSpaceDN w:val="0"/>
        <w:adjustRightInd w:val="0"/>
        <w:jc w:val="both"/>
        <w:rPr>
          <w:sz w:val="22"/>
          <w:szCs w:val="22"/>
        </w:rPr>
      </w:pPr>
      <w:r>
        <w:rPr>
          <w:sz w:val="22"/>
          <w:szCs w:val="22"/>
        </w:rPr>
        <w:t>L’augmentation de capital réalisée à l’occasion de son admission sur Alternext permettra à Groupimo d’accélérer sa croissance par de nouvelles implantations et acquisitions.</w:t>
      </w:r>
    </w:p>
    <w:p w:rsidR="00337235" w:rsidRDefault="00337235" w:rsidP="00280551">
      <w:pPr>
        <w:jc w:val="center"/>
        <w:rPr>
          <w:b/>
        </w:rPr>
      </w:pPr>
    </w:p>
    <w:p w:rsidR="00337235" w:rsidRDefault="00337235" w:rsidP="00280551">
      <w:pPr>
        <w:jc w:val="center"/>
        <w:rPr>
          <w:b/>
        </w:rPr>
      </w:pPr>
    </w:p>
    <w:p w:rsidR="00C54238" w:rsidRDefault="00C54238" w:rsidP="00C54238">
      <w:pPr>
        <w:autoSpaceDE w:val="0"/>
        <w:autoSpaceDN w:val="0"/>
        <w:adjustRightInd w:val="0"/>
        <w:jc w:val="center"/>
        <w:rPr>
          <w:b/>
          <w:bCs/>
          <w:u w:val="single"/>
        </w:rPr>
      </w:pPr>
      <w:r w:rsidRPr="00C54238">
        <w:rPr>
          <w:b/>
          <w:bCs/>
          <w:u w:val="single"/>
        </w:rPr>
        <w:t>Annexe 2 : Modalités d’admission sur Alternext</w:t>
      </w:r>
    </w:p>
    <w:p w:rsidR="00C54238" w:rsidRPr="00C54238" w:rsidRDefault="00C54238" w:rsidP="00C54238">
      <w:pPr>
        <w:autoSpaceDE w:val="0"/>
        <w:autoSpaceDN w:val="0"/>
        <w:adjustRightInd w:val="0"/>
        <w:jc w:val="center"/>
        <w:rPr>
          <w:b/>
          <w:bCs/>
          <w:u w:val="single"/>
        </w:rPr>
      </w:pPr>
    </w:p>
    <w:p w:rsidR="00C54238" w:rsidRDefault="00C54238" w:rsidP="000815DD">
      <w:pPr>
        <w:autoSpaceDE w:val="0"/>
        <w:autoSpaceDN w:val="0"/>
        <w:adjustRightInd w:val="0"/>
        <w:jc w:val="both"/>
        <w:rPr>
          <w:i/>
          <w:iCs/>
          <w:sz w:val="22"/>
          <w:szCs w:val="22"/>
        </w:rPr>
      </w:pPr>
      <w:r>
        <w:rPr>
          <w:i/>
          <w:iCs/>
          <w:sz w:val="22"/>
          <w:szCs w:val="22"/>
        </w:rPr>
        <w:t>Période de souscription :</w:t>
      </w:r>
    </w:p>
    <w:p w:rsidR="00C54238" w:rsidRDefault="00C54238" w:rsidP="000815DD">
      <w:pPr>
        <w:autoSpaceDE w:val="0"/>
        <w:autoSpaceDN w:val="0"/>
        <w:adjustRightInd w:val="0"/>
        <w:jc w:val="both"/>
        <w:rPr>
          <w:sz w:val="22"/>
          <w:szCs w:val="22"/>
        </w:rPr>
      </w:pPr>
      <w:r>
        <w:rPr>
          <w:sz w:val="22"/>
          <w:szCs w:val="22"/>
        </w:rPr>
        <w:t>La période de souscription débutera le 29 juin et prendra fin le 12 juillet 2011 à 17 heures.</w:t>
      </w:r>
    </w:p>
    <w:p w:rsidR="00C54238" w:rsidRDefault="00C54238" w:rsidP="000815DD">
      <w:pPr>
        <w:autoSpaceDE w:val="0"/>
        <w:autoSpaceDN w:val="0"/>
        <w:adjustRightInd w:val="0"/>
        <w:jc w:val="both"/>
        <w:rPr>
          <w:sz w:val="22"/>
          <w:szCs w:val="22"/>
        </w:rPr>
      </w:pPr>
      <w:r>
        <w:rPr>
          <w:sz w:val="22"/>
          <w:szCs w:val="22"/>
        </w:rPr>
        <w:t>Nombre d’actions composant le capital :</w:t>
      </w:r>
    </w:p>
    <w:p w:rsidR="00C54238" w:rsidRDefault="00C54238" w:rsidP="000815DD">
      <w:pPr>
        <w:numPr>
          <w:ilvl w:val="0"/>
          <w:numId w:val="3"/>
        </w:numPr>
        <w:autoSpaceDE w:val="0"/>
        <w:autoSpaceDN w:val="0"/>
        <w:adjustRightInd w:val="0"/>
        <w:jc w:val="both"/>
        <w:rPr>
          <w:sz w:val="22"/>
          <w:szCs w:val="22"/>
        </w:rPr>
      </w:pPr>
      <w:r>
        <w:rPr>
          <w:sz w:val="22"/>
          <w:szCs w:val="22"/>
        </w:rPr>
        <w:t>Avant introduction : 1 000 000 actions d’une valeur nominale de 1 € chacune.</w:t>
      </w:r>
    </w:p>
    <w:p w:rsidR="00C54238" w:rsidRDefault="00C54238" w:rsidP="000815DD">
      <w:pPr>
        <w:autoSpaceDE w:val="0"/>
        <w:autoSpaceDN w:val="0"/>
        <w:adjustRightInd w:val="0"/>
        <w:jc w:val="both"/>
        <w:rPr>
          <w:i/>
          <w:iCs/>
          <w:sz w:val="22"/>
          <w:szCs w:val="22"/>
        </w:rPr>
      </w:pPr>
    </w:p>
    <w:p w:rsidR="00C54238" w:rsidRDefault="00C54238" w:rsidP="000815DD">
      <w:pPr>
        <w:autoSpaceDE w:val="0"/>
        <w:autoSpaceDN w:val="0"/>
        <w:adjustRightInd w:val="0"/>
        <w:jc w:val="both"/>
        <w:rPr>
          <w:i/>
          <w:iCs/>
          <w:sz w:val="22"/>
          <w:szCs w:val="22"/>
        </w:rPr>
      </w:pPr>
      <w:r>
        <w:rPr>
          <w:i/>
          <w:iCs/>
          <w:sz w:val="22"/>
          <w:szCs w:val="22"/>
        </w:rPr>
        <w:t>Nombre d’actions offertes :</w:t>
      </w:r>
    </w:p>
    <w:p w:rsidR="00C54238" w:rsidRPr="00C54238" w:rsidRDefault="00C54238" w:rsidP="000815DD">
      <w:pPr>
        <w:numPr>
          <w:ilvl w:val="0"/>
          <w:numId w:val="3"/>
        </w:numPr>
        <w:autoSpaceDE w:val="0"/>
        <w:autoSpaceDN w:val="0"/>
        <w:adjustRightInd w:val="0"/>
        <w:jc w:val="both"/>
        <w:rPr>
          <w:sz w:val="22"/>
          <w:szCs w:val="22"/>
        </w:rPr>
      </w:pPr>
      <w:r>
        <w:rPr>
          <w:sz w:val="22"/>
          <w:szCs w:val="22"/>
        </w:rPr>
        <w:t xml:space="preserve">240 000 actions par augmentation de capital (4,032M€) au prix de 16,80€ (prix égal au point médian de la </w:t>
      </w:r>
      <w:r w:rsidRPr="00C54238">
        <w:rPr>
          <w:sz w:val="22"/>
          <w:szCs w:val="22"/>
        </w:rPr>
        <w:t>fourchette indicative de prix)</w:t>
      </w:r>
    </w:p>
    <w:p w:rsidR="00C54238" w:rsidRDefault="00C54238" w:rsidP="000815DD">
      <w:pPr>
        <w:numPr>
          <w:ilvl w:val="0"/>
          <w:numId w:val="3"/>
        </w:numPr>
        <w:autoSpaceDE w:val="0"/>
        <w:autoSpaceDN w:val="0"/>
        <w:adjustRightInd w:val="0"/>
        <w:jc w:val="both"/>
        <w:rPr>
          <w:sz w:val="22"/>
          <w:szCs w:val="22"/>
        </w:rPr>
      </w:pPr>
      <w:r>
        <w:rPr>
          <w:sz w:val="22"/>
          <w:szCs w:val="22"/>
        </w:rPr>
        <w:t>60 525 actions par cession</w:t>
      </w:r>
    </w:p>
    <w:p w:rsidR="00C54238" w:rsidRDefault="00C54238" w:rsidP="000815DD">
      <w:pPr>
        <w:autoSpaceDE w:val="0"/>
        <w:autoSpaceDN w:val="0"/>
        <w:adjustRightInd w:val="0"/>
        <w:jc w:val="both"/>
        <w:rPr>
          <w:i/>
          <w:iCs/>
          <w:sz w:val="22"/>
          <w:szCs w:val="22"/>
        </w:rPr>
      </w:pPr>
    </w:p>
    <w:p w:rsidR="00C54238" w:rsidRDefault="00C54238" w:rsidP="000815DD">
      <w:pPr>
        <w:autoSpaceDE w:val="0"/>
        <w:autoSpaceDN w:val="0"/>
        <w:adjustRightInd w:val="0"/>
        <w:jc w:val="both"/>
        <w:rPr>
          <w:i/>
          <w:iCs/>
          <w:sz w:val="22"/>
          <w:szCs w:val="22"/>
        </w:rPr>
      </w:pPr>
      <w:r>
        <w:rPr>
          <w:i/>
          <w:iCs/>
          <w:sz w:val="22"/>
          <w:szCs w:val="22"/>
        </w:rPr>
        <w:t>Procédure de diffusion :</w:t>
      </w:r>
    </w:p>
    <w:p w:rsidR="00C54238" w:rsidRDefault="00C54238" w:rsidP="000815DD">
      <w:pPr>
        <w:numPr>
          <w:ilvl w:val="0"/>
          <w:numId w:val="3"/>
        </w:numPr>
        <w:autoSpaceDE w:val="0"/>
        <w:autoSpaceDN w:val="0"/>
        <w:adjustRightInd w:val="0"/>
        <w:jc w:val="both"/>
        <w:rPr>
          <w:sz w:val="22"/>
          <w:szCs w:val="22"/>
        </w:rPr>
      </w:pPr>
      <w:r>
        <w:rPr>
          <w:sz w:val="22"/>
          <w:szCs w:val="22"/>
        </w:rPr>
        <w:t>Placement global : 90% de l’offre</w:t>
      </w:r>
    </w:p>
    <w:p w:rsidR="00C54238" w:rsidRDefault="00C54238" w:rsidP="000815DD">
      <w:pPr>
        <w:numPr>
          <w:ilvl w:val="0"/>
          <w:numId w:val="3"/>
        </w:numPr>
        <w:autoSpaceDE w:val="0"/>
        <w:autoSpaceDN w:val="0"/>
        <w:adjustRightInd w:val="0"/>
        <w:jc w:val="both"/>
        <w:rPr>
          <w:sz w:val="22"/>
          <w:szCs w:val="22"/>
        </w:rPr>
      </w:pPr>
      <w:r>
        <w:rPr>
          <w:sz w:val="22"/>
          <w:szCs w:val="22"/>
        </w:rPr>
        <w:t>Offre à Prix Ouvert : 10% de l’offre</w:t>
      </w:r>
    </w:p>
    <w:p w:rsidR="00C54238" w:rsidRDefault="00C54238" w:rsidP="000815DD">
      <w:pPr>
        <w:autoSpaceDE w:val="0"/>
        <w:autoSpaceDN w:val="0"/>
        <w:adjustRightInd w:val="0"/>
        <w:jc w:val="both"/>
        <w:rPr>
          <w:i/>
          <w:iCs/>
          <w:sz w:val="22"/>
          <w:szCs w:val="22"/>
        </w:rPr>
      </w:pPr>
    </w:p>
    <w:p w:rsidR="00C54238" w:rsidRDefault="00C54238" w:rsidP="000815DD">
      <w:pPr>
        <w:autoSpaceDE w:val="0"/>
        <w:autoSpaceDN w:val="0"/>
        <w:adjustRightInd w:val="0"/>
        <w:jc w:val="both"/>
        <w:rPr>
          <w:i/>
          <w:iCs/>
          <w:sz w:val="22"/>
          <w:szCs w:val="22"/>
        </w:rPr>
      </w:pPr>
      <w:r>
        <w:rPr>
          <w:i/>
          <w:iCs/>
          <w:sz w:val="22"/>
          <w:szCs w:val="22"/>
        </w:rPr>
        <w:t>Clause d’extension :</w:t>
      </w:r>
    </w:p>
    <w:p w:rsidR="00C54238" w:rsidRDefault="00C54238" w:rsidP="000815DD">
      <w:pPr>
        <w:autoSpaceDE w:val="0"/>
        <w:autoSpaceDN w:val="0"/>
        <w:adjustRightInd w:val="0"/>
        <w:jc w:val="both"/>
        <w:rPr>
          <w:sz w:val="22"/>
          <w:szCs w:val="22"/>
        </w:rPr>
      </w:pPr>
      <w:r>
        <w:rPr>
          <w:sz w:val="22"/>
          <w:szCs w:val="22"/>
        </w:rPr>
        <w:t>Le nombre d’actions nouvelles pourrait être augmenté d’un maximum de 36 000 actions supplémentaires représentant 15 % du montant initial offert au marché.</w:t>
      </w:r>
    </w:p>
    <w:p w:rsidR="00C54238" w:rsidRDefault="00C54238" w:rsidP="000815DD">
      <w:pPr>
        <w:autoSpaceDE w:val="0"/>
        <w:autoSpaceDN w:val="0"/>
        <w:adjustRightInd w:val="0"/>
        <w:jc w:val="both"/>
        <w:rPr>
          <w:sz w:val="22"/>
          <w:szCs w:val="22"/>
        </w:rPr>
      </w:pPr>
      <w:r>
        <w:rPr>
          <w:sz w:val="22"/>
          <w:szCs w:val="22"/>
        </w:rPr>
        <w:t>Fourchette indicative de prix : 15,54 € - 18,06 €</w:t>
      </w:r>
    </w:p>
    <w:p w:rsidR="00337235" w:rsidRDefault="00C54238" w:rsidP="000815DD">
      <w:pPr>
        <w:autoSpaceDE w:val="0"/>
        <w:autoSpaceDN w:val="0"/>
        <w:adjustRightInd w:val="0"/>
        <w:jc w:val="both"/>
        <w:rPr>
          <w:sz w:val="22"/>
          <w:szCs w:val="22"/>
        </w:rPr>
      </w:pPr>
      <w:r>
        <w:rPr>
          <w:sz w:val="22"/>
          <w:szCs w:val="22"/>
        </w:rPr>
        <w:t>L’opération devra être souscrite à hauteur d’au moins 75%. Si ce seuil n’est pas atteint, l’opération ne sera pas réalisée et les ordres reçus seront caducs et annulés.</w:t>
      </w:r>
    </w:p>
    <w:p w:rsidR="000815DD" w:rsidRDefault="000815DD" w:rsidP="000815DD">
      <w:pPr>
        <w:autoSpaceDE w:val="0"/>
        <w:autoSpaceDN w:val="0"/>
        <w:adjustRightInd w:val="0"/>
        <w:jc w:val="both"/>
        <w:rPr>
          <w:i/>
          <w:iCs/>
          <w:sz w:val="22"/>
          <w:szCs w:val="22"/>
        </w:rPr>
      </w:pPr>
      <w:r>
        <w:rPr>
          <w:i/>
          <w:iCs/>
          <w:sz w:val="22"/>
          <w:szCs w:val="22"/>
        </w:rPr>
        <w:lastRenderedPageBreak/>
        <w:t>Produits et charges relatifs à l’offre :</w:t>
      </w:r>
    </w:p>
    <w:p w:rsidR="000815DD" w:rsidRDefault="000815DD" w:rsidP="000815DD">
      <w:pPr>
        <w:autoSpaceDE w:val="0"/>
        <w:autoSpaceDN w:val="0"/>
        <w:adjustRightInd w:val="0"/>
        <w:jc w:val="both"/>
        <w:rPr>
          <w:sz w:val="22"/>
          <w:szCs w:val="22"/>
        </w:rPr>
      </w:pPr>
      <w:r>
        <w:rPr>
          <w:sz w:val="22"/>
          <w:szCs w:val="22"/>
        </w:rPr>
        <w:t>Le produit brut de l’émission des actions nouvelles est estimé à environ 4 032 000 € en considérant que le nombre d’actions émises est de 240 000, hors cessions et opération réservée aux salariés.</w:t>
      </w:r>
    </w:p>
    <w:p w:rsidR="000815DD" w:rsidRDefault="000815DD" w:rsidP="000815DD">
      <w:pPr>
        <w:autoSpaceDE w:val="0"/>
        <w:autoSpaceDN w:val="0"/>
        <w:adjustRightInd w:val="0"/>
        <w:jc w:val="both"/>
        <w:rPr>
          <w:sz w:val="22"/>
          <w:szCs w:val="22"/>
        </w:rPr>
      </w:pPr>
      <w:r>
        <w:rPr>
          <w:sz w:val="22"/>
          <w:szCs w:val="22"/>
        </w:rPr>
        <w:t>Sur les mêmes bases, la rémunération globale des intermédiaires financiers et le montant des frais juridiques, comptables et administratifs sont estimés à 500 K€ environ. Les frais juridiques, comptables et administratifs seront  pris en charge par la Société. La rémunération globale des intermédiaires financiers sera prise en charge par la Société.</w:t>
      </w:r>
    </w:p>
    <w:p w:rsidR="000815DD" w:rsidRDefault="000815DD" w:rsidP="000815DD">
      <w:pPr>
        <w:autoSpaceDE w:val="0"/>
        <w:autoSpaceDN w:val="0"/>
        <w:adjustRightInd w:val="0"/>
        <w:jc w:val="both"/>
        <w:rPr>
          <w:sz w:val="22"/>
          <w:szCs w:val="22"/>
        </w:rPr>
      </w:pPr>
      <w:r>
        <w:rPr>
          <w:sz w:val="22"/>
          <w:szCs w:val="22"/>
        </w:rPr>
        <w:t>La rémunération globale des intermédiaires reste à 500 K€ pour les trois cas de figure : 75%, 100% ou 115% de l’augmentation prévue.</w:t>
      </w:r>
    </w:p>
    <w:p w:rsidR="000815DD" w:rsidRDefault="000815DD" w:rsidP="000815DD">
      <w:pPr>
        <w:autoSpaceDE w:val="0"/>
        <w:autoSpaceDN w:val="0"/>
        <w:adjustRightInd w:val="0"/>
        <w:jc w:val="both"/>
        <w:rPr>
          <w:sz w:val="22"/>
          <w:szCs w:val="22"/>
        </w:rPr>
      </w:pPr>
    </w:p>
    <w:p w:rsidR="000815DD" w:rsidRDefault="000815DD" w:rsidP="000815DD">
      <w:pPr>
        <w:autoSpaceDE w:val="0"/>
        <w:autoSpaceDN w:val="0"/>
        <w:adjustRightInd w:val="0"/>
        <w:jc w:val="both"/>
        <w:rPr>
          <w:i/>
          <w:iCs/>
          <w:sz w:val="22"/>
          <w:szCs w:val="22"/>
        </w:rPr>
      </w:pPr>
      <w:r>
        <w:rPr>
          <w:i/>
          <w:iCs/>
          <w:sz w:val="22"/>
          <w:szCs w:val="22"/>
        </w:rPr>
        <w:t>Cession d’actions existantes :</w:t>
      </w:r>
    </w:p>
    <w:p w:rsidR="000815DD" w:rsidRDefault="000815DD" w:rsidP="000815DD">
      <w:pPr>
        <w:autoSpaceDE w:val="0"/>
        <w:autoSpaceDN w:val="0"/>
        <w:adjustRightInd w:val="0"/>
        <w:jc w:val="both"/>
        <w:rPr>
          <w:sz w:val="22"/>
          <w:szCs w:val="22"/>
        </w:rPr>
      </w:pPr>
      <w:r>
        <w:rPr>
          <w:sz w:val="22"/>
          <w:szCs w:val="22"/>
        </w:rPr>
        <w:t>Nombre d’actions à céder : 60 525 actions anciennes, représentant 6,05 % du capital et des droits de vote de Groupimo à la date du présent prospectus. Les cessions seront effectives après la réalisation à 100% de l’augmentation de capital.</w:t>
      </w:r>
    </w:p>
    <w:p w:rsidR="000815DD" w:rsidRDefault="000815DD" w:rsidP="000815DD">
      <w:pPr>
        <w:autoSpaceDE w:val="0"/>
        <w:autoSpaceDN w:val="0"/>
        <w:adjustRightInd w:val="0"/>
        <w:jc w:val="both"/>
        <w:rPr>
          <w:sz w:val="22"/>
          <w:szCs w:val="22"/>
        </w:rPr>
      </w:pPr>
    </w:p>
    <w:p w:rsidR="000815DD" w:rsidRDefault="000815DD" w:rsidP="000815DD">
      <w:pPr>
        <w:autoSpaceDE w:val="0"/>
        <w:autoSpaceDN w:val="0"/>
        <w:adjustRightInd w:val="0"/>
        <w:jc w:val="both"/>
        <w:rPr>
          <w:i/>
          <w:iCs/>
          <w:sz w:val="22"/>
          <w:szCs w:val="22"/>
        </w:rPr>
      </w:pPr>
      <w:r>
        <w:rPr>
          <w:i/>
          <w:iCs/>
          <w:sz w:val="22"/>
          <w:szCs w:val="22"/>
        </w:rPr>
        <w:t>Augmentation de capital réservée aux salariés :</w:t>
      </w:r>
    </w:p>
    <w:p w:rsidR="000815DD" w:rsidRDefault="000815DD" w:rsidP="000815DD">
      <w:pPr>
        <w:autoSpaceDE w:val="0"/>
        <w:autoSpaceDN w:val="0"/>
        <w:adjustRightInd w:val="0"/>
        <w:jc w:val="both"/>
        <w:rPr>
          <w:sz w:val="22"/>
          <w:szCs w:val="22"/>
        </w:rPr>
      </w:pPr>
      <w:r>
        <w:rPr>
          <w:sz w:val="22"/>
          <w:szCs w:val="22"/>
        </w:rPr>
        <w:t>Nombre maximum d’actions à émettre réservées aux salariés :</w:t>
      </w:r>
    </w:p>
    <w:p w:rsidR="000815DD" w:rsidRDefault="000815DD" w:rsidP="000815DD">
      <w:pPr>
        <w:autoSpaceDE w:val="0"/>
        <w:autoSpaceDN w:val="0"/>
        <w:adjustRightInd w:val="0"/>
        <w:jc w:val="both"/>
        <w:rPr>
          <w:sz w:val="22"/>
          <w:szCs w:val="22"/>
        </w:rPr>
      </w:pPr>
      <w:r>
        <w:rPr>
          <w:sz w:val="22"/>
          <w:szCs w:val="22"/>
        </w:rPr>
        <w:t>Il est prévu une augmentation de capital de maximum 30 000 actions (20 000 actions en numéraire et 10000 actions gratuites) soit 3 % du capital et des droits de vote de la Société à la date du présent prospectus, réservée aux salariés du groupe dans le cadre d’un Plan Epargne Groupe. Le prix de cette augmentation du capital réservée sera égal à 80% du prix du placement retenu. Les actions seront attribuées ou cédées aux salariés à la date de l’augmentation mais le prix sera réglé ultérieurement.</w:t>
      </w:r>
    </w:p>
    <w:p w:rsidR="000815DD" w:rsidRDefault="000815DD" w:rsidP="000815DD">
      <w:pPr>
        <w:autoSpaceDE w:val="0"/>
        <w:autoSpaceDN w:val="0"/>
        <w:adjustRightInd w:val="0"/>
        <w:rPr>
          <w:sz w:val="22"/>
          <w:szCs w:val="22"/>
        </w:rPr>
      </w:pPr>
    </w:p>
    <w:p w:rsidR="000815DD" w:rsidRDefault="000815DD" w:rsidP="000815DD">
      <w:pPr>
        <w:autoSpaceDE w:val="0"/>
        <w:autoSpaceDN w:val="0"/>
        <w:adjustRightInd w:val="0"/>
        <w:rPr>
          <w:sz w:val="22"/>
          <w:szCs w:val="22"/>
        </w:rPr>
      </w:pPr>
    </w:p>
    <w:p w:rsidR="000815DD" w:rsidRPr="000815DD" w:rsidRDefault="000815DD" w:rsidP="000815DD">
      <w:pPr>
        <w:autoSpaceDE w:val="0"/>
        <w:autoSpaceDN w:val="0"/>
        <w:adjustRightInd w:val="0"/>
        <w:jc w:val="center"/>
        <w:rPr>
          <w:sz w:val="22"/>
          <w:szCs w:val="22"/>
          <w:u w:val="single"/>
        </w:rPr>
      </w:pPr>
      <w:r w:rsidRPr="000815DD">
        <w:rPr>
          <w:b/>
          <w:bCs/>
          <w:u w:val="single"/>
        </w:rPr>
        <w:t>Annexe 3 : Extrait des Comptes consolidés au 31/12/2010</w:t>
      </w:r>
    </w:p>
    <w:p w:rsidR="00337235" w:rsidRDefault="00337235" w:rsidP="00551D1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9"/>
        <w:gridCol w:w="1963"/>
      </w:tblGrid>
      <w:tr w:rsidR="000815DD" w:rsidRPr="00C42945" w:rsidTr="00C42945">
        <w:trPr>
          <w:jc w:val="center"/>
        </w:trPr>
        <w:tc>
          <w:tcPr>
            <w:tcW w:w="6509" w:type="dxa"/>
          </w:tcPr>
          <w:p w:rsidR="000815DD" w:rsidRPr="00C42945" w:rsidRDefault="000815DD" w:rsidP="00C42945">
            <w:pPr>
              <w:jc w:val="center"/>
              <w:rPr>
                <w:b/>
              </w:rPr>
            </w:pPr>
            <w:r w:rsidRPr="00C42945">
              <w:rPr>
                <w:b/>
                <w:bCs/>
                <w:sz w:val="22"/>
                <w:szCs w:val="22"/>
              </w:rPr>
              <w:t>Données sélectionnées des comptes consolidés en K€ de Groupimo</w:t>
            </w:r>
          </w:p>
        </w:tc>
        <w:tc>
          <w:tcPr>
            <w:tcW w:w="1963" w:type="dxa"/>
          </w:tcPr>
          <w:p w:rsidR="000815DD" w:rsidRPr="00C42945" w:rsidRDefault="000815DD" w:rsidP="00C42945">
            <w:pPr>
              <w:jc w:val="center"/>
              <w:rPr>
                <w:b/>
              </w:rPr>
            </w:pPr>
            <w:r w:rsidRPr="00C42945">
              <w:rPr>
                <w:b/>
              </w:rPr>
              <w:t>31/12/2010</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Chiffre d’affaires (CA)</w:t>
            </w:r>
          </w:p>
        </w:tc>
        <w:tc>
          <w:tcPr>
            <w:tcW w:w="1963" w:type="dxa"/>
          </w:tcPr>
          <w:p w:rsidR="000815DD" w:rsidRPr="00C42945" w:rsidRDefault="00D21912" w:rsidP="00C42945">
            <w:pPr>
              <w:jc w:val="center"/>
              <w:rPr>
                <w:b/>
              </w:rPr>
            </w:pPr>
            <w:r w:rsidRPr="00C42945">
              <w:rPr>
                <w:sz w:val="22"/>
                <w:szCs w:val="22"/>
              </w:rPr>
              <w:t>10172</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Résultat d’exploitation</w:t>
            </w:r>
          </w:p>
        </w:tc>
        <w:tc>
          <w:tcPr>
            <w:tcW w:w="1963" w:type="dxa"/>
          </w:tcPr>
          <w:p w:rsidR="000815DD" w:rsidRPr="00C42945" w:rsidRDefault="00D21912" w:rsidP="00C42945">
            <w:pPr>
              <w:jc w:val="center"/>
              <w:rPr>
                <w:b/>
              </w:rPr>
            </w:pPr>
            <w:r w:rsidRPr="00C42945">
              <w:rPr>
                <w:sz w:val="22"/>
                <w:szCs w:val="22"/>
              </w:rPr>
              <w:t>793</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Résultat net part de groupe (RN)</w:t>
            </w:r>
          </w:p>
        </w:tc>
        <w:tc>
          <w:tcPr>
            <w:tcW w:w="1963" w:type="dxa"/>
          </w:tcPr>
          <w:p w:rsidR="000815DD" w:rsidRPr="002D0D4D" w:rsidRDefault="00D21912" w:rsidP="00C42945">
            <w:pPr>
              <w:jc w:val="center"/>
            </w:pPr>
            <w:r w:rsidRPr="002D0D4D">
              <w:t>571</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RN/CA</w:t>
            </w:r>
          </w:p>
        </w:tc>
        <w:tc>
          <w:tcPr>
            <w:tcW w:w="1963" w:type="dxa"/>
          </w:tcPr>
          <w:p w:rsidR="000815DD" w:rsidRPr="002D0D4D" w:rsidRDefault="002D0D4D" w:rsidP="00C42945">
            <w:pPr>
              <w:jc w:val="center"/>
            </w:pPr>
            <w:r w:rsidRPr="002D0D4D">
              <w:t>5,61 %</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Actifs immobilisés</w:t>
            </w:r>
          </w:p>
        </w:tc>
        <w:tc>
          <w:tcPr>
            <w:tcW w:w="1963" w:type="dxa"/>
          </w:tcPr>
          <w:p w:rsidR="000815DD" w:rsidRPr="002D0D4D" w:rsidRDefault="002D0D4D" w:rsidP="00C42945">
            <w:pPr>
              <w:jc w:val="center"/>
            </w:pPr>
            <w:r w:rsidRPr="002D0D4D">
              <w:t>6 974</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Disponibilités et VMP</w:t>
            </w:r>
          </w:p>
        </w:tc>
        <w:tc>
          <w:tcPr>
            <w:tcW w:w="1963" w:type="dxa"/>
          </w:tcPr>
          <w:p w:rsidR="000815DD" w:rsidRPr="002D0D4D" w:rsidRDefault="002D0D4D" w:rsidP="00C42945">
            <w:pPr>
              <w:jc w:val="center"/>
            </w:pPr>
            <w:r w:rsidRPr="002D0D4D">
              <w:t>560</w:t>
            </w:r>
          </w:p>
        </w:tc>
      </w:tr>
      <w:tr w:rsidR="000815DD" w:rsidRPr="00C42945" w:rsidTr="00C42945">
        <w:trPr>
          <w:jc w:val="center"/>
        </w:trPr>
        <w:tc>
          <w:tcPr>
            <w:tcW w:w="6509" w:type="dxa"/>
          </w:tcPr>
          <w:p w:rsidR="000815DD" w:rsidRPr="00C42945" w:rsidRDefault="00D21912" w:rsidP="00D21912">
            <w:pPr>
              <w:rPr>
                <w:b/>
              </w:rPr>
            </w:pPr>
            <w:r w:rsidRPr="00C42945">
              <w:rPr>
                <w:sz w:val="22"/>
                <w:szCs w:val="22"/>
              </w:rPr>
              <w:t>Capitaux propres part de groupe</w:t>
            </w:r>
          </w:p>
        </w:tc>
        <w:tc>
          <w:tcPr>
            <w:tcW w:w="1963" w:type="dxa"/>
          </w:tcPr>
          <w:p w:rsidR="000815DD" w:rsidRPr="002D0D4D" w:rsidRDefault="002D0D4D" w:rsidP="00C42945">
            <w:pPr>
              <w:jc w:val="center"/>
            </w:pPr>
            <w:r w:rsidRPr="002D0D4D">
              <w:t>2 380</w:t>
            </w:r>
          </w:p>
        </w:tc>
      </w:tr>
    </w:tbl>
    <w:p w:rsidR="00337235" w:rsidRDefault="00337235" w:rsidP="00280551">
      <w:pPr>
        <w:jc w:val="center"/>
        <w:rPr>
          <w:b/>
        </w:rPr>
      </w:pPr>
    </w:p>
    <w:p w:rsidR="001C1B91" w:rsidRDefault="001C1B91" w:rsidP="00280551">
      <w:pPr>
        <w:jc w:val="center"/>
        <w:rPr>
          <w:b/>
        </w:rPr>
      </w:pPr>
    </w:p>
    <w:p w:rsidR="001C1B91" w:rsidRDefault="001C1B91" w:rsidP="001C1B91">
      <w:pPr>
        <w:autoSpaceDE w:val="0"/>
        <w:autoSpaceDN w:val="0"/>
        <w:adjustRightInd w:val="0"/>
        <w:jc w:val="center"/>
        <w:rPr>
          <w:b/>
          <w:bCs/>
          <w:u w:val="single"/>
        </w:rPr>
      </w:pPr>
      <w:r w:rsidRPr="001C1B91">
        <w:rPr>
          <w:b/>
          <w:bCs/>
          <w:u w:val="single"/>
        </w:rPr>
        <w:t>Annexe 4 : Modalités de fixation du prix</w:t>
      </w:r>
    </w:p>
    <w:p w:rsidR="001C1B91" w:rsidRPr="001C1B91" w:rsidRDefault="001C1B91" w:rsidP="001C1B91">
      <w:pPr>
        <w:autoSpaceDE w:val="0"/>
        <w:autoSpaceDN w:val="0"/>
        <w:adjustRightInd w:val="0"/>
        <w:jc w:val="center"/>
        <w:rPr>
          <w:b/>
          <w:bCs/>
          <w:u w:val="single"/>
        </w:rPr>
      </w:pPr>
    </w:p>
    <w:p w:rsidR="001C1B91" w:rsidRDefault="001C1B91" w:rsidP="001C1B91">
      <w:pPr>
        <w:autoSpaceDE w:val="0"/>
        <w:autoSpaceDN w:val="0"/>
        <w:adjustRightInd w:val="0"/>
        <w:jc w:val="both"/>
        <w:rPr>
          <w:sz w:val="22"/>
          <w:szCs w:val="22"/>
        </w:rPr>
      </w:pPr>
      <w:r>
        <w:rPr>
          <w:sz w:val="22"/>
          <w:szCs w:val="22"/>
        </w:rPr>
        <w:t>Le prix des actions offertes dans le cadre de l’Offre Publique (le “Prix de l’Offre Publique”) sera égal au prix des actions offertes dans le cadre du Placement Global (le “Prix du Placement Global”).</w:t>
      </w:r>
    </w:p>
    <w:p w:rsidR="001C1B91" w:rsidRDefault="001C1B91" w:rsidP="001C1B91">
      <w:pPr>
        <w:autoSpaceDE w:val="0"/>
        <w:autoSpaceDN w:val="0"/>
        <w:adjustRightInd w:val="0"/>
        <w:jc w:val="both"/>
        <w:rPr>
          <w:sz w:val="22"/>
          <w:szCs w:val="22"/>
        </w:rPr>
      </w:pPr>
      <w:r>
        <w:rPr>
          <w:sz w:val="22"/>
          <w:szCs w:val="22"/>
        </w:rPr>
        <w:t>Il est prévu que le Prix de l’offre soit fixé par le Conseil d’Administration de la Société le 13 juillet 2011, étant précisé que cette date pourrait être reportée si les conditions de marché et les résultats de la construction du livre d’ordres ne permettaient pas de fixer le Prix de l’Offre dans des conditions satisfaisantes. La date de fixation du Prix de l’Offre pourra également être avancée en cas de clôture anticipé de l’Offre à Prix Ouvert et du Placement Global.</w:t>
      </w:r>
    </w:p>
    <w:p w:rsidR="001C1B91" w:rsidRDefault="001C1B91" w:rsidP="001C1B91">
      <w:pPr>
        <w:autoSpaceDE w:val="0"/>
        <w:autoSpaceDN w:val="0"/>
        <w:adjustRightInd w:val="0"/>
        <w:jc w:val="both"/>
        <w:rPr>
          <w:sz w:val="22"/>
          <w:szCs w:val="22"/>
        </w:rPr>
      </w:pPr>
    </w:p>
    <w:p w:rsidR="001C1B91" w:rsidRDefault="001C1B91" w:rsidP="001C1B91">
      <w:pPr>
        <w:autoSpaceDE w:val="0"/>
        <w:autoSpaceDN w:val="0"/>
        <w:adjustRightInd w:val="0"/>
        <w:jc w:val="both"/>
        <w:rPr>
          <w:sz w:val="22"/>
          <w:szCs w:val="22"/>
        </w:rPr>
      </w:pPr>
      <w:r>
        <w:rPr>
          <w:sz w:val="22"/>
          <w:szCs w:val="22"/>
        </w:rPr>
        <w:t>Le Prix du Placement Global résultera de la confrontation de l’offre des actions dans le cadre du Placement Global et des demandes émises par les investisseurs dans le cadre du Placement Global selon la technique dite de “construction du livre d’ordres” telle que développée par les usages professionnels.</w:t>
      </w:r>
    </w:p>
    <w:p w:rsidR="001C1B91" w:rsidRDefault="001C1B91" w:rsidP="001C1B91">
      <w:pPr>
        <w:autoSpaceDE w:val="0"/>
        <w:autoSpaceDN w:val="0"/>
        <w:adjustRightInd w:val="0"/>
        <w:jc w:val="both"/>
        <w:rPr>
          <w:sz w:val="22"/>
          <w:szCs w:val="22"/>
        </w:rPr>
      </w:pPr>
    </w:p>
    <w:p w:rsidR="001C1B91" w:rsidRDefault="001C1B91" w:rsidP="001C1B91">
      <w:pPr>
        <w:autoSpaceDE w:val="0"/>
        <w:autoSpaceDN w:val="0"/>
        <w:adjustRightInd w:val="0"/>
        <w:jc w:val="both"/>
        <w:rPr>
          <w:sz w:val="22"/>
          <w:szCs w:val="22"/>
        </w:rPr>
      </w:pPr>
      <w:r>
        <w:rPr>
          <w:sz w:val="22"/>
          <w:szCs w:val="22"/>
        </w:rPr>
        <w:t xml:space="preserve">Le Prix du Placement Global pourrait se situer dans une fourchette comprise entre 15,54 € et 18,06 € par action, fourchette qui pourra être modifiée à tout moment jusque et y compris le jour prévu pour la </w:t>
      </w:r>
      <w:r>
        <w:rPr>
          <w:sz w:val="22"/>
          <w:szCs w:val="22"/>
        </w:rPr>
        <w:lastRenderedPageBreak/>
        <w:t>fixation du Prix du Placement Global. Cette information est donnée à titre strictement indicatif et ne préjuge pas du Prix du Placement Global qui pourra être fixé en dehors de cette fourchette.</w:t>
      </w:r>
    </w:p>
    <w:p w:rsidR="001C1B91" w:rsidRDefault="001C1B91" w:rsidP="001C1B91">
      <w:pPr>
        <w:jc w:val="both"/>
        <w:rPr>
          <w:sz w:val="22"/>
          <w:szCs w:val="22"/>
        </w:rPr>
      </w:pPr>
    </w:p>
    <w:p w:rsidR="00337235" w:rsidRDefault="001C1B91" w:rsidP="00F778A8">
      <w:pPr>
        <w:jc w:val="both"/>
        <w:rPr>
          <w:b/>
        </w:rPr>
      </w:pPr>
      <w:r>
        <w:rPr>
          <w:sz w:val="22"/>
          <w:szCs w:val="22"/>
        </w:rPr>
        <w:t>Cette fourchette de prix correspond à une valorisation de la société entre 18,9M€ et 23,2M€.</w:t>
      </w:r>
    </w:p>
    <w:p w:rsidR="00337235" w:rsidRDefault="00337235" w:rsidP="00280551">
      <w:pPr>
        <w:jc w:val="center"/>
        <w:rPr>
          <w:b/>
        </w:rPr>
      </w:pPr>
    </w:p>
    <w:p w:rsidR="001C1B91" w:rsidRDefault="001C1B91" w:rsidP="001C1B91">
      <w:pPr>
        <w:autoSpaceDE w:val="0"/>
        <w:autoSpaceDN w:val="0"/>
        <w:adjustRightInd w:val="0"/>
        <w:jc w:val="center"/>
        <w:rPr>
          <w:b/>
          <w:bCs/>
          <w:u w:val="single"/>
        </w:rPr>
      </w:pPr>
      <w:r w:rsidRPr="001C1B91">
        <w:rPr>
          <w:b/>
          <w:bCs/>
          <w:u w:val="single"/>
        </w:rPr>
        <w:t>Annexe 5 : Détermination de la fourchette de prix</w:t>
      </w:r>
    </w:p>
    <w:p w:rsidR="001C1B91" w:rsidRPr="001C1B91" w:rsidRDefault="001C1B91" w:rsidP="001C1B91">
      <w:pPr>
        <w:autoSpaceDE w:val="0"/>
        <w:autoSpaceDN w:val="0"/>
        <w:adjustRightInd w:val="0"/>
        <w:jc w:val="center"/>
        <w:rPr>
          <w:b/>
          <w:bCs/>
          <w:u w:val="single"/>
        </w:rPr>
      </w:pPr>
    </w:p>
    <w:p w:rsidR="001C1B91" w:rsidRDefault="001C1B91" w:rsidP="001C1B91">
      <w:pPr>
        <w:autoSpaceDE w:val="0"/>
        <w:autoSpaceDN w:val="0"/>
        <w:adjustRightInd w:val="0"/>
        <w:jc w:val="both"/>
        <w:rPr>
          <w:sz w:val="22"/>
          <w:szCs w:val="22"/>
        </w:rPr>
      </w:pPr>
      <w:r>
        <w:rPr>
          <w:sz w:val="22"/>
          <w:szCs w:val="22"/>
        </w:rPr>
        <w:t>Pour aboutir à la fourchette indicative de prix proposée, les éléments suivants ont été retenus.</w:t>
      </w:r>
    </w:p>
    <w:p w:rsidR="001C1B91" w:rsidRDefault="001C1B91" w:rsidP="001C1B91">
      <w:pPr>
        <w:autoSpaceDE w:val="0"/>
        <w:autoSpaceDN w:val="0"/>
        <w:adjustRightInd w:val="0"/>
        <w:jc w:val="both"/>
        <w:rPr>
          <w:sz w:val="22"/>
          <w:szCs w:val="22"/>
        </w:rPr>
      </w:pPr>
    </w:p>
    <w:p w:rsidR="001C1B91" w:rsidRDefault="001C1B91" w:rsidP="001C1B91">
      <w:pPr>
        <w:autoSpaceDE w:val="0"/>
        <w:autoSpaceDN w:val="0"/>
        <w:adjustRightInd w:val="0"/>
        <w:jc w:val="both"/>
        <w:rPr>
          <w:b/>
          <w:bCs/>
          <w:i/>
          <w:iCs/>
          <w:sz w:val="22"/>
          <w:szCs w:val="22"/>
        </w:rPr>
      </w:pPr>
      <w:r>
        <w:rPr>
          <w:b/>
          <w:bCs/>
          <w:i/>
          <w:iCs/>
          <w:sz w:val="22"/>
          <w:szCs w:val="22"/>
        </w:rPr>
        <w:t>Méthodes des multiples de comparables boursiers :</w:t>
      </w:r>
    </w:p>
    <w:p w:rsidR="001C1B91" w:rsidRDefault="001C1B91" w:rsidP="001C1B91">
      <w:pPr>
        <w:autoSpaceDE w:val="0"/>
        <w:autoSpaceDN w:val="0"/>
        <w:adjustRightInd w:val="0"/>
        <w:jc w:val="both"/>
        <w:rPr>
          <w:b/>
          <w:bCs/>
          <w:i/>
          <w:iCs/>
          <w:sz w:val="22"/>
          <w:szCs w:val="22"/>
        </w:rPr>
      </w:pPr>
    </w:p>
    <w:p w:rsidR="001C1B91" w:rsidRDefault="001C1B91" w:rsidP="001C1B91">
      <w:pPr>
        <w:autoSpaceDE w:val="0"/>
        <w:autoSpaceDN w:val="0"/>
        <w:adjustRightInd w:val="0"/>
        <w:jc w:val="both"/>
        <w:rPr>
          <w:sz w:val="22"/>
          <w:szCs w:val="22"/>
        </w:rPr>
      </w:pPr>
      <w:r>
        <w:rPr>
          <w:sz w:val="22"/>
          <w:szCs w:val="22"/>
        </w:rPr>
        <w:t>La méthode des comparables boursiers valorise une société sur base de ratios de valorisation (Valeur d’entreprise par rapport au Chiffre d’Affaires, Valeur d’entreprise par rapport au Résultat d’Exploitation, et la Capitalisation</w:t>
      </w:r>
    </w:p>
    <w:p w:rsidR="001C1B91" w:rsidRDefault="001C1B91" w:rsidP="001C1B91">
      <w:pPr>
        <w:autoSpaceDE w:val="0"/>
        <w:autoSpaceDN w:val="0"/>
        <w:adjustRightInd w:val="0"/>
        <w:jc w:val="both"/>
        <w:rPr>
          <w:sz w:val="22"/>
          <w:szCs w:val="22"/>
        </w:rPr>
      </w:pPr>
      <w:r>
        <w:rPr>
          <w:sz w:val="22"/>
          <w:szCs w:val="22"/>
        </w:rPr>
        <w:t>Boursière par rapport au Résultat Net) observés pour un groupe de sociétés comparables. Dans le cas de Groupimo, spécialisé dans la prestation de services à l’immobilier, il n’existe qu’une seule société exerçant les mêmes métiers, Foncia, reprise au début 2011 par le groupe Natixis.</w:t>
      </w:r>
    </w:p>
    <w:p w:rsidR="001C1B91" w:rsidRDefault="001C1B91" w:rsidP="001C1B91">
      <w:pPr>
        <w:autoSpaceDE w:val="0"/>
        <w:autoSpaceDN w:val="0"/>
        <w:adjustRightInd w:val="0"/>
        <w:jc w:val="both"/>
        <w:rPr>
          <w:sz w:val="22"/>
          <w:szCs w:val="22"/>
        </w:rPr>
      </w:pPr>
    </w:p>
    <w:p w:rsidR="00337235" w:rsidRDefault="001C1B91" w:rsidP="001C1B91">
      <w:pPr>
        <w:autoSpaceDE w:val="0"/>
        <w:autoSpaceDN w:val="0"/>
        <w:adjustRightInd w:val="0"/>
        <w:jc w:val="both"/>
        <w:rPr>
          <w:sz w:val="22"/>
          <w:szCs w:val="22"/>
        </w:rPr>
      </w:pPr>
      <w:r>
        <w:rPr>
          <w:sz w:val="22"/>
          <w:szCs w:val="22"/>
        </w:rPr>
        <w:t>L’échantillon représentatif a donc été élargi aux promoteurs immobiliers réalisant une partie de leur chiffre d’affaires dans des activités de services, écartant d’emblée ceux qui ne sont engagés que dans la promotion immobilière : cette activité présente une structure d’exploitation et des risques sans commune mesure avec la prestation de services.</w:t>
      </w:r>
    </w:p>
    <w:p w:rsidR="001C1B91" w:rsidRDefault="001C1B91" w:rsidP="001C1B91">
      <w:pPr>
        <w:autoSpaceDE w:val="0"/>
        <w:autoSpaceDN w:val="0"/>
        <w:adjustRightInd w:val="0"/>
        <w:rPr>
          <w:sz w:val="22"/>
          <w:szCs w:val="22"/>
        </w:rPr>
      </w:pPr>
    </w:p>
    <w:p w:rsidR="001C1B91" w:rsidRDefault="001C1B91" w:rsidP="001C1B91">
      <w:pPr>
        <w:autoSpaceDE w:val="0"/>
        <w:autoSpaceDN w:val="0"/>
        <w:adjustRightInd w:val="0"/>
        <w:jc w:val="both"/>
        <w:rPr>
          <w:sz w:val="22"/>
          <w:szCs w:val="22"/>
        </w:rPr>
      </w:pPr>
      <w:r>
        <w:rPr>
          <w:sz w:val="22"/>
          <w:szCs w:val="22"/>
        </w:rPr>
        <w:t>Il a été retenu :</w:t>
      </w:r>
    </w:p>
    <w:p w:rsidR="001C1B91" w:rsidRDefault="001C1B91" w:rsidP="001C1B91">
      <w:pPr>
        <w:autoSpaceDE w:val="0"/>
        <w:autoSpaceDN w:val="0"/>
        <w:adjustRightInd w:val="0"/>
        <w:jc w:val="both"/>
        <w:rPr>
          <w:sz w:val="22"/>
          <w:szCs w:val="22"/>
        </w:rPr>
      </w:pPr>
      <w:r>
        <w:rPr>
          <w:b/>
          <w:bCs/>
          <w:sz w:val="22"/>
          <w:szCs w:val="22"/>
        </w:rPr>
        <w:t xml:space="preserve">NEXITY </w:t>
      </w:r>
      <w:r>
        <w:rPr>
          <w:sz w:val="22"/>
          <w:szCs w:val="22"/>
        </w:rPr>
        <w:t>(Eurolist A) : leader de la promotion immobilière en France,</w:t>
      </w:r>
    </w:p>
    <w:p w:rsidR="001C1B91" w:rsidRDefault="001C1B91" w:rsidP="001C1B91">
      <w:pPr>
        <w:autoSpaceDE w:val="0"/>
        <w:autoSpaceDN w:val="0"/>
        <w:adjustRightInd w:val="0"/>
        <w:jc w:val="both"/>
        <w:rPr>
          <w:sz w:val="22"/>
          <w:szCs w:val="22"/>
        </w:rPr>
      </w:pPr>
      <w:r>
        <w:rPr>
          <w:b/>
          <w:bCs/>
          <w:sz w:val="22"/>
          <w:szCs w:val="22"/>
        </w:rPr>
        <w:t xml:space="preserve">FONCIA </w:t>
      </w:r>
      <w:r>
        <w:rPr>
          <w:sz w:val="22"/>
          <w:szCs w:val="22"/>
        </w:rPr>
        <w:t>(repris par Natixis) : leader des prestations de gestion et de transactions mobilières en France (plus de 300 implantations). Le chiffre d’affaires est réparti entre la gestion de copropriétés (30%), la gestion locative (25%), les transactions (26,5%), l’expertise et le courtage en assurance, la gestion de fonds mandants etc.</w:t>
      </w:r>
    </w:p>
    <w:p w:rsidR="001C1B91" w:rsidRDefault="001C1B91" w:rsidP="001C1B91">
      <w:pPr>
        <w:autoSpaceDE w:val="0"/>
        <w:autoSpaceDN w:val="0"/>
        <w:adjustRightInd w:val="0"/>
        <w:jc w:val="both"/>
        <w:rPr>
          <w:sz w:val="22"/>
          <w:szCs w:val="22"/>
        </w:rPr>
      </w:pPr>
      <w:r>
        <w:rPr>
          <w:b/>
          <w:bCs/>
          <w:sz w:val="22"/>
          <w:szCs w:val="22"/>
        </w:rPr>
        <w:t xml:space="preserve">ICADE </w:t>
      </w:r>
      <w:r>
        <w:rPr>
          <w:sz w:val="22"/>
          <w:szCs w:val="22"/>
        </w:rPr>
        <w:t>(Eurolist A) : l’un des principaux acteurs du marché de l’immobilier en France. ICADE exerce ses activités dans la promotion (56% du chiffre d’affaires), l’investissement foncier (25%) et les services (exploitation et gestion de biens immobiliers : 19% du chiffre d’affaires).</w:t>
      </w:r>
    </w:p>
    <w:p w:rsidR="001C1B91" w:rsidRDefault="001C1B91" w:rsidP="001C1B91">
      <w:pPr>
        <w:autoSpaceDE w:val="0"/>
        <w:autoSpaceDN w:val="0"/>
        <w:adjustRightInd w:val="0"/>
        <w:jc w:val="both"/>
        <w:rPr>
          <w:sz w:val="22"/>
          <w:szCs w:val="22"/>
        </w:rPr>
      </w:pPr>
    </w:p>
    <w:p w:rsidR="001C1B91" w:rsidRDefault="001C1B91" w:rsidP="001C1B91">
      <w:pPr>
        <w:autoSpaceDE w:val="0"/>
        <w:autoSpaceDN w:val="0"/>
        <w:adjustRightInd w:val="0"/>
        <w:jc w:val="both"/>
        <w:rPr>
          <w:sz w:val="22"/>
          <w:szCs w:val="22"/>
        </w:rPr>
      </w:pPr>
      <w:r>
        <w:rPr>
          <w:sz w:val="22"/>
          <w:szCs w:val="22"/>
        </w:rPr>
        <w:t>L’étude de l’échantillon de sociétés comparables nous permet d’obtenir les multiples moyens après décote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1836"/>
        <w:gridCol w:w="1836"/>
        <w:gridCol w:w="1836"/>
      </w:tblGrid>
      <w:tr w:rsidR="005B45C9" w:rsidRPr="00C42945" w:rsidTr="00C42945">
        <w:trPr>
          <w:jc w:val="center"/>
        </w:trPr>
        <w:tc>
          <w:tcPr>
            <w:tcW w:w="0" w:type="auto"/>
          </w:tcPr>
          <w:p w:rsidR="005B45C9" w:rsidRPr="00C42945" w:rsidRDefault="005B45C9" w:rsidP="00C42945">
            <w:pPr>
              <w:autoSpaceDE w:val="0"/>
              <w:autoSpaceDN w:val="0"/>
              <w:adjustRightInd w:val="0"/>
              <w:jc w:val="both"/>
              <w:rPr>
                <w:sz w:val="22"/>
                <w:szCs w:val="22"/>
              </w:rPr>
            </w:pPr>
          </w:p>
        </w:tc>
        <w:tc>
          <w:tcPr>
            <w:tcW w:w="0" w:type="auto"/>
          </w:tcPr>
          <w:p w:rsidR="005B45C9" w:rsidRPr="00C42945" w:rsidRDefault="005B45C9" w:rsidP="00C42945">
            <w:pPr>
              <w:autoSpaceDE w:val="0"/>
              <w:autoSpaceDN w:val="0"/>
              <w:adjustRightInd w:val="0"/>
              <w:jc w:val="both"/>
              <w:rPr>
                <w:sz w:val="22"/>
                <w:szCs w:val="22"/>
              </w:rPr>
            </w:pPr>
            <w:r w:rsidRPr="00C42945">
              <w:rPr>
                <w:b/>
                <w:bCs/>
                <w:sz w:val="22"/>
                <w:szCs w:val="22"/>
              </w:rPr>
              <w:t>2011 (estimation)</w:t>
            </w:r>
          </w:p>
        </w:tc>
        <w:tc>
          <w:tcPr>
            <w:tcW w:w="0" w:type="auto"/>
          </w:tcPr>
          <w:p w:rsidR="005B45C9" w:rsidRPr="00C42945" w:rsidRDefault="005B45C9" w:rsidP="00C42945">
            <w:pPr>
              <w:autoSpaceDE w:val="0"/>
              <w:autoSpaceDN w:val="0"/>
              <w:adjustRightInd w:val="0"/>
              <w:jc w:val="both"/>
              <w:rPr>
                <w:sz w:val="22"/>
                <w:szCs w:val="22"/>
              </w:rPr>
            </w:pPr>
            <w:r w:rsidRPr="00C42945">
              <w:rPr>
                <w:b/>
                <w:bCs/>
                <w:sz w:val="22"/>
                <w:szCs w:val="22"/>
              </w:rPr>
              <w:t>2012 (estimation)</w:t>
            </w:r>
          </w:p>
        </w:tc>
        <w:tc>
          <w:tcPr>
            <w:tcW w:w="0" w:type="auto"/>
          </w:tcPr>
          <w:p w:rsidR="005B45C9" w:rsidRPr="00C42945" w:rsidRDefault="005B45C9" w:rsidP="00C42945">
            <w:pPr>
              <w:autoSpaceDE w:val="0"/>
              <w:autoSpaceDN w:val="0"/>
              <w:adjustRightInd w:val="0"/>
              <w:jc w:val="both"/>
              <w:rPr>
                <w:sz w:val="22"/>
                <w:szCs w:val="22"/>
              </w:rPr>
            </w:pPr>
            <w:r w:rsidRPr="00C42945">
              <w:rPr>
                <w:b/>
                <w:bCs/>
                <w:sz w:val="22"/>
                <w:szCs w:val="22"/>
              </w:rPr>
              <w:t>2013 (estimation)</w:t>
            </w:r>
          </w:p>
        </w:tc>
      </w:tr>
      <w:tr w:rsidR="005B45C9" w:rsidRPr="00C42945" w:rsidTr="00C42945">
        <w:trPr>
          <w:jc w:val="center"/>
        </w:trPr>
        <w:tc>
          <w:tcPr>
            <w:tcW w:w="0" w:type="auto"/>
            <w:vAlign w:val="center"/>
          </w:tcPr>
          <w:p w:rsidR="005B45C9" w:rsidRPr="00C42945" w:rsidRDefault="005B45C9" w:rsidP="00C42945">
            <w:pPr>
              <w:autoSpaceDE w:val="0"/>
              <w:autoSpaceDN w:val="0"/>
              <w:adjustRightInd w:val="0"/>
              <w:jc w:val="center"/>
              <w:rPr>
                <w:b/>
                <w:bCs/>
                <w:sz w:val="22"/>
                <w:szCs w:val="22"/>
              </w:rPr>
            </w:pPr>
            <w:r w:rsidRPr="00C42945">
              <w:rPr>
                <w:b/>
                <w:bCs/>
                <w:sz w:val="22"/>
                <w:szCs w:val="22"/>
              </w:rPr>
              <w:t>Multiples moyen (après</w:t>
            </w:r>
          </w:p>
          <w:p w:rsidR="005B45C9" w:rsidRPr="00C42945" w:rsidRDefault="005B45C9" w:rsidP="00C42945">
            <w:pPr>
              <w:autoSpaceDE w:val="0"/>
              <w:autoSpaceDN w:val="0"/>
              <w:adjustRightInd w:val="0"/>
              <w:jc w:val="center"/>
              <w:rPr>
                <w:b/>
                <w:bCs/>
                <w:sz w:val="22"/>
                <w:szCs w:val="22"/>
              </w:rPr>
            </w:pPr>
            <w:r w:rsidRPr="00C42945">
              <w:rPr>
                <w:b/>
                <w:bCs/>
                <w:sz w:val="22"/>
                <w:szCs w:val="22"/>
              </w:rPr>
              <w:t>décote) du Résultat</w:t>
            </w:r>
          </w:p>
          <w:p w:rsidR="005B45C9" w:rsidRPr="00C42945" w:rsidRDefault="005B45C9" w:rsidP="00C42945">
            <w:pPr>
              <w:autoSpaceDE w:val="0"/>
              <w:autoSpaceDN w:val="0"/>
              <w:adjustRightInd w:val="0"/>
              <w:jc w:val="center"/>
              <w:rPr>
                <w:sz w:val="22"/>
                <w:szCs w:val="22"/>
              </w:rPr>
            </w:pPr>
            <w:r w:rsidRPr="00C42945">
              <w:rPr>
                <w:b/>
                <w:bCs/>
                <w:sz w:val="22"/>
                <w:szCs w:val="22"/>
              </w:rPr>
              <w:t>d’exploitation</w:t>
            </w:r>
          </w:p>
        </w:tc>
        <w:tc>
          <w:tcPr>
            <w:tcW w:w="0" w:type="auto"/>
            <w:vAlign w:val="center"/>
          </w:tcPr>
          <w:p w:rsidR="005B45C9" w:rsidRPr="00C42945" w:rsidRDefault="005B45C9" w:rsidP="00C42945">
            <w:pPr>
              <w:autoSpaceDE w:val="0"/>
              <w:autoSpaceDN w:val="0"/>
              <w:adjustRightInd w:val="0"/>
              <w:jc w:val="center"/>
              <w:rPr>
                <w:b/>
                <w:sz w:val="22"/>
                <w:szCs w:val="22"/>
              </w:rPr>
            </w:pPr>
            <w:r w:rsidRPr="00C42945">
              <w:rPr>
                <w:b/>
                <w:sz w:val="22"/>
                <w:szCs w:val="22"/>
              </w:rPr>
              <w:t>11,2</w:t>
            </w:r>
          </w:p>
        </w:tc>
        <w:tc>
          <w:tcPr>
            <w:tcW w:w="0" w:type="auto"/>
            <w:vAlign w:val="center"/>
          </w:tcPr>
          <w:p w:rsidR="005B45C9" w:rsidRPr="00C42945" w:rsidRDefault="005B45C9" w:rsidP="00C42945">
            <w:pPr>
              <w:autoSpaceDE w:val="0"/>
              <w:autoSpaceDN w:val="0"/>
              <w:adjustRightInd w:val="0"/>
              <w:jc w:val="center"/>
              <w:rPr>
                <w:b/>
                <w:sz w:val="22"/>
                <w:szCs w:val="22"/>
              </w:rPr>
            </w:pPr>
            <w:r w:rsidRPr="00C42945">
              <w:rPr>
                <w:b/>
                <w:sz w:val="22"/>
                <w:szCs w:val="22"/>
              </w:rPr>
              <w:t>9,9</w:t>
            </w:r>
          </w:p>
        </w:tc>
        <w:tc>
          <w:tcPr>
            <w:tcW w:w="0" w:type="auto"/>
            <w:vAlign w:val="center"/>
          </w:tcPr>
          <w:p w:rsidR="005B45C9" w:rsidRPr="00C42945" w:rsidRDefault="005B45C9" w:rsidP="00C42945">
            <w:pPr>
              <w:autoSpaceDE w:val="0"/>
              <w:autoSpaceDN w:val="0"/>
              <w:adjustRightInd w:val="0"/>
              <w:jc w:val="center"/>
              <w:rPr>
                <w:b/>
                <w:sz w:val="22"/>
                <w:szCs w:val="22"/>
              </w:rPr>
            </w:pPr>
            <w:r w:rsidRPr="00C42945">
              <w:rPr>
                <w:b/>
                <w:sz w:val="22"/>
                <w:szCs w:val="22"/>
              </w:rPr>
              <w:t>9,5</w:t>
            </w:r>
          </w:p>
        </w:tc>
      </w:tr>
    </w:tbl>
    <w:p w:rsidR="001C1B91" w:rsidRPr="001C1B91" w:rsidRDefault="001C1B91" w:rsidP="001C1B91">
      <w:pPr>
        <w:autoSpaceDE w:val="0"/>
        <w:autoSpaceDN w:val="0"/>
        <w:adjustRightInd w:val="0"/>
        <w:jc w:val="both"/>
        <w:rPr>
          <w:sz w:val="22"/>
          <w:szCs w:val="22"/>
        </w:rPr>
      </w:pPr>
    </w:p>
    <w:p w:rsidR="00337235" w:rsidRDefault="003B5970" w:rsidP="005B45C9">
      <w:pPr>
        <w:rPr>
          <w:sz w:val="22"/>
          <w:szCs w:val="22"/>
        </w:rPr>
      </w:pPr>
      <w:r>
        <w:rPr>
          <w:sz w:val="22"/>
          <w:szCs w:val="22"/>
        </w:rPr>
        <w:t>Le prévisionnel de la société Groupimo (millions d’€) est le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836"/>
        <w:gridCol w:w="1836"/>
        <w:gridCol w:w="1836"/>
      </w:tblGrid>
      <w:tr w:rsidR="003B5970" w:rsidRPr="00C42945" w:rsidTr="00C42945">
        <w:trPr>
          <w:jc w:val="center"/>
        </w:trPr>
        <w:tc>
          <w:tcPr>
            <w:tcW w:w="0" w:type="auto"/>
            <w:vAlign w:val="center"/>
          </w:tcPr>
          <w:p w:rsidR="003B5970" w:rsidRPr="00C42945" w:rsidRDefault="003B5970" w:rsidP="00C42945">
            <w:pPr>
              <w:jc w:val="center"/>
              <w:rPr>
                <w:b/>
              </w:rPr>
            </w:pPr>
            <w:r w:rsidRPr="00C42945">
              <w:rPr>
                <w:b/>
                <w:bCs/>
                <w:sz w:val="22"/>
                <w:szCs w:val="22"/>
              </w:rPr>
              <w:t>GROUPIMO</w:t>
            </w:r>
          </w:p>
        </w:tc>
        <w:tc>
          <w:tcPr>
            <w:tcW w:w="0" w:type="auto"/>
            <w:vAlign w:val="center"/>
          </w:tcPr>
          <w:p w:rsidR="003B5970" w:rsidRPr="00C42945" w:rsidRDefault="003B5970" w:rsidP="00C42945">
            <w:pPr>
              <w:autoSpaceDE w:val="0"/>
              <w:autoSpaceDN w:val="0"/>
              <w:adjustRightInd w:val="0"/>
              <w:jc w:val="center"/>
              <w:rPr>
                <w:sz w:val="22"/>
                <w:szCs w:val="22"/>
              </w:rPr>
            </w:pPr>
            <w:r w:rsidRPr="00C42945">
              <w:rPr>
                <w:b/>
                <w:bCs/>
                <w:sz w:val="22"/>
                <w:szCs w:val="22"/>
              </w:rPr>
              <w:t>2011 (estimation)</w:t>
            </w:r>
          </w:p>
        </w:tc>
        <w:tc>
          <w:tcPr>
            <w:tcW w:w="0" w:type="auto"/>
            <w:vAlign w:val="center"/>
          </w:tcPr>
          <w:p w:rsidR="003B5970" w:rsidRPr="00C42945" w:rsidRDefault="003B5970" w:rsidP="00C42945">
            <w:pPr>
              <w:autoSpaceDE w:val="0"/>
              <w:autoSpaceDN w:val="0"/>
              <w:adjustRightInd w:val="0"/>
              <w:jc w:val="center"/>
              <w:rPr>
                <w:sz w:val="22"/>
                <w:szCs w:val="22"/>
              </w:rPr>
            </w:pPr>
            <w:r w:rsidRPr="00C42945">
              <w:rPr>
                <w:b/>
                <w:bCs/>
                <w:sz w:val="22"/>
                <w:szCs w:val="22"/>
              </w:rPr>
              <w:t>2012 (estimation)</w:t>
            </w:r>
          </w:p>
        </w:tc>
        <w:tc>
          <w:tcPr>
            <w:tcW w:w="0" w:type="auto"/>
            <w:vAlign w:val="center"/>
          </w:tcPr>
          <w:p w:rsidR="003B5970" w:rsidRPr="00C42945" w:rsidRDefault="003B5970" w:rsidP="00C42945">
            <w:pPr>
              <w:autoSpaceDE w:val="0"/>
              <w:autoSpaceDN w:val="0"/>
              <w:adjustRightInd w:val="0"/>
              <w:jc w:val="center"/>
              <w:rPr>
                <w:sz w:val="22"/>
                <w:szCs w:val="22"/>
              </w:rPr>
            </w:pPr>
            <w:r w:rsidRPr="00C42945">
              <w:rPr>
                <w:b/>
                <w:bCs/>
                <w:sz w:val="22"/>
                <w:szCs w:val="22"/>
              </w:rPr>
              <w:t>2013 (estimation)</w:t>
            </w:r>
          </w:p>
        </w:tc>
      </w:tr>
      <w:tr w:rsidR="003B5970" w:rsidRPr="00C42945" w:rsidTr="00C42945">
        <w:trPr>
          <w:jc w:val="center"/>
        </w:trPr>
        <w:tc>
          <w:tcPr>
            <w:tcW w:w="0" w:type="auto"/>
            <w:vAlign w:val="center"/>
          </w:tcPr>
          <w:p w:rsidR="003B5970" w:rsidRPr="00C42945" w:rsidRDefault="003B5970" w:rsidP="00C42945">
            <w:pPr>
              <w:jc w:val="center"/>
              <w:rPr>
                <w:b/>
              </w:rPr>
            </w:pPr>
            <w:r w:rsidRPr="00C42945">
              <w:rPr>
                <w:b/>
                <w:bCs/>
                <w:sz w:val="22"/>
                <w:szCs w:val="22"/>
              </w:rPr>
              <w:t>Résultat d’exploitation</w:t>
            </w:r>
          </w:p>
        </w:tc>
        <w:tc>
          <w:tcPr>
            <w:tcW w:w="0" w:type="auto"/>
            <w:vAlign w:val="center"/>
          </w:tcPr>
          <w:p w:rsidR="003B5970" w:rsidRPr="00C42945" w:rsidRDefault="003B5970" w:rsidP="00C42945">
            <w:pPr>
              <w:jc w:val="center"/>
              <w:rPr>
                <w:b/>
              </w:rPr>
            </w:pPr>
            <w:r w:rsidRPr="00C42945">
              <w:rPr>
                <w:b/>
              </w:rPr>
              <w:t>1,4</w:t>
            </w:r>
          </w:p>
        </w:tc>
        <w:tc>
          <w:tcPr>
            <w:tcW w:w="0" w:type="auto"/>
            <w:vAlign w:val="center"/>
          </w:tcPr>
          <w:p w:rsidR="003B5970" w:rsidRPr="00C42945" w:rsidRDefault="003B5970" w:rsidP="00C42945">
            <w:pPr>
              <w:jc w:val="center"/>
              <w:rPr>
                <w:b/>
              </w:rPr>
            </w:pPr>
            <w:r w:rsidRPr="00C42945">
              <w:rPr>
                <w:b/>
              </w:rPr>
              <w:t>2,1</w:t>
            </w:r>
          </w:p>
        </w:tc>
        <w:tc>
          <w:tcPr>
            <w:tcW w:w="0" w:type="auto"/>
            <w:vAlign w:val="center"/>
          </w:tcPr>
          <w:p w:rsidR="003B5970" w:rsidRPr="00C42945" w:rsidRDefault="003B5970" w:rsidP="00C42945">
            <w:pPr>
              <w:jc w:val="center"/>
              <w:rPr>
                <w:b/>
              </w:rPr>
            </w:pPr>
            <w:r w:rsidRPr="00C42945">
              <w:rPr>
                <w:b/>
              </w:rPr>
              <w:t>2,6</w:t>
            </w:r>
          </w:p>
        </w:tc>
      </w:tr>
    </w:tbl>
    <w:p w:rsidR="003B5970" w:rsidRDefault="003B5970" w:rsidP="005B45C9">
      <w:pPr>
        <w:rPr>
          <w:b/>
        </w:rPr>
      </w:pPr>
    </w:p>
    <w:p w:rsidR="00337235" w:rsidRDefault="003B723A" w:rsidP="003B723A">
      <w:pPr>
        <w:jc w:val="both"/>
        <w:rPr>
          <w:sz w:val="22"/>
          <w:szCs w:val="22"/>
        </w:rPr>
      </w:pPr>
      <w:r>
        <w:rPr>
          <w:sz w:val="22"/>
          <w:szCs w:val="22"/>
        </w:rPr>
        <w:t>L’endettement net de Groupimo est de 2,5 millions d’euros.</w:t>
      </w:r>
    </w:p>
    <w:p w:rsidR="003B723A" w:rsidRDefault="003B723A" w:rsidP="003B723A">
      <w:pPr>
        <w:jc w:val="both"/>
        <w:rPr>
          <w:sz w:val="22"/>
          <w:szCs w:val="22"/>
        </w:rPr>
      </w:pPr>
    </w:p>
    <w:p w:rsidR="003B723A" w:rsidRDefault="003B723A" w:rsidP="003B723A">
      <w:pPr>
        <w:autoSpaceDE w:val="0"/>
        <w:autoSpaceDN w:val="0"/>
        <w:adjustRightInd w:val="0"/>
        <w:jc w:val="both"/>
        <w:rPr>
          <w:b/>
          <w:bCs/>
          <w:i/>
          <w:iCs/>
          <w:sz w:val="22"/>
          <w:szCs w:val="22"/>
        </w:rPr>
      </w:pPr>
      <w:r>
        <w:rPr>
          <w:b/>
          <w:bCs/>
          <w:i/>
          <w:iCs/>
          <w:sz w:val="22"/>
          <w:szCs w:val="22"/>
        </w:rPr>
        <w:t>Méthode des flux de trésorerie disponibles actualisés (FTD) ou discounted cash-flows (DCF) :</w:t>
      </w:r>
    </w:p>
    <w:p w:rsidR="003B723A" w:rsidRDefault="003B723A" w:rsidP="003B723A">
      <w:pPr>
        <w:autoSpaceDE w:val="0"/>
        <w:autoSpaceDN w:val="0"/>
        <w:adjustRightInd w:val="0"/>
        <w:rPr>
          <w:sz w:val="22"/>
          <w:szCs w:val="22"/>
        </w:rPr>
      </w:pPr>
    </w:p>
    <w:p w:rsidR="003B723A" w:rsidRDefault="003B723A" w:rsidP="004A725A">
      <w:pPr>
        <w:autoSpaceDE w:val="0"/>
        <w:autoSpaceDN w:val="0"/>
        <w:adjustRightInd w:val="0"/>
        <w:jc w:val="both"/>
        <w:rPr>
          <w:sz w:val="22"/>
          <w:szCs w:val="22"/>
        </w:rPr>
      </w:pPr>
      <w:r>
        <w:rPr>
          <w:sz w:val="22"/>
          <w:szCs w:val="22"/>
        </w:rPr>
        <w:t>La méthode des flux de trésorerie actualisés permet de valoriser l’entreprise sur la</w:t>
      </w:r>
      <w:r w:rsidR="004A725A">
        <w:rPr>
          <w:sz w:val="22"/>
          <w:szCs w:val="22"/>
        </w:rPr>
        <w:t xml:space="preserve"> base de ses cash-flows futurs. </w:t>
      </w:r>
      <w:r>
        <w:rPr>
          <w:sz w:val="22"/>
          <w:szCs w:val="22"/>
        </w:rPr>
        <w:t>Cette méthode est adaptée à la valorisation de Groupimo s’agissant d’une société qui évolue sur un secteur en</w:t>
      </w:r>
      <w:r w:rsidR="004A725A">
        <w:rPr>
          <w:sz w:val="22"/>
          <w:szCs w:val="22"/>
        </w:rPr>
        <w:t xml:space="preserve"> </w:t>
      </w:r>
      <w:r>
        <w:rPr>
          <w:sz w:val="22"/>
          <w:szCs w:val="22"/>
        </w:rPr>
        <w:t>croissance et extériorisant des flux de trésorerie disponibles positifs, après financement des investissements</w:t>
      </w:r>
      <w:r w:rsidR="004A725A">
        <w:rPr>
          <w:sz w:val="22"/>
          <w:szCs w:val="22"/>
        </w:rPr>
        <w:t xml:space="preserve"> </w:t>
      </w:r>
      <w:r>
        <w:rPr>
          <w:sz w:val="22"/>
          <w:szCs w:val="22"/>
        </w:rPr>
        <w:t xml:space="preserve">d’exploitation et financement des besoins en fonds de roulement. La mise en </w:t>
      </w:r>
      <w:r w:rsidR="004A725A">
        <w:rPr>
          <w:sz w:val="22"/>
          <w:szCs w:val="22"/>
        </w:rPr>
        <w:t xml:space="preserve">œuvre de cette méthode à partir </w:t>
      </w:r>
      <w:r>
        <w:rPr>
          <w:sz w:val="22"/>
          <w:szCs w:val="22"/>
        </w:rPr>
        <w:t>d’hypothèses de travail établies par un analyste financier, de la société Aveni</w:t>
      </w:r>
      <w:r w:rsidR="004A725A">
        <w:rPr>
          <w:sz w:val="22"/>
          <w:szCs w:val="22"/>
        </w:rPr>
        <w:t xml:space="preserve">r Finance est cohérente avec la </w:t>
      </w:r>
      <w:r>
        <w:rPr>
          <w:sz w:val="22"/>
          <w:szCs w:val="22"/>
        </w:rPr>
        <w:t>fourchette de prix proposée dans le présent prospectus.</w:t>
      </w:r>
    </w:p>
    <w:p w:rsidR="003B723A" w:rsidRDefault="003B723A" w:rsidP="004A725A">
      <w:pPr>
        <w:autoSpaceDE w:val="0"/>
        <w:autoSpaceDN w:val="0"/>
        <w:adjustRightInd w:val="0"/>
        <w:jc w:val="both"/>
        <w:rPr>
          <w:sz w:val="22"/>
          <w:szCs w:val="22"/>
        </w:rPr>
      </w:pPr>
      <w:r>
        <w:rPr>
          <w:sz w:val="22"/>
          <w:szCs w:val="22"/>
        </w:rPr>
        <w:lastRenderedPageBreak/>
        <w:t>Les hypothèses retenues par l’analyste d’Avenir Finance, pour la valorisation par les FTD sont les suivantes :</w:t>
      </w:r>
    </w:p>
    <w:p w:rsidR="003B723A" w:rsidRDefault="003B723A" w:rsidP="004A725A">
      <w:pPr>
        <w:numPr>
          <w:ilvl w:val="0"/>
          <w:numId w:val="3"/>
        </w:numPr>
        <w:autoSpaceDE w:val="0"/>
        <w:autoSpaceDN w:val="0"/>
        <w:adjustRightInd w:val="0"/>
        <w:jc w:val="both"/>
        <w:rPr>
          <w:sz w:val="22"/>
          <w:szCs w:val="22"/>
        </w:rPr>
      </w:pPr>
      <w:r>
        <w:rPr>
          <w:sz w:val="22"/>
          <w:szCs w:val="22"/>
        </w:rPr>
        <w:t>l’estimation d’une prime de risque propre à l’émetteur permettant de fixer le taux d’actualisation des flux futurs ;</w:t>
      </w:r>
    </w:p>
    <w:p w:rsidR="003B723A" w:rsidRDefault="003B723A" w:rsidP="004A725A">
      <w:pPr>
        <w:numPr>
          <w:ilvl w:val="0"/>
          <w:numId w:val="3"/>
        </w:numPr>
        <w:autoSpaceDE w:val="0"/>
        <w:autoSpaceDN w:val="0"/>
        <w:adjustRightInd w:val="0"/>
        <w:jc w:val="both"/>
        <w:rPr>
          <w:sz w:val="22"/>
          <w:szCs w:val="22"/>
        </w:rPr>
      </w:pPr>
      <w:r>
        <w:rPr>
          <w:sz w:val="22"/>
          <w:szCs w:val="22"/>
        </w:rPr>
        <w:t>un taux de croissance à l’infini de 1,5% ;</w:t>
      </w:r>
    </w:p>
    <w:p w:rsidR="003B723A" w:rsidRDefault="003B723A" w:rsidP="004A725A">
      <w:pPr>
        <w:numPr>
          <w:ilvl w:val="0"/>
          <w:numId w:val="3"/>
        </w:numPr>
        <w:autoSpaceDE w:val="0"/>
        <w:autoSpaceDN w:val="0"/>
        <w:adjustRightInd w:val="0"/>
        <w:jc w:val="both"/>
        <w:rPr>
          <w:sz w:val="22"/>
          <w:szCs w:val="22"/>
        </w:rPr>
      </w:pPr>
      <w:r>
        <w:rPr>
          <w:sz w:val="22"/>
          <w:szCs w:val="22"/>
        </w:rPr>
        <w:t>un taux d’imposition normatif à 33,33%;</w:t>
      </w:r>
    </w:p>
    <w:p w:rsidR="003B723A" w:rsidRDefault="003B723A" w:rsidP="004A725A">
      <w:pPr>
        <w:numPr>
          <w:ilvl w:val="0"/>
          <w:numId w:val="3"/>
        </w:numPr>
        <w:jc w:val="both"/>
        <w:rPr>
          <w:b/>
        </w:rPr>
      </w:pPr>
      <w:r>
        <w:rPr>
          <w:sz w:val="22"/>
          <w:szCs w:val="22"/>
        </w:rPr>
        <w:t>un endettement net de 2,5 millions d’euros.</w:t>
      </w:r>
    </w:p>
    <w:p w:rsidR="00337235" w:rsidRDefault="00337235" w:rsidP="00280551">
      <w:pPr>
        <w:jc w:val="center"/>
        <w:rPr>
          <w:b/>
        </w:rPr>
      </w:pPr>
    </w:p>
    <w:p w:rsidR="004A725A" w:rsidRDefault="004A725A" w:rsidP="00280551">
      <w:pPr>
        <w:jc w:val="center"/>
        <w:rPr>
          <w:b/>
          <w:bCs/>
        </w:rPr>
      </w:pPr>
      <w:r>
        <w:rPr>
          <w:b/>
          <w:bCs/>
        </w:rPr>
        <w:t>Données prévisionnelles</w:t>
      </w:r>
    </w:p>
    <w:p w:rsidR="004A725A" w:rsidRDefault="004A725A" w:rsidP="004A725A">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96"/>
        <w:gridCol w:w="696"/>
        <w:gridCol w:w="696"/>
        <w:gridCol w:w="696"/>
        <w:gridCol w:w="696"/>
        <w:gridCol w:w="696"/>
      </w:tblGrid>
      <w:tr w:rsidR="004A725A" w:rsidRPr="00C42945" w:rsidTr="00C42945">
        <w:trPr>
          <w:jc w:val="center"/>
        </w:trPr>
        <w:tc>
          <w:tcPr>
            <w:tcW w:w="0" w:type="auto"/>
          </w:tcPr>
          <w:p w:rsidR="004A725A" w:rsidRPr="00C42945" w:rsidRDefault="004A725A" w:rsidP="004A725A">
            <w:pPr>
              <w:rPr>
                <w:b/>
              </w:rPr>
            </w:pPr>
            <w:r w:rsidRPr="00C42945">
              <w:rPr>
                <w:b/>
                <w:bCs/>
                <w:sz w:val="22"/>
                <w:szCs w:val="22"/>
              </w:rPr>
              <w:t>en millions d’€</w:t>
            </w:r>
          </w:p>
        </w:tc>
        <w:tc>
          <w:tcPr>
            <w:tcW w:w="0" w:type="auto"/>
          </w:tcPr>
          <w:p w:rsidR="004A725A" w:rsidRPr="00C42945" w:rsidRDefault="004A725A" w:rsidP="004A725A">
            <w:pPr>
              <w:rPr>
                <w:b/>
              </w:rPr>
            </w:pPr>
            <w:r w:rsidRPr="00C42945">
              <w:rPr>
                <w:b/>
              </w:rPr>
              <w:t>2011</w:t>
            </w:r>
          </w:p>
        </w:tc>
        <w:tc>
          <w:tcPr>
            <w:tcW w:w="0" w:type="auto"/>
          </w:tcPr>
          <w:p w:rsidR="004A725A" w:rsidRPr="00C42945" w:rsidRDefault="004A725A" w:rsidP="004A725A">
            <w:pPr>
              <w:rPr>
                <w:b/>
              </w:rPr>
            </w:pPr>
            <w:r w:rsidRPr="00C42945">
              <w:rPr>
                <w:b/>
              </w:rPr>
              <w:t>2012</w:t>
            </w:r>
          </w:p>
        </w:tc>
        <w:tc>
          <w:tcPr>
            <w:tcW w:w="0" w:type="auto"/>
          </w:tcPr>
          <w:p w:rsidR="004A725A" w:rsidRPr="00C42945" w:rsidRDefault="004A725A" w:rsidP="004A725A">
            <w:pPr>
              <w:rPr>
                <w:b/>
              </w:rPr>
            </w:pPr>
            <w:r w:rsidRPr="00C42945">
              <w:rPr>
                <w:b/>
              </w:rPr>
              <w:t>2013</w:t>
            </w:r>
          </w:p>
        </w:tc>
        <w:tc>
          <w:tcPr>
            <w:tcW w:w="0" w:type="auto"/>
          </w:tcPr>
          <w:p w:rsidR="004A725A" w:rsidRPr="00C42945" w:rsidRDefault="004A725A" w:rsidP="004A725A">
            <w:pPr>
              <w:rPr>
                <w:b/>
              </w:rPr>
            </w:pPr>
            <w:r w:rsidRPr="00C42945">
              <w:rPr>
                <w:b/>
              </w:rPr>
              <w:t>2014</w:t>
            </w:r>
          </w:p>
        </w:tc>
        <w:tc>
          <w:tcPr>
            <w:tcW w:w="0" w:type="auto"/>
          </w:tcPr>
          <w:p w:rsidR="004A725A" w:rsidRPr="00C42945" w:rsidRDefault="004A725A" w:rsidP="004A725A">
            <w:pPr>
              <w:rPr>
                <w:b/>
              </w:rPr>
            </w:pPr>
            <w:r w:rsidRPr="00C42945">
              <w:rPr>
                <w:b/>
              </w:rPr>
              <w:t>2015</w:t>
            </w:r>
          </w:p>
        </w:tc>
        <w:tc>
          <w:tcPr>
            <w:tcW w:w="0" w:type="auto"/>
          </w:tcPr>
          <w:p w:rsidR="004A725A" w:rsidRPr="00C42945" w:rsidRDefault="004A725A" w:rsidP="004A725A">
            <w:pPr>
              <w:rPr>
                <w:b/>
              </w:rPr>
            </w:pPr>
            <w:r w:rsidRPr="00C42945">
              <w:rPr>
                <w:b/>
              </w:rPr>
              <w:t>2016</w:t>
            </w:r>
          </w:p>
        </w:tc>
      </w:tr>
      <w:tr w:rsidR="004A725A" w:rsidRPr="00C42945" w:rsidTr="00C42945">
        <w:trPr>
          <w:jc w:val="center"/>
        </w:trPr>
        <w:tc>
          <w:tcPr>
            <w:tcW w:w="0" w:type="auto"/>
          </w:tcPr>
          <w:p w:rsidR="004A725A" w:rsidRPr="00C42945" w:rsidRDefault="004A725A" w:rsidP="004A725A">
            <w:pPr>
              <w:rPr>
                <w:b/>
              </w:rPr>
            </w:pPr>
            <w:r w:rsidRPr="00C42945">
              <w:rPr>
                <w:sz w:val="22"/>
                <w:szCs w:val="22"/>
              </w:rPr>
              <w:t>Chiffre d’affaires</w:t>
            </w:r>
          </w:p>
        </w:tc>
        <w:tc>
          <w:tcPr>
            <w:tcW w:w="0" w:type="auto"/>
            <w:vAlign w:val="center"/>
          </w:tcPr>
          <w:p w:rsidR="004A725A" w:rsidRPr="004A725A" w:rsidRDefault="004A725A" w:rsidP="00C42945">
            <w:pPr>
              <w:jc w:val="center"/>
            </w:pPr>
            <w:r w:rsidRPr="004A725A">
              <w:t>15</w:t>
            </w:r>
          </w:p>
        </w:tc>
        <w:tc>
          <w:tcPr>
            <w:tcW w:w="0" w:type="auto"/>
            <w:vAlign w:val="center"/>
          </w:tcPr>
          <w:p w:rsidR="004A725A" w:rsidRPr="004A725A" w:rsidRDefault="004A725A" w:rsidP="00C42945">
            <w:pPr>
              <w:jc w:val="center"/>
            </w:pPr>
            <w:r w:rsidRPr="004A725A">
              <w:t>18</w:t>
            </w:r>
          </w:p>
        </w:tc>
        <w:tc>
          <w:tcPr>
            <w:tcW w:w="0" w:type="auto"/>
            <w:vAlign w:val="center"/>
          </w:tcPr>
          <w:p w:rsidR="004A725A" w:rsidRPr="004A725A" w:rsidRDefault="004A725A" w:rsidP="00C42945">
            <w:pPr>
              <w:jc w:val="center"/>
            </w:pPr>
            <w:r w:rsidRPr="004A725A">
              <w:t>21</w:t>
            </w:r>
          </w:p>
        </w:tc>
        <w:tc>
          <w:tcPr>
            <w:tcW w:w="0" w:type="auto"/>
            <w:vAlign w:val="center"/>
          </w:tcPr>
          <w:p w:rsidR="004A725A" w:rsidRPr="004A725A" w:rsidRDefault="004A725A" w:rsidP="00C42945">
            <w:pPr>
              <w:jc w:val="center"/>
            </w:pPr>
            <w:r w:rsidRPr="004A725A">
              <w:t>24</w:t>
            </w:r>
          </w:p>
        </w:tc>
        <w:tc>
          <w:tcPr>
            <w:tcW w:w="0" w:type="auto"/>
            <w:vAlign w:val="center"/>
          </w:tcPr>
          <w:p w:rsidR="004A725A" w:rsidRPr="004A725A" w:rsidRDefault="004A725A" w:rsidP="00C42945">
            <w:pPr>
              <w:jc w:val="center"/>
            </w:pPr>
            <w:r w:rsidRPr="004A725A">
              <w:t>26</w:t>
            </w:r>
          </w:p>
        </w:tc>
        <w:tc>
          <w:tcPr>
            <w:tcW w:w="0" w:type="auto"/>
            <w:vAlign w:val="center"/>
          </w:tcPr>
          <w:p w:rsidR="004A725A" w:rsidRPr="004A725A" w:rsidRDefault="004A725A" w:rsidP="00C42945">
            <w:pPr>
              <w:jc w:val="center"/>
            </w:pPr>
            <w:r w:rsidRPr="004A725A">
              <w:t>28</w:t>
            </w:r>
          </w:p>
        </w:tc>
      </w:tr>
      <w:tr w:rsidR="004A725A" w:rsidRPr="00C42945" w:rsidTr="00C42945">
        <w:trPr>
          <w:jc w:val="center"/>
        </w:trPr>
        <w:tc>
          <w:tcPr>
            <w:tcW w:w="0" w:type="auto"/>
          </w:tcPr>
          <w:p w:rsidR="004A725A" w:rsidRPr="00C42945" w:rsidRDefault="004A725A" w:rsidP="00C42945">
            <w:pPr>
              <w:autoSpaceDE w:val="0"/>
              <w:autoSpaceDN w:val="0"/>
              <w:adjustRightInd w:val="0"/>
              <w:rPr>
                <w:sz w:val="22"/>
                <w:szCs w:val="22"/>
              </w:rPr>
            </w:pPr>
            <w:r w:rsidRPr="00C42945">
              <w:rPr>
                <w:sz w:val="22"/>
                <w:szCs w:val="22"/>
              </w:rPr>
              <w:t>Résultat</w:t>
            </w:r>
          </w:p>
          <w:p w:rsidR="004A725A" w:rsidRPr="00C42945" w:rsidRDefault="004A725A" w:rsidP="004A725A">
            <w:pPr>
              <w:rPr>
                <w:b/>
              </w:rPr>
            </w:pPr>
            <w:r w:rsidRPr="00C42945">
              <w:rPr>
                <w:sz w:val="22"/>
                <w:szCs w:val="22"/>
              </w:rPr>
              <w:t>d’exploitation</w:t>
            </w:r>
          </w:p>
        </w:tc>
        <w:tc>
          <w:tcPr>
            <w:tcW w:w="0" w:type="auto"/>
            <w:vAlign w:val="center"/>
          </w:tcPr>
          <w:p w:rsidR="004A725A" w:rsidRPr="004A725A" w:rsidRDefault="004A725A" w:rsidP="00C42945">
            <w:pPr>
              <w:jc w:val="center"/>
            </w:pPr>
            <w:r w:rsidRPr="004A725A">
              <w:t>1,8</w:t>
            </w:r>
          </w:p>
        </w:tc>
        <w:tc>
          <w:tcPr>
            <w:tcW w:w="0" w:type="auto"/>
            <w:vAlign w:val="center"/>
          </w:tcPr>
          <w:p w:rsidR="004A725A" w:rsidRPr="004A725A" w:rsidRDefault="004A725A" w:rsidP="00C42945">
            <w:pPr>
              <w:jc w:val="center"/>
            </w:pPr>
            <w:r w:rsidRPr="004A725A">
              <w:t>3</w:t>
            </w:r>
          </w:p>
        </w:tc>
        <w:tc>
          <w:tcPr>
            <w:tcW w:w="0" w:type="auto"/>
            <w:vAlign w:val="center"/>
          </w:tcPr>
          <w:p w:rsidR="004A725A" w:rsidRPr="004A725A" w:rsidRDefault="004A725A" w:rsidP="00C42945">
            <w:pPr>
              <w:jc w:val="center"/>
            </w:pPr>
            <w:r w:rsidRPr="004A725A">
              <w:t>3,9</w:t>
            </w:r>
          </w:p>
        </w:tc>
        <w:tc>
          <w:tcPr>
            <w:tcW w:w="0" w:type="auto"/>
            <w:vAlign w:val="center"/>
          </w:tcPr>
          <w:p w:rsidR="004A725A" w:rsidRPr="004A725A" w:rsidRDefault="004A725A" w:rsidP="00C42945">
            <w:pPr>
              <w:jc w:val="center"/>
            </w:pPr>
            <w:r w:rsidRPr="004A725A">
              <w:t>4,5</w:t>
            </w:r>
          </w:p>
        </w:tc>
        <w:tc>
          <w:tcPr>
            <w:tcW w:w="0" w:type="auto"/>
            <w:vAlign w:val="center"/>
          </w:tcPr>
          <w:p w:rsidR="004A725A" w:rsidRPr="004A725A" w:rsidRDefault="004A725A" w:rsidP="00C42945">
            <w:pPr>
              <w:jc w:val="center"/>
            </w:pPr>
            <w:r w:rsidRPr="004A725A">
              <w:t>4,8</w:t>
            </w:r>
          </w:p>
        </w:tc>
        <w:tc>
          <w:tcPr>
            <w:tcW w:w="0" w:type="auto"/>
            <w:vAlign w:val="center"/>
          </w:tcPr>
          <w:p w:rsidR="004A725A" w:rsidRPr="004A725A" w:rsidRDefault="004A725A" w:rsidP="00C42945">
            <w:pPr>
              <w:jc w:val="center"/>
            </w:pPr>
            <w:r w:rsidRPr="004A725A">
              <w:t>5,1</w:t>
            </w:r>
          </w:p>
        </w:tc>
      </w:tr>
      <w:tr w:rsidR="004A725A" w:rsidRPr="00C42945" w:rsidTr="00C42945">
        <w:trPr>
          <w:jc w:val="center"/>
        </w:trPr>
        <w:tc>
          <w:tcPr>
            <w:tcW w:w="0" w:type="auto"/>
          </w:tcPr>
          <w:p w:rsidR="004A725A" w:rsidRPr="00C42945" w:rsidRDefault="004A725A" w:rsidP="00C42945">
            <w:pPr>
              <w:autoSpaceDE w:val="0"/>
              <w:autoSpaceDN w:val="0"/>
              <w:adjustRightInd w:val="0"/>
              <w:rPr>
                <w:sz w:val="22"/>
                <w:szCs w:val="22"/>
              </w:rPr>
            </w:pPr>
            <w:r w:rsidRPr="00C42945">
              <w:rPr>
                <w:sz w:val="22"/>
                <w:szCs w:val="22"/>
              </w:rPr>
              <w:t>Dotations aux</w:t>
            </w:r>
          </w:p>
          <w:p w:rsidR="004A725A" w:rsidRPr="00C42945" w:rsidRDefault="004A725A" w:rsidP="004A725A">
            <w:pPr>
              <w:rPr>
                <w:b/>
              </w:rPr>
            </w:pPr>
            <w:r w:rsidRPr="00C42945">
              <w:rPr>
                <w:sz w:val="22"/>
                <w:szCs w:val="22"/>
              </w:rPr>
              <w:t>amortissements</w:t>
            </w:r>
          </w:p>
        </w:tc>
        <w:tc>
          <w:tcPr>
            <w:tcW w:w="0" w:type="auto"/>
            <w:vAlign w:val="center"/>
          </w:tcPr>
          <w:p w:rsidR="004A725A" w:rsidRPr="004A725A" w:rsidRDefault="004A725A" w:rsidP="00C42945">
            <w:pPr>
              <w:jc w:val="center"/>
            </w:pPr>
            <w:r w:rsidRPr="004A725A">
              <w:t>0,2</w:t>
            </w:r>
          </w:p>
        </w:tc>
        <w:tc>
          <w:tcPr>
            <w:tcW w:w="0" w:type="auto"/>
            <w:vAlign w:val="center"/>
          </w:tcPr>
          <w:p w:rsidR="004A725A" w:rsidRPr="004A725A" w:rsidRDefault="004A725A" w:rsidP="00C42945">
            <w:pPr>
              <w:jc w:val="center"/>
            </w:pPr>
            <w:r w:rsidRPr="004A725A">
              <w:t>0,2</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r>
      <w:tr w:rsidR="004A725A" w:rsidRPr="00C42945" w:rsidTr="00C42945">
        <w:trPr>
          <w:jc w:val="center"/>
        </w:trPr>
        <w:tc>
          <w:tcPr>
            <w:tcW w:w="0" w:type="auto"/>
          </w:tcPr>
          <w:p w:rsidR="004A725A" w:rsidRPr="00C42945" w:rsidRDefault="004A725A" w:rsidP="004A725A">
            <w:pPr>
              <w:rPr>
                <w:b/>
              </w:rPr>
            </w:pPr>
            <w:r w:rsidRPr="00C42945">
              <w:rPr>
                <w:sz w:val="22"/>
                <w:szCs w:val="22"/>
              </w:rPr>
              <w:t>Investissements</w:t>
            </w:r>
          </w:p>
        </w:tc>
        <w:tc>
          <w:tcPr>
            <w:tcW w:w="0" w:type="auto"/>
            <w:vAlign w:val="center"/>
          </w:tcPr>
          <w:p w:rsidR="004A725A" w:rsidRPr="004A725A" w:rsidRDefault="004A725A" w:rsidP="00C42945">
            <w:pPr>
              <w:jc w:val="center"/>
            </w:pPr>
            <w:r w:rsidRPr="004A725A">
              <w:t>0,8</w:t>
            </w:r>
          </w:p>
        </w:tc>
        <w:tc>
          <w:tcPr>
            <w:tcW w:w="0" w:type="auto"/>
            <w:vAlign w:val="center"/>
          </w:tcPr>
          <w:p w:rsidR="004A725A" w:rsidRPr="004A725A" w:rsidRDefault="004A725A" w:rsidP="00C42945">
            <w:pPr>
              <w:jc w:val="center"/>
            </w:pPr>
            <w:r w:rsidRPr="004A725A">
              <w:t>0,7</w:t>
            </w:r>
          </w:p>
        </w:tc>
        <w:tc>
          <w:tcPr>
            <w:tcW w:w="0" w:type="auto"/>
            <w:vAlign w:val="center"/>
          </w:tcPr>
          <w:p w:rsidR="004A725A" w:rsidRPr="004A725A" w:rsidRDefault="004A725A" w:rsidP="00C42945">
            <w:pPr>
              <w:jc w:val="center"/>
            </w:pPr>
            <w:r w:rsidRPr="004A725A">
              <w:t>0,9</w:t>
            </w:r>
          </w:p>
        </w:tc>
        <w:tc>
          <w:tcPr>
            <w:tcW w:w="0" w:type="auto"/>
            <w:vAlign w:val="center"/>
          </w:tcPr>
          <w:p w:rsidR="004A725A" w:rsidRPr="004A725A" w:rsidRDefault="004A725A" w:rsidP="00C42945">
            <w:pPr>
              <w:jc w:val="center"/>
            </w:pPr>
            <w:r w:rsidRPr="004A725A">
              <w:t>0,9</w:t>
            </w:r>
          </w:p>
        </w:tc>
        <w:tc>
          <w:tcPr>
            <w:tcW w:w="0" w:type="auto"/>
            <w:vAlign w:val="center"/>
          </w:tcPr>
          <w:p w:rsidR="004A725A" w:rsidRPr="004A725A" w:rsidRDefault="004A725A" w:rsidP="00C42945">
            <w:pPr>
              <w:jc w:val="center"/>
            </w:pPr>
            <w:r w:rsidRPr="004A725A">
              <w:t>0,9</w:t>
            </w:r>
          </w:p>
        </w:tc>
        <w:tc>
          <w:tcPr>
            <w:tcW w:w="0" w:type="auto"/>
            <w:vAlign w:val="center"/>
          </w:tcPr>
          <w:p w:rsidR="004A725A" w:rsidRPr="004A725A" w:rsidRDefault="004A725A" w:rsidP="00C42945">
            <w:pPr>
              <w:jc w:val="center"/>
            </w:pPr>
            <w:r w:rsidRPr="004A725A">
              <w:t>0,8</w:t>
            </w:r>
          </w:p>
        </w:tc>
      </w:tr>
      <w:tr w:rsidR="004A725A" w:rsidRPr="00C42945" w:rsidTr="00C42945">
        <w:trPr>
          <w:jc w:val="center"/>
        </w:trPr>
        <w:tc>
          <w:tcPr>
            <w:tcW w:w="0" w:type="auto"/>
          </w:tcPr>
          <w:p w:rsidR="004A725A" w:rsidRPr="00C42945" w:rsidRDefault="004A725A" w:rsidP="004A725A">
            <w:pPr>
              <w:rPr>
                <w:b/>
              </w:rPr>
            </w:pPr>
            <w:r w:rsidRPr="00C42945">
              <w:rPr>
                <w:sz w:val="22"/>
                <w:szCs w:val="22"/>
              </w:rPr>
              <w:t>Variation du BFR</w:t>
            </w:r>
          </w:p>
        </w:tc>
        <w:tc>
          <w:tcPr>
            <w:tcW w:w="0" w:type="auto"/>
            <w:vAlign w:val="center"/>
          </w:tcPr>
          <w:p w:rsidR="004A725A" w:rsidRPr="004A725A" w:rsidRDefault="004A725A" w:rsidP="00C42945">
            <w:pPr>
              <w:jc w:val="center"/>
            </w:pPr>
            <w:r w:rsidRPr="004A725A">
              <w:t>0,5</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c>
          <w:tcPr>
            <w:tcW w:w="0" w:type="auto"/>
            <w:vAlign w:val="center"/>
          </w:tcPr>
          <w:p w:rsidR="004A725A" w:rsidRPr="004A725A" w:rsidRDefault="004A725A" w:rsidP="00C42945">
            <w:pPr>
              <w:jc w:val="center"/>
            </w:pPr>
            <w:r w:rsidRPr="004A725A">
              <w:t>0,3</w:t>
            </w:r>
          </w:p>
        </w:tc>
      </w:tr>
    </w:tbl>
    <w:p w:rsidR="004A725A" w:rsidRDefault="004A725A" w:rsidP="004A725A">
      <w:pPr>
        <w:rPr>
          <w:b/>
        </w:rPr>
      </w:pPr>
    </w:p>
    <w:p w:rsidR="00991F57" w:rsidRDefault="00991F57" w:rsidP="00991F57">
      <w:pPr>
        <w:autoSpaceDE w:val="0"/>
        <w:autoSpaceDN w:val="0"/>
        <w:adjustRightInd w:val="0"/>
        <w:jc w:val="both"/>
        <w:rPr>
          <w:sz w:val="22"/>
          <w:szCs w:val="22"/>
        </w:rPr>
      </w:pPr>
      <w:r>
        <w:rPr>
          <w:sz w:val="22"/>
          <w:szCs w:val="22"/>
        </w:rPr>
        <w:t>Valeur de la société GROUPIMO :</w:t>
      </w:r>
    </w:p>
    <w:p w:rsidR="00991F57" w:rsidRDefault="00991F57" w:rsidP="00991F57">
      <w:pPr>
        <w:autoSpaceDE w:val="0"/>
        <w:autoSpaceDN w:val="0"/>
        <w:adjustRightInd w:val="0"/>
        <w:jc w:val="both"/>
        <w:rPr>
          <w:sz w:val="22"/>
          <w:szCs w:val="22"/>
        </w:rPr>
      </w:pPr>
      <w:r>
        <w:rPr>
          <w:sz w:val="22"/>
          <w:szCs w:val="22"/>
        </w:rPr>
        <w:t>La valeur retenue correspond à la moyenne de la valeur découlant de la méthode des comparables (moyenne de la fourchette) et celle provenant de la méthode des FTD, Flux de trésorerie disponibles actualisés.</w:t>
      </w:r>
    </w:p>
    <w:p w:rsidR="00991F57" w:rsidRDefault="00991F57" w:rsidP="00991F57">
      <w:pPr>
        <w:autoSpaceDE w:val="0"/>
        <w:autoSpaceDN w:val="0"/>
        <w:adjustRightInd w:val="0"/>
        <w:jc w:val="both"/>
        <w:rPr>
          <w:sz w:val="22"/>
          <w:szCs w:val="22"/>
        </w:rPr>
      </w:pPr>
      <w:r>
        <w:rPr>
          <w:sz w:val="22"/>
          <w:szCs w:val="22"/>
        </w:rPr>
        <w:t>La fourchette de valeur 18,9M€ et 23,2M€ correspond à une variation de + et – 10% de la valeur obtenue. Cette fourchette de valeur (avec d’autres paramètres) a permis aux dirigeants de Groupimo de fixer une fourchette de prix entre 15,54 € et 18,06€ par actions.</w:t>
      </w:r>
    </w:p>
    <w:p w:rsidR="00991F57" w:rsidRDefault="00991F57" w:rsidP="00991F57">
      <w:pPr>
        <w:autoSpaceDE w:val="0"/>
        <w:autoSpaceDN w:val="0"/>
        <w:adjustRightInd w:val="0"/>
        <w:jc w:val="both"/>
        <w:rPr>
          <w:sz w:val="22"/>
          <w:szCs w:val="22"/>
        </w:rPr>
      </w:pPr>
    </w:p>
    <w:p w:rsidR="00991F57" w:rsidRDefault="00991F57" w:rsidP="00991F57">
      <w:pPr>
        <w:autoSpaceDE w:val="0"/>
        <w:autoSpaceDN w:val="0"/>
        <w:adjustRightInd w:val="0"/>
        <w:jc w:val="center"/>
        <w:rPr>
          <w:b/>
          <w:bCs/>
          <w:u w:val="single"/>
        </w:rPr>
      </w:pPr>
      <w:r w:rsidRPr="00991F57">
        <w:rPr>
          <w:b/>
          <w:bCs/>
          <w:u w:val="single"/>
        </w:rPr>
        <w:t>Annexe 6 : Détermination du coût moyen pondéré du capital (CMPC)</w:t>
      </w:r>
    </w:p>
    <w:p w:rsidR="00991F57" w:rsidRPr="00991F57" w:rsidRDefault="00991F57" w:rsidP="00991F57">
      <w:pPr>
        <w:autoSpaceDE w:val="0"/>
        <w:autoSpaceDN w:val="0"/>
        <w:adjustRightInd w:val="0"/>
        <w:jc w:val="center"/>
        <w:rPr>
          <w:b/>
          <w:bCs/>
          <w:u w:val="single"/>
        </w:rPr>
      </w:pPr>
    </w:p>
    <w:p w:rsidR="00991F57" w:rsidRDefault="00991F57" w:rsidP="00991F57">
      <w:pPr>
        <w:autoSpaceDE w:val="0"/>
        <w:autoSpaceDN w:val="0"/>
        <w:adjustRightInd w:val="0"/>
        <w:jc w:val="both"/>
        <w:rPr>
          <w:sz w:val="22"/>
          <w:szCs w:val="22"/>
        </w:rPr>
      </w:pPr>
      <w:r>
        <w:rPr>
          <w:sz w:val="22"/>
          <w:szCs w:val="22"/>
        </w:rPr>
        <w:t>Le Bêta de l’actif (ou de l’activité) de l’échantillon de sociétés comparables est de 0,7276.</w:t>
      </w:r>
    </w:p>
    <w:p w:rsidR="00991F57" w:rsidRDefault="00991F57" w:rsidP="00991F57">
      <w:pPr>
        <w:autoSpaceDE w:val="0"/>
        <w:autoSpaceDN w:val="0"/>
        <w:adjustRightInd w:val="0"/>
        <w:jc w:val="both"/>
        <w:rPr>
          <w:sz w:val="22"/>
          <w:szCs w:val="22"/>
        </w:rPr>
      </w:pPr>
      <w:r>
        <w:rPr>
          <w:sz w:val="22"/>
          <w:szCs w:val="22"/>
        </w:rPr>
        <w:t>Le Bêta de la dette de la société Groupimo est égal à 0.</w:t>
      </w:r>
    </w:p>
    <w:p w:rsidR="00991F57" w:rsidRDefault="00991F57" w:rsidP="00991F57">
      <w:pPr>
        <w:autoSpaceDE w:val="0"/>
        <w:autoSpaceDN w:val="0"/>
        <w:adjustRightInd w:val="0"/>
        <w:jc w:val="both"/>
        <w:rPr>
          <w:sz w:val="22"/>
          <w:szCs w:val="22"/>
        </w:rPr>
      </w:pPr>
      <w:r>
        <w:rPr>
          <w:sz w:val="22"/>
          <w:szCs w:val="22"/>
        </w:rPr>
        <w:t>Le taux d’intérêt sans risque est de 4% et la prime de risque du marché est de 8%.</w:t>
      </w:r>
    </w:p>
    <w:p w:rsidR="00991F57" w:rsidRDefault="00991F57" w:rsidP="00991F57">
      <w:pPr>
        <w:autoSpaceDE w:val="0"/>
        <w:autoSpaceDN w:val="0"/>
        <w:adjustRightInd w:val="0"/>
        <w:jc w:val="both"/>
        <w:rPr>
          <w:sz w:val="22"/>
          <w:szCs w:val="22"/>
        </w:rPr>
      </w:pPr>
      <w:r>
        <w:rPr>
          <w:sz w:val="22"/>
          <w:szCs w:val="22"/>
        </w:rPr>
        <w:t>Le taux d’intérêt auquel l’entreprise Groupimo peut s’endetter est de 5%.</w:t>
      </w:r>
    </w:p>
    <w:p w:rsidR="00991F57" w:rsidRDefault="00991F57" w:rsidP="00991F57">
      <w:pPr>
        <w:autoSpaceDE w:val="0"/>
        <w:autoSpaceDN w:val="0"/>
        <w:adjustRightInd w:val="0"/>
        <w:jc w:val="both"/>
        <w:rPr>
          <w:sz w:val="22"/>
          <w:szCs w:val="22"/>
        </w:rPr>
      </w:pPr>
      <w:r>
        <w:rPr>
          <w:sz w:val="22"/>
          <w:szCs w:val="22"/>
        </w:rPr>
        <w:t>Le taux d’impôt sur les sociétés est de 33,33%.</w:t>
      </w:r>
    </w:p>
    <w:p w:rsidR="00991F57" w:rsidRDefault="00991F57" w:rsidP="00991F57">
      <w:pPr>
        <w:autoSpaceDE w:val="0"/>
        <w:autoSpaceDN w:val="0"/>
        <w:adjustRightInd w:val="0"/>
        <w:jc w:val="both"/>
        <w:rPr>
          <w:sz w:val="22"/>
          <w:szCs w:val="22"/>
        </w:rPr>
      </w:pPr>
      <w:r>
        <w:rPr>
          <w:sz w:val="22"/>
          <w:szCs w:val="22"/>
        </w:rPr>
        <w:t>La structure de financement cible à retenir est de 20% de dettes et 80% de fonds propres.</w:t>
      </w:r>
    </w:p>
    <w:p w:rsidR="00991F57" w:rsidRDefault="00991F57" w:rsidP="00991F57">
      <w:pPr>
        <w:autoSpaceDE w:val="0"/>
        <w:autoSpaceDN w:val="0"/>
        <w:adjustRightInd w:val="0"/>
        <w:jc w:val="both"/>
      </w:pPr>
    </w:p>
    <w:p w:rsidR="00991F57" w:rsidRDefault="00991F57" w:rsidP="00991F57">
      <w:pPr>
        <w:autoSpaceDE w:val="0"/>
        <w:autoSpaceDN w:val="0"/>
        <w:adjustRightInd w:val="0"/>
        <w:jc w:val="both"/>
      </w:pPr>
      <w:r>
        <w:t>Pour obtenir le Bêta des fonds propres de Groupimo nous utilisons la formule suivant :</w:t>
      </w:r>
    </w:p>
    <w:p w:rsidR="00991F57" w:rsidRDefault="00991F57" w:rsidP="00991F57">
      <w:pPr>
        <w:autoSpaceDE w:val="0"/>
        <w:autoSpaceDN w:val="0"/>
        <w:adjustRightInd w:val="0"/>
        <w:jc w:val="both"/>
      </w:pPr>
    </w:p>
    <w:p w:rsidR="00991F57" w:rsidRDefault="00991F57" w:rsidP="00F778A8">
      <w:pPr>
        <w:autoSpaceDE w:val="0"/>
        <w:autoSpaceDN w:val="0"/>
        <w:adjustRightInd w:val="0"/>
        <w:jc w:val="center"/>
      </w:pPr>
      <w:r>
        <w:t>Βcp = βa * (1 + (1 – t) * Vd/Vcp)</w:t>
      </w:r>
    </w:p>
    <w:p w:rsidR="00991F57" w:rsidRDefault="00991F57" w:rsidP="003408CF">
      <w:pPr>
        <w:autoSpaceDE w:val="0"/>
        <w:autoSpaceDN w:val="0"/>
        <w:adjustRightInd w:val="0"/>
        <w:jc w:val="both"/>
      </w:pPr>
      <w:proofErr w:type="gramStart"/>
      <w:r>
        <w:t>avec</w:t>
      </w:r>
      <w:proofErr w:type="gramEnd"/>
      <w:r>
        <w:t>,</w:t>
      </w:r>
    </w:p>
    <w:p w:rsidR="00991F57" w:rsidRDefault="00991F57" w:rsidP="003408CF">
      <w:pPr>
        <w:autoSpaceDE w:val="0"/>
        <w:autoSpaceDN w:val="0"/>
        <w:adjustRightInd w:val="0"/>
        <w:ind w:left="708"/>
        <w:jc w:val="both"/>
      </w:pPr>
      <w:proofErr w:type="gramStart"/>
      <w:r>
        <w:t>t</w:t>
      </w:r>
      <w:proofErr w:type="gramEnd"/>
      <w:r>
        <w:t>, le taux d’IS ;</w:t>
      </w:r>
    </w:p>
    <w:p w:rsidR="00991F57" w:rsidRDefault="00991F57" w:rsidP="003408CF">
      <w:pPr>
        <w:autoSpaceDE w:val="0"/>
        <w:autoSpaceDN w:val="0"/>
        <w:adjustRightInd w:val="0"/>
        <w:ind w:left="708"/>
        <w:jc w:val="both"/>
      </w:pPr>
      <w:r>
        <w:rPr>
          <w:rFonts w:ascii="Symbol" w:hAnsi="Symbol" w:cs="Symbol"/>
        </w:rPr>
        <w:t></w:t>
      </w:r>
      <w:r>
        <w:t>a, le bêta de l’activité ;</w:t>
      </w:r>
    </w:p>
    <w:p w:rsidR="00991F57" w:rsidRDefault="00991F57" w:rsidP="003408CF">
      <w:pPr>
        <w:autoSpaceDE w:val="0"/>
        <w:autoSpaceDN w:val="0"/>
        <w:adjustRightInd w:val="0"/>
        <w:ind w:left="708"/>
        <w:jc w:val="both"/>
      </w:pPr>
      <w:r>
        <w:rPr>
          <w:rFonts w:ascii="Symbol" w:hAnsi="Symbol" w:cs="Symbol"/>
        </w:rPr>
        <w:t></w:t>
      </w:r>
      <w:r>
        <w:t>cp, le bêta des capitaux propres ;</w:t>
      </w:r>
    </w:p>
    <w:p w:rsidR="00991F57" w:rsidRDefault="00991F57" w:rsidP="003408CF">
      <w:pPr>
        <w:autoSpaceDE w:val="0"/>
        <w:autoSpaceDN w:val="0"/>
        <w:adjustRightInd w:val="0"/>
        <w:ind w:left="708"/>
        <w:jc w:val="both"/>
      </w:pPr>
      <w:r>
        <w:t>Vd, la valeur de la dette ;</w:t>
      </w:r>
    </w:p>
    <w:p w:rsidR="00991F57" w:rsidRDefault="00991F57" w:rsidP="003408CF">
      <w:pPr>
        <w:autoSpaceDE w:val="0"/>
        <w:autoSpaceDN w:val="0"/>
        <w:adjustRightInd w:val="0"/>
        <w:ind w:left="708"/>
        <w:jc w:val="both"/>
      </w:pPr>
      <w:r>
        <w:t>Vcp, la valeur des capitaux propres ;</w:t>
      </w:r>
    </w:p>
    <w:p w:rsidR="00991F57" w:rsidRDefault="00991F57" w:rsidP="003408CF">
      <w:pPr>
        <w:autoSpaceDE w:val="0"/>
        <w:autoSpaceDN w:val="0"/>
        <w:adjustRightInd w:val="0"/>
        <w:jc w:val="both"/>
      </w:pPr>
    </w:p>
    <w:p w:rsidR="00991F57" w:rsidRDefault="00991F57" w:rsidP="003408CF">
      <w:pPr>
        <w:autoSpaceDE w:val="0"/>
        <w:autoSpaceDN w:val="0"/>
        <w:adjustRightInd w:val="0"/>
        <w:jc w:val="both"/>
      </w:pPr>
      <w:r>
        <w:t xml:space="preserve">Le </w:t>
      </w:r>
      <w:r>
        <w:rPr>
          <w:rFonts w:ascii="Symbol" w:hAnsi="Symbol" w:cs="Symbol"/>
        </w:rPr>
        <w:t></w:t>
      </w:r>
      <w:r>
        <w:t>cp est à arrondir à deux chiffres après la virgule.</w:t>
      </w:r>
    </w:p>
    <w:p w:rsidR="00F778A8" w:rsidRDefault="00F778A8" w:rsidP="00991F57">
      <w:pPr>
        <w:autoSpaceDE w:val="0"/>
        <w:autoSpaceDN w:val="0"/>
        <w:adjustRightInd w:val="0"/>
        <w:jc w:val="center"/>
        <w:rPr>
          <w:b/>
          <w:bCs/>
          <w:u w:val="single"/>
        </w:rPr>
      </w:pPr>
    </w:p>
    <w:p w:rsidR="00991F57" w:rsidRDefault="00991F57" w:rsidP="00991F57">
      <w:pPr>
        <w:autoSpaceDE w:val="0"/>
        <w:autoSpaceDN w:val="0"/>
        <w:adjustRightInd w:val="0"/>
        <w:jc w:val="center"/>
        <w:rPr>
          <w:b/>
          <w:bCs/>
          <w:u w:val="single"/>
        </w:rPr>
      </w:pPr>
      <w:r w:rsidRPr="00991F57">
        <w:rPr>
          <w:b/>
          <w:bCs/>
          <w:u w:val="single"/>
        </w:rPr>
        <w:t>Annexe 7 : Pacte d’actionnaires</w:t>
      </w:r>
    </w:p>
    <w:p w:rsidR="00991F57" w:rsidRPr="00991F57" w:rsidRDefault="00991F57" w:rsidP="00991F57">
      <w:pPr>
        <w:autoSpaceDE w:val="0"/>
        <w:autoSpaceDN w:val="0"/>
        <w:adjustRightInd w:val="0"/>
        <w:jc w:val="center"/>
        <w:rPr>
          <w:b/>
          <w:bCs/>
          <w:u w:val="single"/>
        </w:rPr>
      </w:pPr>
    </w:p>
    <w:p w:rsidR="00991F57" w:rsidRPr="00991F57" w:rsidRDefault="00991F57" w:rsidP="003408CF">
      <w:pPr>
        <w:autoSpaceDE w:val="0"/>
        <w:autoSpaceDN w:val="0"/>
        <w:adjustRightInd w:val="0"/>
        <w:jc w:val="both"/>
        <w:rPr>
          <w:sz w:val="22"/>
          <w:szCs w:val="22"/>
        </w:rPr>
      </w:pPr>
      <w:r>
        <w:rPr>
          <w:sz w:val="22"/>
          <w:szCs w:val="22"/>
        </w:rPr>
        <w:t>Un pacte d’actionnaires a été signé le 20 avril 2011 pour une durée de dix ans entre les quatre principaux actionnaires de Groupimo.</w:t>
      </w:r>
    </w:p>
    <w:sectPr w:rsidR="00991F57" w:rsidRPr="00991F5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80" w:rsidRDefault="00776580">
      <w:r>
        <w:separator/>
      </w:r>
    </w:p>
  </w:endnote>
  <w:endnote w:type="continuationSeparator" w:id="0">
    <w:p w:rsidR="00776580" w:rsidRDefault="0077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D4" w:rsidRDefault="009619D4" w:rsidP="00FD318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619D4" w:rsidRDefault="009619D4" w:rsidP="00E6710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D4" w:rsidRPr="0024091E" w:rsidRDefault="0024091E" w:rsidP="0024091E">
    <w:pPr>
      <w:pStyle w:val="Pieddepage"/>
      <w:tabs>
        <w:tab w:val="left" w:pos="709"/>
      </w:tabs>
      <w:ind w:right="357"/>
      <w:rPr>
        <w:sz w:val="20"/>
        <w:szCs w:val="20"/>
      </w:rPr>
    </w:pPr>
    <w:r w:rsidRPr="00642AF9">
      <w:rPr>
        <w:sz w:val="20"/>
        <w:szCs w:val="20"/>
      </w:rPr>
      <w:t xml:space="preserve">©Comptazine – Reproduction interdite – DSCG </w:t>
    </w:r>
    <w:r>
      <w:rPr>
        <w:sz w:val="20"/>
        <w:szCs w:val="20"/>
      </w:rPr>
      <w:t>Finance</w:t>
    </w:r>
    <w:r w:rsidRPr="00642AF9">
      <w:rPr>
        <w:sz w:val="20"/>
        <w:szCs w:val="20"/>
      </w:rPr>
      <w:t xml:space="preserve"> 20</w:t>
    </w:r>
    <w:r>
      <w:rPr>
        <w:sz w:val="20"/>
        <w:szCs w:val="20"/>
      </w:rPr>
      <w:t>11</w:t>
    </w:r>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D35A0D">
      <w:rPr>
        <w:rStyle w:val="Numrodepage"/>
        <w:bCs/>
        <w:noProof/>
        <w:sz w:val="20"/>
        <w:szCs w:val="20"/>
      </w:rPr>
      <w:t>7</w:t>
    </w:r>
    <w:r w:rsidRPr="00642AF9">
      <w:rPr>
        <w:rStyle w:val="Numrodepage"/>
        <w:bCs/>
        <w:sz w:val="20"/>
        <w:szCs w:val="20"/>
      </w:rPr>
      <w:fldChar w:fldCharType="end"/>
    </w:r>
    <w:r w:rsidRPr="00642AF9">
      <w:rPr>
        <w:rStyle w:val="Numrodepage"/>
        <w:bCs/>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80" w:rsidRDefault="00776580">
      <w:r>
        <w:separator/>
      </w:r>
    </w:p>
  </w:footnote>
  <w:footnote w:type="continuationSeparator" w:id="0">
    <w:p w:rsidR="00776580" w:rsidRDefault="00776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1E" w:rsidRPr="0024091E" w:rsidRDefault="00310109" w:rsidP="0024091E">
    <w:pPr>
      <w:pStyle w:val="En-tte"/>
      <w:ind w:left="5088" w:right="849" w:firstLine="1284"/>
    </w:pPr>
    <w:r>
      <w:rPr>
        <w:noProof/>
      </w:rPr>
      <w:drawing>
        <wp:anchor distT="0" distB="0" distL="114300" distR="114300" simplePos="0" relativeHeight="251659264"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3"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24091E">
        <w:rPr>
          <w:rStyle w:val="Lienhypertexte"/>
          <w:rFonts w:ascii="Calibri" w:hAnsi="Calibri" w:cs="Calibri"/>
          <w:color w:val="E36C0A"/>
          <w:sz w:val="18"/>
        </w:rPr>
        <w:t>www.comptazine.fr</w:t>
      </w:r>
    </w:hyperlink>
    <w:r w:rsidR="002409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2"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91E"/>
    <w:multiLevelType w:val="hybridMultilevel"/>
    <w:tmpl w:val="56BA7536"/>
    <w:lvl w:ilvl="0" w:tplc="0212B9F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826E5C"/>
    <w:multiLevelType w:val="hybridMultilevel"/>
    <w:tmpl w:val="BB08A10A"/>
    <w:lvl w:ilvl="0" w:tplc="E38890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95109E"/>
    <w:multiLevelType w:val="hybridMultilevel"/>
    <w:tmpl w:val="5364B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D00F61"/>
    <w:multiLevelType w:val="hybridMultilevel"/>
    <w:tmpl w:val="794E1340"/>
    <w:lvl w:ilvl="0" w:tplc="E38890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F64200"/>
    <w:multiLevelType w:val="hybridMultilevel"/>
    <w:tmpl w:val="8572D0FA"/>
    <w:lvl w:ilvl="0" w:tplc="E38890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9D"/>
    <w:rsid w:val="00012276"/>
    <w:rsid w:val="00030733"/>
    <w:rsid w:val="00041295"/>
    <w:rsid w:val="000432B1"/>
    <w:rsid w:val="000518E3"/>
    <w:rsid w:val="000815DD"/>
    <w:rsid w:val="00097A2B"/>
    <w:rsid w:val="000A2DA1"/>
    <w:rsid w:val="000C1307"/>
    <w:rsid w:val="00103512"/>
    <w:rsid w:val="00114F47"/>
    <w:rsid w:val="001167F0"/>
    <w:rsid w:val="00125982"/>
    <w:rsid w:val="00160AA4"/>
    <w:rsid w:val="00161196"/>
    <w:rsid w:val="0016392F"/>
    <w:rsid w:val="001901B6"/>
    <w:rsid w:val="001C1B91"/>
    <w:rsid w:val="001D5539"/>
    <w:rsid w:val="00214AEB"/>
    <w:rsid w:val="00227C63"/>
    <w:rsid w:val="00232928"/>
    <w:rsid w:val="0024091E"/>
    <w:rsid w:val="00280551"/>
    <w:rsid w:val="002A7E1E"/>
    <w:rsid w:val="002C1429"/>
    <w:rsid w:val="002D0D4D"/>
    <w:rsid w:val="00310109"/>
    <w:rsid w:val="00314D52"/>
    <w:rsid w:val="003155BE"/>
    <w:rsid w:val="00331014"/>
    <w:rsid w:val="00337235"/>
    <w:rsid w:val="003408CF"/>
    <w:rsid w:val="00353C31"/>
    <w:rsid w:val="0038045C"/>
    <w:rsid w:val="0038123C"/>
    <w:rsid w:val="00391A72"/>
    <w:rsid w:val="00397227"/>
    <w:rsid w:val="00397687"/>
    <w:rsid w:val="003B5970"/>
    <w:rsid w:val="003B723A"/>
    <w:rsid w:val="003B78F4"/>
    <w:rsid w:val="003C6C2A"/>
    <w:rsid w:val="004256B8"/>
    <w:rsid w:val="004643EF"/>
    <w:rsid w:val="00480B46"/>
    <w:rsid w:val="004926BF"/>
    <w:rsid w:val="004A2126"/>
    <w:rsid w:val="004A725A"/>
    <w:rsid w:val="004D00E2"/>
    <w:rsid w:val="004E10C2"/>
    <w:rsid w:val="004E59BE"/>
    <w:rsid w:val="004E72BC"/>
    <w:rsid w:val="00523CAC"/>
    <w:rsid w:val="00524C22"/>
    <w:rsid w:val="00551D18"/>
    <w:rsid w:val="005543AF"/>
    <w:rsid w:val="00562039"/>
    <w:rsid w:val="005A276F"/>
    <w:rsid w:val="005B45C9"/>
    <w:rsid w:val="005F24A3"/>
    <w:rsid w:val="00610E5F"/>
    <w:rsid w:val="00616D65"/>
    <w:rsid w:val="00637C2E"/>
    <w:rsid w:val="00640C48"/>
    <w:rsid w:val="0064231D"/>
    <w:rsid w:val="006A3F77"/>
    <w:rsid w:val="006A7C09"/>
    <w:rsid w:val="006B295B"/>
    <w:rsid w:val="006B3580"/>
    <w:rsid w:val="006D0BBC"/>
    <w:rsid w:val="006E202D"/>
    <w:rsid w:val="006E333A"/>
    <w:rsid w:val="006E4BC5"/>
    <w:rsid w:val="006E55BB"/>
    <w:rsid w:val="006F1CD8"/>
    <w:rsid w:val="00701F15"/>
    <w:rsid w:val="00737B5D"/>
    <w:rsid w:val="00761DB2"/>
    <w:rsid w:val="0076604A"/>
    <w:rsid w:val="00776580"/>
    <w:rsid w:val="00784D9B"/>
    <w:rsid w:val="007F0FC9"/>
    <w:rsid w:val="008042E5"/>
    <w:rsid w:val="0080576E"/>
    <w:rsid w:val="0080606A"/>
    <w:rsid w:val="00845C4C"/>
    <w:rsid w:val="008511C7"/>
    <w:rsid w:val="00857D50"/>
    <w:rsid w:val="008E5673"/>
    <w:rsid w:val="008F2D34"/>
    <w:rsid w:val="008F51AD"/>
    <w:rsid w:val="0091517A"/>
    <w:rsid w:val="00923DC6"/>
    <w:rsid w:val="00947207"/>
    <w:rsid w:val="00947C36"/>
    <w:rsid w:val="00951B54"/>
    <w:rsid w:val="009619D4"/>
    <w:rsid w:val="0096777C"/>
    <w:rsid w:val="00991F57"/>
    <w:rsid w:val="009A2BF3"/>
    <w:rsid w:val="009C629F"/>
    <w:rsid w:val="00A00C97"/>
    <w:rsid w:val="00A14A20"/>
    <w:rsid w:val="00A311DA"/>
    <w:rsid w:val="00A51B5A"/>
    <w:rsid w:val="00A71B50"/>
    <w:rsid w:val="00A80C0B"/>
    <w:rsid w:val="00A87C38"/>
    <w:rsid w:val="00AC321A"/>
    <w:rsid w:val="00AC79B9"/>
    <w:rsid w:val="00AD04F5"/>
    <w:rsid w:val="00AF1761"/>
    <w:rsid w:val="00AF26DA"/>
    <w:rsid w:val="00B21931"/>
    <w:rsid w:val="00B22E0A"/>
    <w:rsid w:val="00B43D5C"/>
    <w:rsid w:val="00B64279"/>
    <w:rsid w:val="00B67341"/>
    <w:rsid w:val="00BA4ECC"/>
    <w:rsid w:val="00BD1881"/>
    <w:rsid w:val="00BD2752"/>
    <w:rsid w:val="00C23667"/>
    <w:rsid w:val="00C3276E"/>
    <w:rsid w:val="00C42945"/>
    <w:rsid w:val="00C54238"/>
    <w:rsid w:val="00C621CB"/>
    <w:rsid w:val="00C65D19"/>
    <w:rsid w:val="00C66068"/>
    <w:rsid w:val="00C72DCD"/>
    <w:rsid w:val="00CA4EF2"/>
    <w:rsid w:val="00CB46DF"/>
    <w:rsid w:val="00CC673E"/>
    <w:rsid w:val="00CF3C64"/>
    <w:rsid w:val="00CF626C"/>
    <w:rsid w:val="00CF667F"/>
    <w:rsid w:val="00D21912"/>
    <w:rsid w:val="00D35A0D"/>
    <w:rsid w:val="00D45C04"/>
    <w:rsid w:val="00D536BC"/>
    <w:rsid w:val="00D657D2"/>
    <w:rsid w:val="00DB753F"/>
    <w:rsid w:val="00DD0C57"/>
    <w:rsid w:val="00DD459D"/>
    <w:rsid w:val="00DE6F87"/>
    <w:rsid w:val="00DF5D9D"/>
    <w:rsid w:val="00E35962"/>
    <w:rsid w:val="00E54F74"/>
    <w:rsid w:val="00E645C2"/>
    <w:rsid w:val="00E67101"/>
    <w:rsid w:val="00E72C42"/>
    <w:rsid w:val="00E81301"/>
    <w:rsid w:val="00E8512C"/>
    <w:rsid w:val="00E91E99"/>
    <w:rsid w:val="00E976C5"/>
    <w:rsid w:val="00E978DD"/>
    <w:rsid w:val="00EE5324"/>
    <w:rsid w:val="00EF76AC"/>
    <w:rsid w:val="00F12A0E"/>
    <w:rsid w:val="00F60621"/>
    <w:rsid w:val="00F6302E"/>
    <w:rsid w:val="00F65CDC"/>
    <w:rsid w:val="00F778A8"/>
    <w:rsid w:val="00F9721A"/>
    <w:rsid w:val="00FC72EC"/>
    <w:rsid w:val="00FD3180"/>
    <w:rsid w:val="00FE292B"/>
    <w:rsid w:val="00FF5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C42"/>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3">
    <w:name w:val="Body Text 3"/>
    <w:basedOn w:val="Normal"/>
    <w:link w:val="Corpsdetexte3Car"/>
    <w:semiHidden/>
    <w:rsid w:val="00BD1881"/>
    <w:pPr>
      <w:jc w:val="center"/>
    </w:pPr>
  </w:style>
  <w:style w:type="character" w:customStyle="1" w:styleId="Corpsdetexte3Car">
    <w:name w:val="Corps de texte 3 Car"/>
    <w:basedOn w:val="Policepardfaut"/>
    <w:link w:val="Corpsdetexte3"/>
    <w:semiHidden/>
    <w:rsid w:val="00BD1881"/>
    <w:rPr>
      <w:sz w:val="24"/>
      <w:szCs w:val="24"/>
    </w:rPr>
  </w:style>
  <w:style w:type="paragraph" w:styleId="Pieddepage">
    <w:name w:val="footer"/>
    <w:basedOn w:val="Normal"/>
    <w:link w:val="PieddepageCar"/>
    <w:uiPriority w:val="99"/>
    <w:rsid w:val="00E67101"/>
    <w:pPr>
      <w:tabs>
        <w:tab w:val="center" w:pos="4536"/>
        <w:tab w:val="right" w:pos="9072"/>
      </w:tabs>
    </w:pPr>
  </w:style>
  <w:style w:type="character" w:styleId="Numrodepage">
    <w:name w:val="page number"/>
    <w:basedOn w:val="Policepardfaut"/>
    <w:rsid w:val="00E67101"/>
  </w:style>
  <w:style w:type="paragraph" w:styleId="En-tte">
    <w:name w:val="header"/>
    <w:basedOn w:val="Normal"/>
    <w:link w:val="En-tteCar"/>
    <w:rsid w:val="006B295B"/>
    <w:pPr>
      <w:tabs>
        <w:tab w:val="center" w:pos="4536"/>
        <w:tab w:val="right" w:pos="9072"/>
      </w:tabs>
    </w:pPr>
  </w:style>
  <w:style w:type="character" w:styleId="Marquedecommentaire">
    <w:name w:val="annotation reference"/>
    <w:basedOn w:val="Policepardfaut"/>
    <w:rsid w:val="00D657D2"/>
    <w:rPr>
      <w:sz w:val="16"/>
      <w:szCs w:val="16"/>
    </w:rPr>
  </w:style>
  <w:style w:type="paragraph" w:styleId="Commentaire">
    <w:name w:val="annotation text"/>
    <w:basedOn w:val="Normal"/>
    <w:link w:val="CommentaireCar"/>
    <w:rsid w:val="00D657D2"/>
    <w:rPr>
      <w:sz w:val="20"/>
      <w:szCs w:val="20"/>
    </w:rPr>
  </w:style>
  <w:style w:type="character" w:customStyle="1" w:styleId="CommentaireCar">
    <w:name w:val="Commentaire Car"/>
    <w:basedOn w:val="Policepardfaut"/>
    <w:link w:val="Commentaire"/>
    <w:rsid w:val="00D657D2"/>
  </w:style>
  <w:style w:type="paragraph" w:styleId="Objetducommentaire">
    <w:name w:val="annotation subject"/>
    <w:basedOn w:val="Commentaire"/>
    <w:next w:val="Commentaire"/>
    <w:link w:val="ObjetducommentaireCar"/>
    <w:rsid w:val="00D657D2"/>
    <w:rPr>
      <w:b/>
      <w:bCs/>
    </w:rPr>
  </w:style>
  <w:style w:type="character" w:customStyle="1" w:styleId="ObjetducommentaireCar">
    <w:name w:val="Objet du commentaire Car"/>
    <w:basedOn w:val="CommentaireCar"/>
    <w:link w:val="Objetducommentaire"/>
    <w:rsid w:val="00D657D2"/>
    <w:rPr>
      <w:b/>
      <w:bCs/>
    </w:rPr>
  </w:style>
  <w:style w:type="paragraph" w:styleId="Textedebulles">
    <w:name w:val="Balloon Text"/>
    <w:basedOn w:val="Normal"/>
    <w:link w:val="TextedebullesCar"/>
    <w:rsid w:val="00D657D2"/>
    <w:rPr>
      <w:rFonts w:ascii="Tahoma" w:hAnsi="Tahoma" w:cs="Tahoma"/>
      <w:sz w:val="16"/>
      <w:szCs w:val="16"/>
    </w:rPr>
  </w:style>
  <w:style w:type="character" w:customStyle="1" w:styleId="TextedebullesCar">
    <w:name w:val="Texte de bulles Car"/>
    <w:basedOn w:val="Policepardfaut"/>
    <w:link w:val="Textedebulles"/>
    <w:rsid w:val="00D657D2"/>
    <w:rPr>
      <w:rFonts w:ascii="Tahoma" w:hAnsi="Tahoma" w:cs="Tahoma"/>
      <w:sz w:val="16"/>
      <w:szCs w:val="16"/>
    </w:rPr>
  </w:style>
  <w:style w:type="table" w:styleId="Grilledutableau">
    <w:name w:val="Table Grid"/>
    <w:basedOn w:val="TableauNormal"/>
    <w:rsid w:val="00081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24091E"/>
    <w:rPr>
      <w:color w:val="0000FF"/>
      <w:u w:val="single"/>
    </w:rPr>
  </w:style>
  <w:style w:type="character" w:customStyle="1" w:styleId="En-tteCar">
    <w:name w:val="En-tête Car"/>
    <w:link w:val="En-tte"/>
    <w:rsid w:val="0024091E"/>
    <w:rPr>
      <w:sz w:val="24"/>
      <w:szCs w:val="24"/>
    </w:rPr>
  </w:style>
  <w:style w:type="character" w:customStyle="1" w:styleId="PieddepageCar">
    <w:name w:val="Pied de page Car"/>
    <w:link w:val="Pieddepage"/>
    <w:uiPriority w:val="99"/>
    <w:rsid w:val="00240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C42"/>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3">
    <w:name w:val="Body Text 3"/>
    <w:basedOn w:val="Normal"/>
    <w:link w:val="Corpsdetexte3Car"/>
    <w:semiHidden/>
    <w:rsid w:val="00BD1881"/>
    <w:pPr>
      <w:jc w:val="center"/>
    </w:pPr>
  </w:style>
  <w:style w:type="character" w:customStyle="1" w:styleId="Corpsdetexte3Car">
    <w:name w:val="Corps de texte 3 Car"/>
    <w:basedOn w:val="Policepardfaut"/>
    <w:link w:val="Corpsdetexte3"/>
    <w:semiHidden/>
    <w:rsid w:val="00BD1881"/>
    <w:rPr>
      <w:sz w:val="24"/>
      <w:szCs w:val="24"/>
    </w:rPr>
  </w:style>
  <w:style w:type="paragraph" w:styleId="Pieddepage">
    <w:name w:val="footer"/>
    <w:basedOn w:val="Normal"/>
    <w:link w:val="PieddepageCar"/>
    <w:uiPriority w:val="99"/>
    <w:rsid w:val="00E67101"/>
    <w:pPr>
      <w:tabs>
        <w:tab w:val="center" w:pos="4536"/>
        <w:tab w:val="right" w:pos="9072"/>
      </w:tabs>
    </w:pPr>
  </w:style>
  <w:style w:type="character" w:styleId="Numrodepage">
    <w:name w:val="page number"/>
    <w:basedOn w:val="Policepardfaut"/>
    <w:rsid w:val="00E67101"/>
  </w:style>
  <w:style w:type="paragraph" w:styleId="En-tte">
    <w:name w:val="header"/>
    <w:basedOn w:val="Normal"/>
    <w:link w:val="En-tteCar"/>
    <w:rsid w:val="006B295B"/>
    <w:pPr>
      <w:tabs>
        <w:tab w:val="center" w:pos="4536"/>
        <w:tab w:val="right" w:pos="9072"/>
      </w:tabs>
    </w:pPr>
  </w:style>
  <w:style w:type="character" w:styleId="Marquedecommentaire">
    <w:name w:val="annotation reference"/>
    <w:basedOn w:val="Policepardfaut"/>
    <w:rsid w:val="00D657D2"/>
    <w:rPr>
      <w:sz w:val="16"/>
      <w:szCs w:val="16"/>
    </w:rPr>
  </w:style>
  <w:style w:type="paragraph" w:styleId="Commentaire">
    <w:name w:val="annotation text"/>
    <w:basedOn w:val="Normal"/>
    <w:link w:val="CommentaireCar"/>
    <w:rsid w:val="00D657D2"/>
    <w:rPr>
      <w:sz w:val="20"/>
      <w:szCs w:val="20"/>
    </w:rPr>
  </w:style>
  <w:style w:type="character" w:customStyle="1" w:styleId="CommentaireCar">
    <w:name w:val="Commentaire Car"/>
    <w:basedOn w:val="Policepardfaut"/>
    <w:link w:val="Commentaire"/>
    <w:rsid w:val="00D657D2"/>
  </w:style>
  <w:style w:type="paragraph" w:styleId="Objetducommentaire">
    <w:name w:val="annotation subject"/>
    <w:basedOn w:val="Commentaire"/>
    <w:next w:val="Commentaire"/>
    <w:link w:val="ObjetducommentaireCar"/>
    <w:rsid w:val="00D657D2"/>
    <w:rPr>
      <w:b/>
      <w:bCs/>
    </w:rPr>
  </w:style>
  <w:style w:type="character" w:customStyle="1" w:styleId="ObjetducommentaireCar">
    <w:name w:val="Objet du commentaire Car"/>
    <w:basedOn w:val="CommentaireCar"/>
    <w:link w:val="Objetducommentaire"/>
    <w:rsid w:val="00D657D2"/>
    <w:rPr>
      <w:b/>
      <w:bCs/>
    </w:rPr>
  </w:style>
  <w:style w:type="paragraph" w:styleId="Textedebulles">
    <w:name w:val="Balloon Text"/>
    <w:basedOn w:val="Normal"/>
    <w:link w:val="TextedebullesCar"/>
    <w:rsid w:val="00D657D2"/>
    <w:rPr>
      <w:rFonts w:ascii="Tahoma" w:hAnsi="Tahoma" w:cs="Tahoma"/>
      <w:sz w:val="16"/>
      <w:szCs w:val="16"/>
    </w:rPr>
  </w:style>
  <w:style w:type="character" w:customStyle="1" w:styleId="TextedebullesCar">
    <w:name w:val="Texte de bulles Car"/>
    <w:basedOn w:val="Policepardfaut"/>
    <w:link w:val="Textedebulles"/>
    <w:rsid w:val="00D657D2"/>
    <w:rPr>
      <w:rFonts w:ascii="Tahoma" w:hAnsi="Tahoma" w:cs="Tahoma"/>
      <w:sz w:val="16"/>
      <w:szCs w:val="16"/>
    </w:rPr>
  </w:style>
  <w:style w:type="table" w:styleId="Grilledutableau">
    <w:name w:val="Table Grid"/>
    <w:basedOn w:val="TableauNormal"/>
    <w:rsid w:val="00081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24091E"/>
    <w:rPr>
      <w:color w:val="0000FF"/>
      <w:u w:val="single"/>
    </w:rPr>
  </w:style>
  <w:style w:type="character" w:customStyle="1" w:styleId="En-tteCar">
    <w:name w:val="En-tête Car"/>
    <w:link w:val="En-tte"/>
    <w:rsid w:val="0024091E"/>
    <w:rPr>
      <w:sz w:val="24"/>
      <w:szCs w:val="24"/>
    </w:rPr>
  </w:style>
  <w:style w:type="character" w:customStyle="1" w:styleId="PieddepageCar">
    <w:name w:val="Pied de page Car"/>
    <w:link w:val="Pieddepage"/>
    <w:uiPriority w:val="99"/>
    <w:rsid w:val="00240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899">
      <w:bodyDiv w:val="1"/>
      <w:marLeft w:val="0"/>
      <w:marRight w:val="0"/>
      <w:marTop w:val="0"/>
      <w:marBottom w:val="0"/>
      <w:divBdr>
        <w:top w:val="none" w:sz="0" w:space="0" w:color="auto"/>
        <w:left w:val="none" w:sz="0" w:space="0" w:color="auto"/>
        <w:bottom w:val="none" w:sz="0" w:space="0" w:color="auto"/>
        <w:right w:val="none" w:sz="0" w:space="0" w:color="auto"/>
      </w:divBdr>
    </w:div>
    <w:div w:id="361715326">
      <w:bodyDiv w:val="1"/>
      <w:marLeft w:val="0"/>
      <w:marRight w:val="0"/>
      <w:marTop w:val="0"/>
      <w:marBottom w:val="0"/>
      <w:divBdr>
        <w:top w:val="none" w:sz="0" w:space="0" w:color="auto"/>
        <w:left w:val="none" w:sz="0" w:space="0" w:color="auto"/>
        <w:bottom w:val="none" w:sz="0" w:space="0" w:color="auto"/>
        <w:right w:val="none" w:sz="0" w:space="0" w:color="auto"/>
      </w:divBdr>
    </w:div>
    <w:div w:id="1006324512">
      <w:bodyDiv w:val="1"/>
      <w:marLeft w:val="0"/>
      <w:marRight w:val="0"/>
      <w:marTop w:val="0"/>
      <w:marBottom w:val="0"/>
      <w:divBdr>
        <w:top w:val="none" w:sz="0" w:space="0" w:color="auto"/>
        <w:left w:val="none" w:sz="0" w:space="0" w:color="auto"/>
        <w:bottom w:val="none" w:sz="0" w:space="0" w:color="auto"/>
        <w:right w:val="none" w:sz="0" w:space="0" w:color="auto"/>
      </w:divBdr>
    </w:div>
    <w:div w:id="1099642794">
      <w:bodyDiv w:val="1"/>
      <w:marLeft w:val="0"/>
      <w:marRight w:val="0"/>
      <w:marTop w:val="0"/>
      <w:marBottom w:val="0"/>
      <w:divBdr>
        <w:top w:val="none" w:sz="0" w:space="0" w:color="auto"/>
        <w:left w:val="none" w:sz="0" w:space="0" w:color="auto"/>
        <w:bottom w:val="none" w:sz="0" w:space="0" w:color="auto"/>
        <w:right w:val="none" w:sz="0" w:space="0" w:color="auto"/>
      </w:divBdr>
    </w:div>
    <w:div w:id="1207179090">
      <w:bodyDiv w:val="1"/>
      <w:marLeft w:val="0"/>
      <w:marRight w:val="0"/>
      <w:marTop w:val="0"/>
      <w:marBottom w:val="0"/>
      <w:divBdr>
        <w:top w:val="none" w:sz="0" w:space="0" w:color="auto"/>
        <w:left w:val="none" w:sz="0" w:space="0" w:color="auto"/>
        <w:bottom w:val="none" w:sz="0" w:space="0" w:color="auto"/>
        <w:right w:val="none" w:sz="0" w:space="0" w:color="auto"/>
      </w:divBdr>
    </w:div>
    <w:div w:id="16484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2647</Words>
  <Characters>14561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2014-04-05T19:51:00Z</cp:lastPrinted>
  <dcterms:created xsi:type="dcterms:W3CDTF">2014-04-05T19:51:00Z</dcterms:created>
  <dcterms:modified xsi:type="dcterms:W3CDTF">2014-04-05T19:51:00Z</dcterms:modified>
</cp:coreProperties>
</file>